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12" w:space="8"/>
        </w:pBdr>
        <w:spacing w:after="0" w:before="1400"/>
      </w:pPr>
      <w:r>
        <w:rPr>
          <w:b/>
          <w:bCs/>
          <w:color w:val="1F3864"/>
          <w:sz w:val="44"/>
          <w:szCs w:val="44"/>
        </w:rPr>
        <w:t xml:space="preserve">Enterprise Service Mesh Security Standard</w:t>
      </w:r>
    </w:p>
    <w:p>
      <w:pPr>
        <w:spacing w:after="600" w:before="200"/>
      </w:pPr>
      <w:r>
        <w:rPr>
          <w:color w:val="595959"/>
          <w:sz w:val="24"/>
          <w:szCs w:val="24"/>
        </w:rPr>
        <w:t xml:space="preserve">Control-Based Security Standard for Service Mesh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Field</w:t>
            </w:r>
          </w:p>
        </w:tc>
        <w:tc>
          <w:tcPr>
            <w:tcW w:type="dxa" w:w="676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Value</w:t>
            </w:r>
          </w:p>
        </w:tc>
      </w:tr>
      <w:tr>
        <w:tc>
          <w:tcPr>
            <w:tcW w:type="dxa" w:w="26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Document ID</w:t>
            </w:r>
          </w:p>
        </w:tc>
        <w:tc>
          <w:tcPr>
            <w:tcW w:type="dxa" w:w="67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SEC-STD-SM-001</w:t>
            </w:r>
          </w:p>
        </w:tc>
      </w:tr>
      <w:tr>
        <w:tc>
          <w:tcPr>
            <w:tcW w:type="dxa" w:w="26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Version</w:t>
            </w:r>
          </w:p>
        </w:tc>
        <w:tc>
          <w:tcPr>
            <w:tcW w:type="dxa" w:w="67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2.1</w:t>
            </w:r>
          </w:p>
        </w:tc>
      </w:tr>
      <w:tr>
        <w:tc>
          <w:tcPr>
            <w:tcW w:type="dxa" w:w="26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Owner</w:t>
            </w:r>
          </w:p>
        </w:tc>
        <w:tc>
          <w:tcPr>
            <w:tcW w:type="dxa" w:w="67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Enterprise Security Architecture</w:t>
            </w:r>
          </w:p>
        </w:tc>
      </w:tr>
      <w:tr>
        <w:tc>
          <w:tcPr>
            <w:tcW w:type="dxa" w:w="26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Approved By</w:t>
            </w:r>
          </w:p>
        </w:tc>
        <w:tc>
          <w:tcPr>
            <w:tcW w:type="dxa" w:w="67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Security Governance Board</w:t>
            </w:r>
          </w:p>
        </w:tc>
      </w:tr>
      <w:tr>
        <w:tc>
          <w:tcPr>
            <w:tcW w:type="dxa" w:w="26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Classification</w:t>
            </w:r>
          </w:p>
        </w:tc>
        <w:tc>
          <w:tcPr>
            <w:tcW w:type="dxa" w:w="67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Internal</w:t>
            </w:r>
          </w:p>
        </w:tc>
      </w:tr>
      <w:tr>
        <w:tc>
          <w:tcPr>
            <w:tcW w:type="dxa" w:w="26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Review Cycle</w:t>
            </w:r>
          </w:p>
        </w:tc>
        <w:tc>
          <w:tcPr>
            <w:tcW w:type="dxa" w:w="67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Annual</w:t>
            </w:r>
          </w:p>
        </w:tc>
      </w:tr>
      <w:tr>
        <w:tc>
          <w:tcPr>
            <w:tcW w:type="dxa" w:w="26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Control Framework</w:t>
            </w:r>
          </w:p>
        </w:tc>
        <w:tc>
          <w:tcPr>
            <w:tcW w:type="dxa" w:w="67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Internal SM-* control catalog (NIST 800-53 r5 / CSF 2.0 crosswalk in Appendix B; CI/CD controls also mapped to OWASP CI/CD Top 10)</w:t>
            </w:r>
          </w:p>
        </w:tc>
      </w:tr>
      <w:tr>
        <w:tc>
          <w:tcPr>
            <w:tcW w:type="dxa" w:w="26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Derived From</w:t>
            </w:r>
          </w:p>
        </w:tc>
        <w:tc>
          <w:tcPr>
            <w:tcW w:type="dxa" w:w="67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NIST SP 800-204 series and NIST SP 800-207 (Zero Trust)</w:t>
            </w:r>
          </w:p>
        </w:tc>
      </w:tr>
    </w:tbl>
    <w:p>
      <w:r>
        <w:br w:type="page"/>
      </w:r>
    </w:p>
    <w:p>
      <w:pPr>
        <w:pStyle w:val="Heading1"/>
      </w:pPr>
      <w: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 Purpose and Scope</w:t>
      </w:r>
    </w:p>
    <w:p>
      <w:pPr>
        <w:spacing w:after="120" w:line="264"/>
      </w:pPr>
      <w:r>
        <w:t xml:space="preserve">This standard defines the mandatory security controls for all service mesh implementations, regardless of vendor or distribution. It is mesh-agnostic and applies to both sidecar and sidecar-less (ambient) data planes.</w:t>
      </w:r>
    </w:p>
    <w:p>
      <w:pPr>
        <w:spacing w:after="120" w:line="264"/>
      </w:pPr>
      <w:r>
        <w:t xml:space="preserve">Each control is stated once with a unique ID. Appendix B maps every control to NIST 800-53 Rev 5 and CSF 2.0 for audit traceability. Implementation guidance, approved products, and architecture diagrams live in the companion Service Mesh Security Design Guide (informative, not normative).</w:t>
      </w:r>
    </w:p>
    <w:p>
      <w:pPr>
        <w:spacing w:after="80"/>
      </w:pPr>
      <w:r>
        <w:rPr>
          <w:b/>
          <w:bCs/>
          <w:sz w:val="18"/>
          <w:szCs w:val="18"/>
        </w:rPr>
        <w:t xml:space="preserve">In scope:</w:t>
      </w:r>
    </w:p>
    <w:p>
      <w:pPr>
        <w:pStyle w:val="ListParagraph"/>
        <w:numPr>
          <w:ilvl w:val="0"/>
          <w:numId w:val="2"/>
        </w:numPr>
        <w:spacing w:after="40" w:line="252"/>
      </w:pPr>
      <w:r>
        <w:t xml:space="preserve">Kubernetes clusters, containerized workloads, microservices, and APIs governed by a service mesh</w:t>
      </w:r>
    </w:p>
    <w:p>
      <w:pPr>
        <w:pStyle w:val="ListParagraph"/>
        <w:numPr>
          <w:ilvl w:val="0"/>
          <w:numId w:val="2"/>
        </w:numPr>
        <w:spacing w:after="40" w:line="252"/>
      </w:pPr>
      <w:r>
        <w:t xml:space="preserve">Service mesh control planes and data planes</w:t>
      </w:r>
    </w:p>
    <w:p>
      <w:pPr>
        <w:pStyle w:val="ListParagraph"/>
        <w:numPr>
          <w:ilvl w:val="0"/>
          <w:numId w:val="2"/>
        </w:numPr>
        <w:spacing w:after="40" w:line="252"/>
      </w:pPr>
      <w:r>
        <w:t xml:space="preserve">Single-cluster, multi-cluster, and hybrid / multi-cloud mesh deployments</w:t>
      </w:r>
    </w:p>
    <w:p>
      <w:pPr>
        <w:pStyle w:val="ListParagraph"/>
        <w:numPr>
          <w:ilvl w:val="0"/>
          <w:numId w:val="2"/>
        </w:numPr>
        <w:spacing w:after="40" w:line="252"/>
      </w:pPr>
      <w:r>
        <w:t xml:space="preserve">Multitenant mesh deployments and tenant isolation</w:t>
      </w:r>
    </w:p>
    <w:p>
      <w:pPr>
        <w:pStyle w:val="ListParagraph"/>
        <w:numPr>
          <w:ilvl w:val="0"/>
          <w:numId w:val="2"/>
        </w:numPr>
        <w:spacing w:after="40" w:line="252"/>
      </w:pPr>
      <w:r>
        <w:t xml:space="preserve">Security of the CI/CD pipeline that builds and deploys mesh workloads and policy (pipeline security, not change-management process)</w:t>
      </w:r>
    </w:p>
    <w:p>
      <w:pPr>
        <w:spacing w:after="80" w:before="80"/>
      </w:pPr>
      <w:r>
        <w:rPr>
          <w:b/>
          <w:bCs/>
          <w:sz w:val="18"/>
          <w:szCs w:val="18"/>
        </w:rPr>
        <w:t xml:space="preserve">Out of scope (governed by separate enterprise standards, cross-referenced only):</w:t>
      </w:r>
    </w:p>
    <w:p>
      <w:pPr>
        <w:pStyle w:val="ListParagraph"/>
        <w:numPr>
          <w:ilvl w:val="0"/>
          <w:numId w:val="2"/>
        </w:numPr>
        <w:spacing w:after="40" w:line="252"/>
      </w:pPr>
      <w:r>
        <w:t xml:space="preserve">Incident response and change management processes</w:t>
      </w:r>
    </w:p>
    <w:p>
      <w:pPr>
        <w:spacing w:after="80"/>
      </w:pPr>
      <w:r>
        <w:t xml:space="preserve"/>
      </w:r>
    </w:p>
    <w:p>
      <w:pPr>
        <w:pStyle w:val="Heading1"/>
      </w:pPr>
      <w:r>
        <w:t xml:space="preserve">2. Definitions and Normative Language</w:t>
      </w:r>
    </w:p>
    <w:p>
      <w:pPr>
        <w:spacing w:after="120" w:line="264"/>
      </w:pPr>
      <w:r>
        <w:t xml:space="preserve">This document uses MUST / SHOULD / MAY per RFC 2119. The Crit. column rates control importance: Critical blocks production authorization; High and Medium reflect descending risk (distinct from vulnerability severity in SM-VULN).</w:t>
      </w:r>
    </w:p>
    <w:p>
      <w:pPr>
        <w:spacing w:after="120" w:line="264"/>
      </w:pPr>
      <w:r>
        <w:t xml:space="preserve">“Approved” technologies and authorities are those designated by Security Architecture in the applicable enterprise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Term</w:t>
            </w:r>
          </w:p>
        </w:tc>
        <w:tc>
          <w:tcPr>
            <w:tcW w:type="dxa" w:w="706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Definition</w:t>
            </w:r>
          </w:p>
        </w:tc>
      </w:tr>
      <w:tr>
        <w:tc>
          <w:tcPr>
            <w:tcW w:type="dxa" w:w="23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Control Plane</w:t>
            </w:r>
          </w:p>
        </w:tc>
        <w:tc>
          <w:tcPr>
            <w:tcW w:type="dxa" w:w="70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Mesh components that configure and manage policy, identity, and certificates.</w:t>
            </w:r>
          </w:p>
        </w:tc>
      </w:tr>
      <w:tr>
        <w:tc>
          <w:tcPr>
            <w:tcW w:type="dxa" w:w="23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Data Plane</w:t>
            </w:r>
          </w:p>
        </w:tc>
        <w:tc>
          <w:tcPr>
            <w:tcW w:type="dxa" w:w="70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The components (sidecar proxies or node-level / ambient agents) that enforce policy and carry workload traffic.</w:t>
            </w:r>
          </w:p>
        </w:tc>
      </w:tr>
      <w:tr>
        <w:tc>
          <w:tcPr>
            <w:tcW w:type="dxa" w:w="23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Workload Identity</w:t>
            </w:r>
          </w:p>
        </w:tc>
        <w:tc>
          <w:tcPr>
            <w:tcW w:type="dxa" w:w="70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A unique, cryptographically verifiable identity bound to a workload (e.g., a SPIFFE SVID).</w:t>
            </w:r>
          </w:p>
        </w:tc>
      </w:tr>
      <w:tr>
        <w:tc>
          <w:tcPr>
            <w:tcW w:type="dxa" w:w="23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Trust Domain / Trust Bundle</w:t>
            </w:r>
          </w:p>
        </w:tc>
        <w:tc>
          <w:tcPr>
            <w:tcW w:type="dxa" w:w="70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A trust domain is the boundary within which identities share a common root of trust; a trust bundle is the set of CA certificates used to validate identities across domains.</w:t>
            </w:r>
          </w:p>
        </w:tc>
      </w:tr>
      <w:tr>
        <w:tc>
          <w:tcPr>
            <w:tcW w:type="dxa" w:w="23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Gateway</w:t>
            </w:r>
          </w:p>
        </w:tc>
        <w:tc>
          <w:tcPr>
            <w:tcW w:type="dxa" w:w="70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A dedicated proxy at the mesh edge: an ingress gateway handles inbound (north-south) traffic; an egress gateway brokers outbound traffic.</w:t>
            </w:r>
          </w:p>
        </w:tc>
      </w:tr>
      <w:tr>
        <w:tc>
          <w:tcPr>
            <w:tcW w:type="dxa" w:w="23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mTLS Mode</w:t>
            </w:r>
          </w:p>
        </w:tc>
        <w:tc>
          <w:tcPr>
            <w:tcW w:type="dxa" w:w="70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Mesh TLS posture: Permissive (plaintext + mTLS accepted) or Strict (mTLS only).</w:t>
            </w:r>
          </w:p>
        </w:tc>
      </w:tr>
      <w:tr>
        <w:tc>
          <w:tcPr>
            <w:tcW w:type="dxa" w:w="23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East-West / North-South</w:t>
            </w:r>
          </w:p>
        </w:tc>
        <w:tc>
          <w:tcPr>
            <w:tcW w:type="dxa" w:w="70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East-west is service-to-service traffic within or between clusters; north-south is ingress/egress traffic crossing the mesh boundary.</w:t>
            </w:r>
          </w:p>
        </w:tc>
      </w:tr>
      <w:tr>
        <w:tc>
          <w:tcPr>
            <w:tcW w:type="dxa" w:w="23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Tenant / Multitenancy</w:t>
            </w:r>
          </w:p>
        </w:tc>
        <w:tc>
          <w:tcPr>
            <w:tcW w:type="dxa" w:w="70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A tenant is a distinct consumer (team, application, business unit, or customer) sharing mesh infrastructure. Soft multitenancy isolates trusted tenants logically (namespaces); hard multitenancy isolates untrusted tenants physically (separate clusters or trust domains).</w:t>
            </w:r>
          </w:p>
        </w:tc>
      </w:tr>
      <w:tr>
        <w:tc>
          <w:tcPr>
            <w:tcW w:type="dxa" w:w="23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Pipeline / Artifact / SBOM</w:t>
            </w:r>
          </w:p>
        </w:tc>
        <w:tc>
          <w:tcPr>
            <w:tcW w:type="dxa" w:w="70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A pipeline is the automated CI/CD workflow that builds, tests, and deploys workloads and policy. An artifact is a build output (e.g., container image, Helm chart) promoted through it; an SBOM is the artifact's software bill of materials.</w:t>
            </w:r>
          </w:p>
        </w:tc>
      </w:tr>
      <w:tr>
        <w:tc>
          <w:tcPr>
            <w:tcW w:type="dxa" w:w="23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Acronyms</w:t>
            </w:r>
          </w:p>
        </w:tc>
        <w:tc>
          <w:tcPr>
            <w:tcW w:type="dxa" w:w="70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MFA (multi-factor authentication); SIEM (security information and event management); RBAC (role-based access control); PBAC (pipeline-based access controls); PKI (public-key infrastructure); HSM/KMS (hardware security module / key management service); mTLS (mutual TLS); NTP (network time protocol); SAST/DAST (static / dynamic application security testing); SCA (software composition analysis); IaC (infrastructure as code).</w:t>
            </w:r>
          </w:p>
        </w:tc>
      </w:tr>
    </w:tbl>
    <w:p>
      <w:pPr>
        <w:spacing w:after="80"/>
      </w:pPr>
      <w:r>
        <w:t xml:space="preserve"/>
      </w:r>
    </w:p>
    <w:p>
      <w:pPr>
        <w:pStyle w:val="Heading1"/>
      </w:pPr>
      <w:r>
        <w:t xml:space="preserve">3. Security Principles</w:t>
      </w:r>
    </w:p>
    <w:p>
      <w:pPr>
        <w:spacing w:after="120" w:line="264"/>
      </w:pPr>
      <w:r>
        <w:t xml:space="preserve">All controls derive from four principles:</w:t>
      </w:r>
    </w:p>
    <w:p>
      <w:pPr>
        <w:pStyle w:val="ListParagraph"/>
        <w:numPr>
          <w:ilvl w:val="0"/>
          <w:numId w:val="2"/>
        </w:numPr>
        <w:spacing w:after="40" w:line="252"/>
      </w:pPr>
      <w:r>
        <w:rPr>
          <w:b/>
          <w:bCs/>
        </w:rPr>
        <w:t xml:space="preserve">Zero Trust — </w:t>
      </w:r>
      <w:r>
        <w:t xml:space="preserve">no workload, user, namespace, or network segment is trusted by default.</w:t>
      </w:r>
    </w:p>
    <w:p>
      <w:pPr>
        <w:pStyle w:val="ListParagraph"/>
        <w:numPr>
          <w:ilvl w:val="0"/>
          <w:numId w:val="2"/>
        </w:numPr>
        <w:spacing w:after="40" w:line="252"/>
      </w:pPr>
      <w:r>
        <w:rPr>
          <w:b/>
          <w:bCs/>
        </w:rPr>
        <w:t xml:space="preserve">Least Privilege — </w:t>
      </w:r>
      <w:r>
        <w:t xml:space="preserve">access is limited to the minimum required for the business function.</w:t>
      </w:r>
    </w:p>
    <w:p>
      <w:pPr>
        <w:pStyle w:val="ListParagraph"/>
        <w:numPr>
          <w:ilvl w:val="0"/>
          <w:numId w:val="2"/>
        </w:numPr>
        <w:spacing w:after="40" w:line="252"/>
      </w:pPr>
      <w:r>
        <w:rPr>
          <w:b/>
          <w:bCs/>
        </w:rPr>
        <w:t xml:space="preserve">Explicit Verification — </w:t>
      </w:r>
      <w:r>
        <w:t xml:space="preserve">every request is authenticated and authorized before access is granted.</w:t>
      </w:r>
    </w:p>
    <w:p>
      <w:pPr>
        <w:pStyle w:val="ListParagraph"/>
        <w:numPr>
          <w:ilvl w:val="0"/>
          <w:numId w:val="2"/>
        </w:numPr>
        <w:spacing w:after="40" w:line="252"/>
      </w:pPr>
      <w:r>
        <w:rPr>
          <w:b/>
          <w:bCs/>
        </w:rPr>
        <w:t xml:space="preserve">Assume Breach — </w:t>
      </w:r>
      <w:r>
        <w:t xml:space="preserve">controls are designed assuming an attacker may already hold a workload or network segment.</w:t>
      </w:r>
    </w:p>
    <w:p>
      <w:pPr>
        <w:spacing w:after="80"/>
      </w:pPr>
      <w:r>
        <w:t xml:space="preserve"/>
      </w:r>
    </w:p>
    <w:p>
      <w:pPr>
        <w:pStyle w:val="Heading1"/>
      </w:pPr>
      <w:r>
        <w:t xml:space="preserve">4. Security Control Domains</w:t>
      </w:r>
    </w:p>
    <w:p>
      <w:pPr>
        <w:spacing w:after="120" w:line="264"/>
      </w:pPr>
      <w:r>
        <w:rPr>
          <w:i/>
          <w:iCs/>
          <w:color w:val="595959"/>
        </w:rPr>
        <w:t xml:space="preserve">Controls are grouped by domain. Each ID follows the scheme SM-&lt;DOMAIN&gt;-&lt;NN&gt; and is the stable reference for exceptions, audit findings, and GRC tracking. Framework mappings for every control are listed in Appendix B.</w:t>
      </w:r>
    </w:p>
    <w:p>
      <w:pPr>
        <w:pStyle w:val="Heading2"/>
      </w:pPr>
      <w:r>
        <w:t xml:space="preserve">4.1  Identity and Authentication (SM-IAM)</w:t>
      </w:r>
    </w:p>
    <w:p>
      <w:pPr>
        <w:spacing w:after="120" w:line="264"/>
      </w:pPr>
      <w:r>
        <w:t xml:space="preserve">Every workload and administrator must carry a strong, verifiable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0"/>
        <w:gridCol w:w="7020"/>
        <w:gridCol w:w="1100"/>
      </w:tblGrid>
      <w:tr>
        <w:trPr>
          <w:tblHeader/>
        </w:trPr>
        <w:tc>
          <w:tcPr>
            <w:tcW w:type="dxa" w:w="124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ID</w:t>
            </w:r>
          </w:p>
        </w:tc>
        <w:tc>
          <w:tcPr>
            <w:tcW w:type="dxa" w:w="702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Control Requirement</w:t>
            </w:r>
          </w:p>
        </w:tc>
        <w:tc>
          <w:tcPr>
            <w:tcW w:type="dxa" w:w="11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center"/>
            </w:pPr>
            <w:r>
              <w:rPr>
                <w:b/>
                <w:bCs/>
                <w:color w:val="FFFFFF"/>
                <w:sz w:val="18"/>
                <w:szCs w:val="18"/>
              </w:rPr>
              <w:t xml:space="preserve">Crit.</w:t>
            </w:r>
          </w:p>
        </w:tc>
      </w:tr>
      <w:tr>
        <w:tc>
          <w:tcPr>
            <w:tcW w:type="dxa" w:w="124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8"/>
                <w:szCs w:val="18"/>
              </w:rPr>
              <w:t xml:space="preserve">SM-IAM-01</w:t>
            </w:r>
          </w:p>
        </w:tc>
        <w:tc>
          <w:tcPr>
            <w:tcW w:type="dxa" w:w="702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8"/>
                <w:szCs w:val="18"/>
              </w:rPr>
              <w:t xml:space="preserve">Every workload MUST have a unique cryptographic identity (SPIFFE-aligned). Shared workload identities are prohibited.</w:t>
            </w:r>
          </w:p>
        </w:tc>
        <w:tc>
          <w:tcPr>
            <w:tcW w:type="dxa" w:w="1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pPr>
              <w:jc w:val="center"/>
            </w:pPr>
            <w:r>
              <w:rPr>
                <w:b/>
                <w:bCs/>
                <w:color w:val="C0392B"/>
                <w:sz w:val="18"/>
                <w:szCs w:val="18"/>
              </w:rPr>
              <w:t xml:space="preserve">Critical</w:t>
            </w:r>
          </w:p>
        </w:tc>
      </w:tr>
      <w:tr>
        <w:tc>
          <w:tcPr>
            <w:tcW w:type="dxa" w:w="124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8"/>
                <w:szCs w:val="18"/>
              </w:rPr>
              <w:t xml:space="preserve">SM-IAM-02</w:t>
            </w:r>
          </w:p>
        </w:tc>
        <w:tc>
          <w:tcPr>
            <w:tcW w:type="dxa" w:w="702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8"/>
                <w:szCs w:val="18"/>
              </w:rPr>
              <w:t xml:space="preserve">Workload identities and credentials MUST be automatically provisioned and short-lived; no static or long-lived credentials.</w:t>
            </w:r>
          </w:p>
        </w:tc>
        <w:tc>
          <w:tcPr>
            <w:tcW w:type="dxa" w:w="1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pPr>
              <w:jc w:val="center"/>
            </w:pPr>
            <w:r>
              <w:rPr>
                <w:b/>
                <w:bCs/>
                <w:color w:val="C0392B"/>
                <w:sz w:val="18"/>
                <w:szCs w:val="18"/>
              </w:rPr>
              <w:t xml:space="preserve">Critical</w:t>
            </w:r>
          </w:p>
        </w:tc>
      </w:tr>
      <w:tr>
        <w:tc>
          <w:tcPr>
            <w:tcW w:type="dxa" w:w="124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8"/>
                <w:szCs w:val="18"/>
              </w:rPr>
              <w:t xml:space="preserve">SM-IAM-03</w:t>
            </w:r>
          </w:p>
        </w:tc>
        <w:tc>
          <w:tcPr>
            <w:tcW w:type="dxa" w:w="702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8"/>
                <w:szCs w:val="18"/>
              </w:rPr>
              <w:t xml:space="preserve">Administrative access MUST use the enterprise identity provider with MFA.</w:t>
            </w:r>
          </w:p>
        </w:tc>
        <w:tc>
          <w:tcPr>
            <w:tcW w:type="dxa" w:w="1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pPr>
              <w:jc w:val="center"/>
            </w:pPr>
            <w:r>
              <w:rPr>
                <w:b/>
                <w:bCs/>
                <w:color w:val="C0392B"/>
                <w:sz w:val="18"/>
                <w:szCs w:val="18"/>
              </w:rPr>
              <w:t xml:space="preserve">Critical</w:t>
            </w:r>
          </w:p>
        </w:tc>
      </w:tr>
      <w:tr>
        <w:tc>
          <w:tcPr>
            <w:tcW w:type="dxa" w:w="124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8"/>
                <w:szCs w:val="18"/>
              </w:rPr>
              <w:t xml:space="preserve">SM-IAM-04</w:t>
            </w:r>
          </w:p>
        </w:tc>
        <w:tc>
          <w:tcPr>
            <w:tcW w:type="dxa" w:w="702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8"/>
                <w:szCs w:val="18"/>
              </w:rPr>
              <w:t xml:space="preserve">External user authentication MUST use an approved federation protocol (OIDC, OAuth 2.0, or SAML 2.0).</w:t>
            </w:r>
          </w:p>
        </w:tc>
        <w:tc>
          <w:tcPr>
            <w:tcW w:type="dxa" w:w="1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pPr>
              <w:jc w:val="center"/>
            </w:pPr>
            <w:r>
              <w:rPr>
                <w:b/>
                <w:bCs/>
                <w:color w:val="C0392B"/>
                <w:sz w:val="18"/>
                <w:szCs w:val="18"/>
              </w:rPr>
              <w:t xml:space="preserve">Critical</w:t>
            </w:r>
          </w:p>
        </w:tc>
      </w:tr>
      <w:tr>
        <w:tc>
          <w:tcPr>
            <w:tcW w:type="dxa" w:w="124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8"/>
                <w:szCs w:val="18"/>
              </w:rPr>
              <w:t xml:space="preserve">SM-IAM-05</w:t>
            </w:r>
          </w:p>
        </w:tc>
        <w:tc>
          <w:tcPr>
            <w:tcW w:type="dxa" w:w="702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8"/>
                <w:szCs w:val="18"/>
              </w:rPr>
              <w:t xml:space="preserve">In multi-cluster or federated meshes, cross-cluster identity MUST use a shared trust domain or validated federated trust bundles.</w:t>
            </w:r>
          </w:p>
        </w:tc>
        <w:tc>
          <w:tcPr>
            <w:tcW w:type="dxa" w:w="1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pPr>
              <w:jc w:val="center"/>
            </w:pPr>
            <w:r>
              <w:rPr>
                <w:b/>
                <w:bCs/>
                <w:color w:val="B9770E"/>
                <w:sz w:val="18"/>
                <w:szCs w:val="18"/>
              </w:rPr>
              <w:t xml:space="preserve">High</w:t>
            </w:r>
          </w:p>
        </w:tc>
      </w:tr>
    </w:tbl>
    <w:p>
      <w:pPr>
        <w:spacing w:after="140" w:before="60"/>
      </w:pPr>
      <w:r>
        <w:rPr>
          <w:b/>
          <w:bCs/>
          <w:color w:val="C0392B"/>
          <w:sz w:val="18"/>
          <w:szCs w:val="18"/>
        </w:rPr>
        <w:t xml:space="preserve">Prohibited:  </w:t>
      </w:r>
      <w:r>
        <w:rPr>
          <w:sz w:val="18"/>
          <w:szCs w:val="18"/>
        </w:rPr>
        <w:t xml:space="preserve">shared service accounts  ·  hardcoded credentials  ·  static API keys  ·  long-lived tokens</w:t>
      </w:r>
    </w:p>
    <w:p>
      <w:pPr>
        <w:spacing w:after="120"/>
      </w:pPr>
      <w:r>
        <w:t xml:space="preserve"/>
      </w:r>
    </w:p>
    <w:p>
      <w:pPr>
        <w:pStyle w:val="Heading2"/>
      </w:pPr>
      <w:r>
        <w:t xml:space="preserve">4.2  Authorization (SM-AUTHZ)</w:t>
      </w:r>
    </w:p>
    <w:p>
      <w:pPr>
        <w:spacing w:after="120" w:line="264"/>
      </w:pPr>
      <w:r>
        <w:t xml:space="preserve">Access between services is explicit, scoped, and deny-by-default.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0"/>
        <w:gridCol w:w="7020"/>
        <w:gridCol w:w="1100"/>
      </w:tblGrid>
      <w:tr>
        <w:trPr>
          <w:tblHeader/>
        </w:trPr>
        <w:tc>
          <w:tcPr>
            <w:tcW w:type="dxa" w:w="124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ID</w:t>
            </w:r>
          </w:p>
        </w:tc>
        <w:tc>
          <w:tcPr>
            <w:tcW w:type="dxa" w:w="702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Control Requirement</w:t>
            </w:r>
          </w:p>
        </w:tc>
        <w:tc>
          <w:tcPr>
            <w:tcW w:type="dxa" w:w="11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center"/>
            </w:pPr>
            <w:r>
              <w:rPr>
                <w:b/>
                <w:bCs/>
                <w:color w:val="FFFFFF"/>
                <w:sz w:val="18"/>
                <w:szCs w:val="18"/>
              </w:rPr>
              <w:t xml:space="preserve">Crit.</w:t>
            </w:r>
          </w:p>
        </w:tc>
      </w:tr>
      <w:tr>
        <w:tc>
          <w:tcPr>
            <w:tcW w:type="dxa" w:w="124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8"/>
                <w:szCs w:val="18"/>
              </w:rPr>
              <w:t xml:space="preserve">SM-AUTHZ-01</w:t>
            </w:r>
          </w:p>
        </w:tc>
        <w:tc>
          <w:tcPr>
            <w:tcW w:type="dxa" w:w="702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8"/>
                <w:szCs w:val="18"/>
              </w:rPr>
              <w:t xml:space="preserve">Service-to-service authorization MUST be deny-by-default; only explicit allow rules permit communication.</w:t>
            </w:r>
          </w:p>
        </w:tc>
        <w:tc>
          <w:tcPr>
            <w:tcW w:type="dxa" w:w="1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pPr>
              <w:jc w:val="center"/>
            </w:pPr>
            <w:r>
              <w:rPr>
                <w:b/>
                <w:bCs/>
                <w:color w:val="C0392B"/>
                <w:sz w:val="18"/>
                <w:szCs w:val="18"/>
              </w:rPr>
              <w:t xml:space="preserve">Critical</w:t>
            </w:r>
          </w:p>
        </w:tc>
      </w:tr>
      <w:tr>
        <w:tc>
          <w:tcPr>
            <w:tcW w:type="dxa" w:w="124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8"/>
                <w:szCs w:val="18"/>
              </w:rPr>
              <w:t xml:space="preserve">SM-AUTHZ-02</w:t>
            </w:r>
          </w:p>
        </w:tc>
        <w:tc>
          <w:tcPr>
            <w:tcW w:type="dxa" w:w="702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8"/>
                <w:szCs w:val="18"/>
              </w:rPr>
              <w:t xml:space="preserve">Authorization policies MUST be workload-specific. Wildcard and allow-all policies are prohibited.</w:t>
            </w:r>
          </w:p>
        </w:tc>
        <w:tc>
          <w:tcPr>
            <w:tcW w:type="dxa" w:w="1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pPr>
              <w:jc w:val="center"/>
            </w:pPr>
            <w:r>
              <w:rPr>
                <w:b/>
                <w:bCs/>
                <w:color w:val="C0392B"/>
                <w:sz w:val="18"/>
                <w:szCs w:val="18"/>
              </w:rPr>
              <w:t xml:space="preserve">Critical</w:t>
            </w:r>
          </w:p>
        </w:tc>
      </w:tr>
      <w:tr>
        <w:tc>
          <w:tcPr>
            <w:tcW w:type="dxa" w:w="124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8"/>
                <w:szCs w:val="18"/>
              </w:rPr>
              <w:t xml:space="preserve">SM-AUTHZ-03</w:t>
            </w:r>
          </w:p>
        </w:tc>
        <w:tc>
          <w:tcPr>
            <w:tcW w:type="dxa" w:w="702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8"/>
                <w:szCs w:val="18"/>
              </w:rPr>
              <w:t xml:space="preserve">Namespace isolation MUST be enforced. Cluster-wide administrative access for application workloads is prohibited.</w:t>
            </w:r>
          </w:p>
        </w:tc>
        <w:tc>
          <w:tcPr>
            <w:tcW w:type="dxa" w:w="1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pPr>
              <w:jc w:val="center"/>
            </w:pPr>
            <w:r>
              <w:rPr>
                <w:b/>
                <w:bCs/>
                <w:color w:val="C0392B"/>
                <w:sz w:val="18"/>
                <w:szCs w:val="18"/>
              </w:rPr>
              <w:t xml:space="preserve">Critical</w:t>
            </w:r>
          </w:p>
        </w:tc>
      </w:tr>
      <w:tr>
        <w:tc>
          <w:tcPr>
            <w:tcW w:type="dxa" w:w="124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8"/>
                <w:szCs w:val="18"/>
              </w:rPr>
              <w:t xml:space="preserve">SM-AUTHZ-04</w:t>
            </w:r>
          </w:p>
        </w:tc>
        <w:tc>
          <w:tcPr>
            <w:tcW w:type="dxa" w:w="702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8"/>
                <w:szCs w:val="18"/>
              </w:rPr>
              <w:t xml:space="preserve">Administrative access MUST be separated from operational access (mesh and Kubernetes RBAC).</w:t>
            </w:r>
          </w:p>
        </w:tc>
        <w:tc>
          <w:tcPr>
            <w:tcW w:type="dxa" w:w="1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pPr>
              <w:jc w:val="center"/>
            </w:pPr>
            <w:r>
              <w:rPr>
                <w:b/>
                <w:bCs/>
                <w:color w:val="B9770E"/>
                <w:sz w:val="18"/>
                <w:szCs w:val="18"/>
              </w:rPr>
              <w:t xml:space="preserve">High</w:t>
            </w:r>
          </w:p>
        </w:tc>
      </w:tr>
      <w:tr>
        <w:tc>
          <w:tcPr>
            <w:tcW w:type="dxa" w:w="124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8"/>
                <w:szCs w:val="18"/>
              </w:rPr>
              <w:t xml:space="preserve">SM-AUTHZ-05</w:t>
            </w:r>
          </w:p>
        </w:tc>
        <w:tc>
          <w:tcPr>
            <w:tcW w:type="dxa" w:w="702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8"/>
                <w:szCs w:val="18"/>
              </w:rPr>
              <w:t xml:space="preserve">Ingress gateways MUST enforce request-level authentication and authorization for external traffic (e.g., token / JWT validation) before routing to workloads.</w:t>
            </w:r>
          </w:p>
        </w:tc>
        <w:tc>
          <w:tcPr>
            <w:tcW w:type="dxa" w:w="1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pPr>
              <w:jc w:val="center"/>
            </w:pPr>
            <w:r>
              <w:rPr>
                <w:b/>
                <w:bCs/>
                <w:color w:val="B9770E"/>
                <w:sz w:val="18"/>
                <w:szCs w:val="18"/>
              </w:rPr>
              <w:t xml:space="preserve">High</w:t>
            </w:r>
          </w:p>
        </w:tc>
      </w:tr>
    </w:tbl>
    <w:p>
      <w:pPr>
        <w:spacing w:after="140" w:before="60"/>
      </w:pPr>
      <w:r>
        <w:rPr>
          <w:b/>
          <w:bCs/>
          <w:sz w:val="18"/>
          <w:szCs w:val="18"/>
        </w:rPr>
        <w:t xml:space="preserve">Note:  </w:t>
      </w:r>
      <w:r>
        <w:rPr>
          <w:sz w:val="18"/>
          <w:szCs w:val="18"/>
        </w:rPr>
        <w:t xml:space="preserve">where multiple tenants share a cluster, the tenancy model (soft or hard isolation) MUST be documented and approved.</w:t>
      </w:r>
    </w:p>
    <w:p>
      <w:pPr>
        <w:spacing w:after="120"/>
      </w:pPr>
      <w:r>
        <w:t xml:space="preserve"/>
      </w:r>
    </w:p>
    <w:p>
      <w:pPr>
        <w:pStyle w:val="Heading2"/>
      </w:pPr>
      <w:r>
        <w:t xml:space="preserve">4.3  Encryption in Transit / mTLS (SM-MTLS)</w:t>
      </w:r>
    </w:p>
    <w:p>
      <w:pPr>
        <w:spacing w:after="120" w:line="264"/>
      </w:pPr>
      <w:r>
        <w:t xml:space="preserve">All service traffic is mutually authenticated and encrypted.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0"/>
        <w:gridCol w:w="7020"/>
        <w:gridCol w:w="1100"/>
      </w:tblGrid>
      <w:tr>
        <w:trPr>
          <w:tblHeader/>
        </w:trPr>
        <w:tc>
          <w:tcPr>
            <w:tcW w:type="dxa" w:w="124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ID</w:t>
            </w:r>
          </w:p>
        </w:tc>
        <w:tc>
          <w:tcPr>
            <w:tcW w:type="dxa" w:w="702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Control Requirement</w:t>
            </w:r>
          </w:p>
        </w:tc>
        <w:tc>
          <w:tcPr>
            <w:tcW w:type="dxa" w:w="11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center"/>
            </w:pPr>
            <w:r>
              <w:rPr>
                <w:b/>
                <w:bCs/>
                <w:color w:val="FFFFFF"/>
                <w:sz w:val="18"/>
                <w:szCs w:val="18"/>
              </w:rPr>
              <w:t xml:space="preserve">Crit.</w:t>
            </w:r>
          </w:p>
        </w:tc>
      </w:tr>
      <w:tr>
        <w:tc>
          <w:tcPr>
            <w:tcW w:type="dxa" w:w="124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8"/>
                <w:szCs w:val="18"/>
              </w:rPr>
              <w:t xml:space="preserve">SM-MTLS-01</w:t>
            </w:r>
          </w:p>
        </w:tc>
        <w:tc>
          <w:tcPr>
            <w:tcW w:type="dxa" w:w="702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8"/>
                <w:szCs w:val="18"/>
              </w:rPr>
              <w:t xml:space="preserve">All production service-to-service traffic MUST use Strict mutual TLS.</w:t>
            </w:r>
          </w:p>
        </w:tc>
        <w:tc>
          <w:tcPr>
            <w:tcW w:type="dxa" w:w="1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pPr>
              <w:jc w:val="center"/>
            </w:pPr>
            <w:r>
              <w:rPr>
                <w:b/>
                <w:bCs/>
                <w:color w:val="C0392B"/>
                <w:sz w:val="18"/>
                <w:szCs w:val="18"/>
              </w:rPr>
              <w:t xml:space="preserve">Critical</w:t>
            </w:r>
          </w:p>
        </w:tc>
      </w:tr>
      <w:tr>
        <w:tc>
          <w:tcPr>
            <w:tcW w:type="dxa" w:w="124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8"/>
                <w:szCs w:val="18"/>
              </w:rPr>
              <w:t xml:space="preserve">SM-MTLS-02</w:t>
            </w:r>
          </w:p>
        </w:tc>
        <w:tc>
          <w:tcPr>
            <w:tcW w:type="dxa" w:w="702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8"/>
                <w:szCs w:val="18"/>
              </w:rPr>
              <w:t xml:space="preserve">Both client and server identities MUST be validated on every connection.</w:t>
            </w:r>
          </w:p>
        </w:tc>
        <w:tc>
          <w:tcPr>
            <w:tcW w:type="dxa" w:w="1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pPr>
              <w:jc w:val="center"/>
            </w:pPr>
            <w:r>
              <w:rPr>
                <w:b/>
                <w:bCs/>
                <w:color w:val="C0392B"/>
                <w:sz w:val="18"/>
                <w:szCs w:val="18"/>
              </w:rPr>
              <w:t xml:space="preserve">Critical</w:t>
            </w:r>
          </w:p>
        </w:tc>
      </w:tr>
      <w:tr>
        <w:tc>
          <w:tcPr>
            <w:tcW w:type="dxa" w:w="124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8"/>
                <w:szCs w:val="18"/>
              </w:rPr>
              <w:t xml:space="preserve">SM-MTLS-03</w:t>
            </w:r>
          </w:p>
        </w:tc>
        <w:tc>
          <w:tcPr>
            <w:tcW w:type="dxa" w:w="702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8"/>
                <w:szCs w:val="18"/>
              </w:rPr>
              <w:t xml:space="preserve">Plaintext MUST NOT traverse the network between workloads in production; gateway traffic MUST use TLS. (Application-to-local-proxy loopback is out of scope.)</w:t>
            </w:r>
          </w:p>
        </w:tc>
        <w:tc>
          <w:tcPr>
            <w:tcW w:type="dxa" w:w="1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pPr>
              <w:jc w:val="center"/>
            </w:pPr>
            <w:r>
              <w:rPr>
                <w:b/>
                <w:bCs/>
                <w:color w:val="C0392B"/>
                <w:sz w:val="18"/>
                <w:szCs w:val="18"/>
              </w:rPr>
              <w:t xml:space="preserve">Critical</w:t>
            </w:r>
          </w:p>
        </w:tc>
      </w:tr>
    </w:tbl>
    <w:p>
      <w:pPr>
        <w:spacing w:after="80" w:before="60"/>
      </w:pPr>
      <w:r>
        <w:rPr>
          <w:b/>
          <w:bCs/>
          <w:sz w:val="18"/>
          <w:szCs w:val="18"/>
        </w:rPr>
        <w:t xml:space="preserve">mTLS posture by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Environment</w:t>
            </w:r>
          </w:p>
        </w:tc>
        <w:tc>
          <w:tcPr>
            <w:tcW w:type="dxa" w:w="468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mTLS Requirement</w:t>
            </w:r>
          </w:p>
        </w:tc>
      </w:tr>
      <w:tr>
        <w:tc>
          <w:tcPr>
            <w:tcW w:type="dxa" w:w="468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Development</w:t>
            </w:r>
          </w:p>
        </w:tc>
        <w:tc>
          <w:tcPr>
            <w:tcW w:type="dxa" w:w="468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Permissive allowed</w:t>
            </w:r>
          </w:p>
        </w:tc>
      </w:tr>
      <w:tr>
        <w:tc>
          <w:tcPr>
            <w:tcW w:type="dxa" w:w="468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Test</w:t>
            </w:r>
          </w:p>
        </w:tc>
        <w:tc>
          <w:tcPr>
            <w:tcW w:type="dxa" w:w="468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Strict preferred</w:t>
            </w:r>
          </w:p>
        </w:tc>
      </w:tr>
      <w:tr>
        <w:tc>
          <w:tcPr>
            <w:tcW w:type="dxa" w:w="468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Staging</w:t>
            </w:r>
          </w:p>
        </w:tc>
        <w:tc>
          <w:tcPr>
            <w:tcW w:type="dxa" w:w="468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Strict required</w:t>
            </w:r>
          </w:p>
        </w:tc>
      </w:tr>
      <w:tr>
        <w:tc>
          <w:tcPr>
            <w:tcW w:type="dxa" w:w="468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Production</w:t>
            </w:r>
          </w:p>
        </w:tc>
        <w:tc>
          <w:tcPr>
            <w:tcW w:type="dxa" w:w="468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Strict mandatory</w:t>
            </w:r>
          </w:p>
        </w:tc>
      </w:tr>
    </w:tbl>
    <w:p>
      <w:pPr>
        <w:spacing w:before="80"/>
      </w:pPr>
      <w:r>
        <w:rPr>
          <w:i/>
          <w:iCs/>
          <w:color w:val="595959"/>
          <w:sz w:val="18"/>
          <w:szCs w:val="18"/>
        </w:rPr>
        <w:t xml:space="preserve">Exceptions require Security Architecture approval, a risk assessment, compensating controls, and a remediation date (see §7).</w:t>
      </w:r>
    </w:p>
    <w:p>
      <w:pPr>
        <w:spacing w:after="120"/>
      </w:pPr>
      <w:r>
        <w:t xml:space="preserve"/>
      </w:r>
    </w:p>
    <w:p>
      <w:pPr>
        <w:pStyle w:val="Heading2"/>
      </w:pPr>
      <w:r>
        <w:t xml:space="preserve">4.4  Certificate and Key Management (SM-CERT)</w:t>
      </w:r>
    </w:p>
    <w:p>
      <w:pPr>
        <w:spacing w:after="120" w:line="264"/>
      </w:pPr>
      <w:r>
        <w:t xml:space="preserve">Identity certificates are issued, rotated, and protected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0"/>
        <w:gridCol w:w="7020"/>
        <w:gridCol w:w="1100"/>
      </w:tblGrid>
      <w:tr>
        <w:trPr>
          <w:tblHeader/>
        </w:trPr>
        <w:tc>
          <w:tcPr>
            <w:tcW w:type="dxa" w:w="124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ID</w:t>
            </w:r>
          </w:p>
        </w:tc>
        <w:tc>
          <w:tcPr>
            <w:tcW w:type="dxa" w:w="702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Control Requirement</w:t>
            </w:r>
          </w:p>
        </w:tc>
        <w:tc>
          <w:tcPr>
            <w:tcW w:type="dxa" w:w="11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center"/>
            </w:pPr>
            <w:r>
              <w:rPr>
                <w:b/>
                <w:bCs/>
                <w:color w:val="FFFFFF"/>
                <w:sz w:val="18"/>
                <w:szCs w:val="18"/>
              </w:rPr>
              <w:t xml:space="preserve">Crit.</w:t>
            </w:r>
          </w:p>
        </w:tc>
      </w:tr>
      <w:tr>
        <w:tc>
          <w:tcPr>
            <w:tcW w:type="dxa" w:w="124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8"/>
                <w:szCs w:val="18"/>
              </w:rPr>
              <w:t xml:space="preserve">SM-CERT-01</w:t>
            </w:r>
          </w:p>
        </w:tc>
        <w:tc>
          <w:tcPr>
            <w:tcW w:type="dxa" w:w="702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8"/>
                <w:szCs w:val="18"/>
              </w:rPr>
              <w:t xml:space="preserve">Certificates MUST be issued only from an approved Certificate Authority (Appendix A).</w:t>
            </w:r>
          </w:p>
        </w:tc>
        <w:tc>
          <w:tcPr>
            <w:tcW w:type="dxa" w:w="1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pPr>
              <w:jc w:val="center"/>
            </w:pPr>
            <w:r>
              <w:rPr>
                <w:b/>
                <w:bCs/>
                <w:color w:val="C0392B"/>
                <w:sz w:val="18"/>
                <w:szCs w:val="18"/>
              </w:rPr>
              <w:t xml:space="preserve">Critical</w:t>
            </w:r>
          </w:p>
        </w:tc>
      </w:tr>
      <w:tr>
        <w:tc>
          <w:tcPr>
            <w:tcW w:type="dxa" w:w="124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8"/>
                <w:szCs w:val="18"/>
              </w:rPr>
              <w:t xml:space="preserve">SM-CERT-02</w:t>
            </w:r>
          </w:p>
        </w:tc>
        <w:tc>
          <w:tcPr>
            <w:tcW w:type="dxa" w:w="702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8"/>
                <w:szCs w:val="18"/>
              </w:rPr>
              <w:t xml:space="preserve">Certificate issuance, renewal, and rotation MUST be automated and non-disruptive to running services.</w:t>
            </w:r>
          </w:p>
        </w:tc>
        <w:tc>
          <w:tcPr>
            <w:tcW w:type="dxa" w:w="1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pPr>
              <w:jc w:val="center"/>
            </w:pPr>
            <w:r>
              <w:rPr>
                <w:b/>
                <w:bCs/>
                <w:color w:val="C0392B"/>
                <w:sz w:val="18"/>
                <w:szCs w:val="18"/>
              </w:rPr>
              <w:t xml:space="preserve">Critical</w:t>
            </w:r>
          </w:p>
        </w:tc>
      </w:tr>
      <w:tr>
        <w:tc>
          <w:tcPr>
            <w:tcW w:type="dxa" w:w="124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8"/>
                <w:szCs w:val="18"/>
              </w:rPr>
              <w:t xml:space="preserve">SM-CERT-03</w:t>
            </w:r>
          </w:p>
        </w:tc>
        <w:tc>
          <w:tcPr>
            <w:tcW w:type="dxa" w:w="702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8"/>
                <w:szCs w:val="18"/>
              </w:rPr>
              <w:t xml:space="preserve">Certificate lifetimes MUST NOT exceed the defined maximums.</w:t>
            </w:r>
          </w:p>
        </w:tc>
        <w:tc>
          <w:tcPr>
            <w:tcW w:type="dxa" w:w="1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pPr>
              <w:jc w:val="center"/>
            </w:pPr>
            <w:r>
              <w:rPr>
                <w:b/>
                <w:bCs/>
                <w:color w:val="C0392B"/>
                <w:sz w:val="18"/>
                <w:szCs w:val="18"/>
              </w:rPr>
              <w:t xml:space="preserve">Critical</w:t>
            </w:r>
          </w:p>
        </w:tc>
      </w:tr>
      <w:tr>
        <w:tc>
          <w:tcPr>
            <w:tcW w:type="dxa" w:w="124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8"/>
                <w:szCs w:val="18"/>
              </w:rPr>
              <w:t xml:space="preserve">SM-CERT-04</w:t>
            </w:r>
          </w:p>
        </w:tc>
        <w:tc>
          <w:tcPr>
            <w:tcW w:type="dxa" w:w="702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8"/>
                <w:szCs w:val="18"/>
              </w:rPr>
              <w:t xml:space="preserve">Private keys MUST be protected by approved controls (HSM / KMS) and certificate expiry MUST be monitored.</w:t>
            </w:r>
          </w:p>
        </w:tc>
        <w:tc>
          <w:tcPr>
            <w:tcW w:type="dxa" w:w="1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pPr>
              <w:jc w:val="center"/>
            </w:pPr>
            <w:r>
              <w:rPr>
                <w:b/>
                <w:bCs/>
                <w:color w:val="C0392B"/>
                <w:sz w:val="18"/>
                <w:szCs w:val="18"/>
              </w:rPr>
              <w:t xml:space="preserve">Critical</w:t>
            </w:r>
          </w:p>
        </w:tc>
      </w:tr>
      <w:tr>
        <w:tc>
          <w:tcPr>
            <w:tcW w:type="dxa" w:w="124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8"/>
                <w:szCs w:val="18"/>
              </w:rPr>
              <w:t xml:space="preserve">SM-CERT-05</w:t>
            </w:r>
          </w:p>
        </w:tc>
        <w:tc>
          <w:tcPr>
            <w:tcW w:type="dxa" w:w="702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8"/>
                <w:szCs w:val="18"/>
              </w:rPr>
              <w:t xml:space="preserve">A certificate revocation and CA-compromise response posture MUST be defined; short-lived certificates MAY substitute for active revocation, and CA compromise MUST trigger trust-bundle rotation.</w:t>
            </w:r>
          </w:p>
        </w:tc>
        <w:tc>
          <w:tcPr>
            <w:tcW w:type="dxa" w:w="1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pPr>
              <w:jc w:val="center"/>
            </w:pPr>
            <w:r>
              <w:rPr>
                <w:b/>
                <w:bCs/>
                <w:color w:val="B9770E"/>
                <w:sz w:val="18"/>
                <w:szCs w:val="18"/>
              </w:rPr>
              <w:t xml:space="preserve">High</w:t>
            </w:r>
          </w:p>
        </w:tc>
      </w:tr>
    </w:tbl>
    <w:p>
      <w:pPr>
        <w:spacing w:after="80" w:before="60"/>
      </w:pPr>
      <w:r>
        <w:rPr>
          <w:b/>
          <w:bCs/>
          <w:sz w:val="18"/>
          <w:szCs w:val="18"/>
        </w:rPr>
        <w:t xml:space="preserve">Maximum certificate lifetimes: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Certificate Type</w:t>
            </w:r>
          </w:p>
        </w:tc>
        <w:tc>
          <w:tcPr>
            <w:tcW w:type="dxa" w:w="468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Maximum Lifetime</w:t>
            </w:r>
          </w:p>
        </w:tc>
      </w:tr>
      <w:tr>
        <w:tc>
          <w:tcPr>
            <w:tcW w:type="dxa" w:w="468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Root CA</w:t>
            </w:r>
          </w:p>
        </w:tc>
        <w:tc>
          <w:tcPr>
            <w:tcW w:type="dxa" w:w="468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15 years</w:t>
            </w:r>
          </w:p>
        </w:tc>
      </w:tr>
      <w:tr>
        <w:tc>
          <w:tcPr>
            <w:tcW w:type="dxa" w:w="468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Intermediate CA</w:t>
            </w:r>
          </w:p>
        </w:tc>
        <w:tc>
          <w:tcPr>
            <w:tcW w:type="dxa" w:w="468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3 years</w:t>
            </w:r>
          </w:p>
        </w:tc>
      </w:tr>
      <w:tr>
        <w:tc>
          <w:tcPr>
            <w:tcW w:type="dxa" w:w="468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Mesh CA</w:t>
            </w:r>
          </w:p>
        </w:tc>
        <w:tc>
          <w:tcPr>
            <w:tcW w:type="dxa" w:w="468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12 months</w:t>
            </w:r>
          </w:p>
        </w:tc>
      </w:tr>
      <w:tr>
        <w:tc>
          <w:tcPr>
            <w:tcW w:type="dxa" w:w="468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Workload Certificate</w:t>
            </w:r>
          </w:p>
        </w:tc>
        <w:tc>
          <w:tcPr>
            <w:tcW w:type="dxa" w:w="468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24 hours</w:t>
            </w:r>
          </w:p>
        </w:tc>
      </w:tr>
    </w:tbl>
    <w:p>
      <w:pPr>
        <w:spacing w:before="80"/>
      </w:pPr>
      <w:r>
        <w:rPr>
          <w:i/>
          <w:iCs/>
          <w:color w:val="595959"/>
          <w:sz w:val="18"/>
          <w:szCs w:val="18"/>
        </w:rPr>
        <w:t xml:space="preserve">Note: short-lived certificate validation depends on synchronized time; workloads MUST use a trusted time source (NTP).</w:t>
      </w:r>
    </w:p>
    <w:p>
      <w:pPr>
        <w:spacing w:after="120"/>
      </w:pPr>
      <w:r>
        <w:t xml:space="preserve"/>
      </w:r>
    </w:p>
    <w:p>
      <w:pPr>
        <w:pStyle w:val="Heading2"/>
      </w:pPr>
      <w:r>
        <w:t xml:space="preserve">4.5  Network Segmentation (SM-NET)</w:t>
      </w:r>
    </w:p>
    <w:p>
      <w:pPr>
        <w:spacing w:after="120" w:line="264"/>
      </w:pPr>
      <w:r>
        <w:t xml:space="preserve">Mesh policy supplements — never replaces — network-layer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0"/>
        <w:gridCol w:w="7020"/>
        <w:gridCol w:w="1100"/>
      </w:tblGrid>
      <w:tr>
        <w:trPr>
          <w:tblHeader/>
        </w:trPr>
        <w:tc>
          <w:tcPr>
            <w:tcW w:type="dxa" w:w="124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ID</w:t>
            </w:r>
          </w:p>
        </w:tc>
        <w:tc>
          <w:tcPr>
            <w:tcW w:type="dxa" w:w="702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Control Requirement</w:t>
            </w:r>
          </w:p>
        </w:tc>
        <w:tc>
          <w:tcPr>
            <w:tcW w:type="dxa" w:w="11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center"/>
            </w:pPr>
            <w:r>
              <w:rPr>
                <w:b/>
                <w:bCs/>
                <w:color w:val="FFFFFF"/>
                <w:sz w:val="18"/>
                <w:szCs w:val="18"/>
              </w:rPr>
              <w:t xml:space="preserve">Crit.</w:t>
            </w:r>
          </w:p>
        </w:tc>
      </w:tr>
      <w:tr>
        <w:tc>
          <w:tcPr>
            <w:tcW w:type="dxa" w:w="124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8"/>
                <w:szCs w:val="18"/>
              </w:rPr>
              <w:t xml:space="preserve">SM-NET-01</w:t>
            </w:r>
          </w:p>
        </w:tc>
        <w:tc>
          <w:tcPr>
            <w:tcW w:type="dxa" w:w="702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8"/>
                <w:szCs w:val="18"/>
              </w:rPr>
              <w:t xml:space="preserve">Kubernetes Network Policies MUST be implemented in addition to mesh authorization policy.</w:t>
            </w:r>
          </w:p>
        </w:tc>
        <w:tc>
          <w:tcPr>
            <w:tcW w:type="dxa" w:w="1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pPr>
              <w:jc w:val="center"/>
            </w:pPr>
            <w:r>
              <w:rPr>
                <w:b/>
                <w:bCs/>
                <w:color w:val="B9770E"/>
                <w:sz w:val="18"/>
                <w:szCs w:val="18"/>
              </w:rPr>
              <w:t xml:space="preserve">High</w:t>
            </w:r>
          </w:p>
        </w:tc>
      </w:tr>
      <w:tr>
        <w:tc>
          <w:tcPr>
            <w:tcW w:type="dxa" w:w="124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8"/>
                <w:szCs w:val="18"/>
              </w:rPr>
              <w:t xml:space="preserve">SM-NET-02</w:t>
            </w:r>
          </w:p>
        </w:tc>
        <w:tc>
          <w:tcPr>
            <w:tcW w:type="dxa" w:w="702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8"/>
                <w:szCs w:val="18"/>
              </w:rPr>
              <w:t xml:space="preserve">Production workloads MUST be isolated and East-West traffic restricted to approved flows.</w:t>
            </w:r>
          </w:p>
        </w:tc>
        <w:tc>
          <w:tcPr>
            <w:tcW w:type="dxa" w:w="1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pPr>
              <w:jc w:val="center"/>
            </w:pPr>
            <w:r>
              <w:rPr>
                <w:b/>
                <w:bCs/>
                <w:color w:val="B9770E"/>
                <w:sz w:val="18"/>
                <w:szCs w:val="18"/>
              </w:rPr>
              <w:t xml:space="preserve">High</w:t>
            </w:r>
          </w:p>
        </w:tc>
      </w:tr>
      <w:tr>
        <w:tc>
          <w:tcPr>
            <w:tcW w:type="dxa" w:w="124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8"/>
                <w:szCs w:val="18"/>
              </w:rPr>
              <w:t xml:space="preserve">SM-NET-03</w:t>
            </w:r>
          </w:p>
        </w:tc>
        <w:tc>
          <w:tcPr>
            <w:tcW w:type="dxa" w:w="702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8"/>
                <w:szCs w:val="18"/>
              </w:rPr>
              <w:t xml:space="preserve">Traffic between meshed and non-meshed (legacy) workloads MUST cross a controlled, authenticated boundary; non-meshed workloads MUST NOT bypass mesh authorization.</w:t>
            </w:r>
          </w:p>
        </w:tc>
        <w:tc>
          <w:tcPr>
            <w:tcW w:type="dxa" w:w="1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pPr>
              <w:jc w:val="center"/>
            </w:pPr>
            <w:r>
              <w:rPr>
                <w:b/>
                <w:bCs/>
                <w:color w:val="B9770E"/>
                <w:sz w:val="18"/>
                <w:szCs w:val="18"/>
              </w:rPr>
              <w:t xml:space="preserve">High</w:t>
            </w:r>
          </w:p>
        </w:tc>
      </w:tr>
    </w:tbl>
    <w:p>
      <w:pPr>
        <w:spacing w:after="120"/>
      </w:pPr>
      <w:r>
        <w:t xml:space="preserve"/>
      </w:r>
    </w:p>
    <w:p>
      <w:pPr>
        <w:pStyle w:val="Heading2"/>
      </w:pPr>
      <w:r>
        <w:t xml:space="preserve">4.6  Egress Control (SM-EGR)</w:t>
      </w:r>
    </w:p>
    <w:p>
      <w:pPr>
        <w:spacing w:after="120" w:line="264"/>
      </w:pPr>
      <w:r>
        <w:t xml:space="preserve">Outbound traffic is brokered, restricted, and 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0"/>
        <w:gridCol w:w="7020"/>
        <w:gridCol w:w="1100"/>
      </w:tblGrid>
      <w:tr>
        <w:trPr>
          <w:tblHeader/>
        </w:trPr>
        <w:tc>
          <w:tcPr>
            <w:tcW w:type="dxa" w:w="124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ID</w:t>
            </w:r>
          </w:p>
        </w:tc>
        <w:tc>
          <w:tcPr>
            <w:tcW w:type="dxa" w:w="702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Control Requirement</w:t>
            </w:r>
          </w:p>
        </w:tc>
        <w:tc>
          <w:tcPr>
            <w:tcW w:type="dxa" w:w="11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center"/>
            </w:pPr>
            <w:r>
              <w:rPr>
                <w:b/>
                <w:bCs/>
                <w:color w:val="FFFFFF"/>
                <w:sz w:val="18"/>
                <w:szCs w:val="18"/>
              </w:rPr>
              <w:t xml:space="preserve">Crit.</w:t>
            </w:r>
          </w:p>
        </w:tc>
      </w:tr>
      <w:tr>
        <w:tc>
          <w:tcPr>
            <w:tcW w:type="dxa" w:w="124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8"/>
                <w:szCs w:val="18"/>
              </w:rPr>
              <w:t xml:space="preserve">SM-EGR-01</w:t>
            </w:r>
          </w:p>
        </w:tc>
        <w:tc>
          <w:tcPr>
            <w:tcW w:type="dxa" w:w="702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8"/>
                <w:szCs w:val="18"/>
              </w:rPr>
              <w:t xml:space="preserve">Outbound traffic MUST route through an approved egress gateway; direct internet egress from workloads is prohibited.</w:t>
            </w:r>
          </w:p>
        </w:tc>
        <w:tc>
          <w:tcPr>
            <w:tcW w:type="dxa" w:w="1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pPr>
              <w:jc w:val="center"/>
            </w:pPr>
            <w:r>
              <w:rPr>
                <w:b/>
                <w:bCs/>
                <w:color w:val="B9770E"/>
                <w:sz w:val="18"/>
                <w:szCs w:val="18"/>
              </w:rPr>
              <w:t xml:space="preserve">High</w:t>
            </w:r>
          </w:p>
        </w:tc>
      </w:tr>
      <w:tr>
        <w:tc>
          <w:tcPr>
            <w:tcW w:type="dxa" w:w="124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8"/>
                <w:szCs w:val="18"/>
              </w:rPr>
              <w:t xml:space="preserve">SM-EGR-02</w:t>
            </w:r>
          </w:p>
        </w:tc>
        <w:tc>
          <w:tcPr>
            <w:tcW w:type="dxa" w:w="702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8"/>
                <w:szCs w:val="18"/>
              </w:rPr>
              <w:t xml:space="preserve">Egress destinations MUST be explicitly approved and all egress traffic MUST be logged.</w:t>
            </w:r>
          </w:p>
        </w:tc>
        <w:tc>
          <w:tcPr>
            <w:tcW w:type="dxa" w:w="1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pPr>
              <w:jc w:val="center"/>
            </w:pPr>
            <w:r>
              <w:rPr>
                <w:b/>
                <w:bCs/>
                <w:color w:val="B9770E"/>
                <w:sz w:val="18"/>
                <w:szCs w:val="18"/>
              </w:rPr>
              <w:t xml:space="preserve">High</w:t>
            </w:r>
          </w:p>
        </w:tc>
      </w:tr>
    </w:tbl>
    <w:p>
      <w:pPr>
        <w:spacing w:after="120"/>
      </w:pPr>
      <w:r>
        <w:t xml:space="preserve"/>
      </w:r>
    </w:p>
    <w:p>
      <w:pPr>
        <w:pStyle w:val="Heading2"/>
      </w:pPr>
      <w:r>
        <w:t xml:space="preserve">4.7  Secrets Management (SM-SEC)</w:t>
      </w:r>
    </w:p>
    <w:p>
      <w:pPr>
        <w:spacing w:after="120" w:line="264"/>
      </w:pPr>
      <w:r>
        <w:t xml:space="preserve">Secrets live in managed stores, never in code or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0"/>
        <w:gridCol w:w="7020"/>
        <w:gridCol w:w="1100"/>
      </w:tblGrid>
      <w:tr>
        <w:trPr>
          <w:tblHeader/>
        </w:trPr>
        <w:tc>
          <w:tcPr>
            <w:tcW w:type="dxa" w:w="124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ID</w:t>
            </w:r>
          </w:p>
        </w:tc>
        <w:tc>
          <w:tcPr>
            <w:tcW w:type="dxa" w:w="702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Control Requirement</w:t>
            </w:r>
          </w:p>
        </w:tc>
        <w:tc>
          <w:tcPr>
            <w:tcW w:type="dxa" w:w="11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center"/>
            </w:pPr>
            <w:r>
              <w:rPr>
                <w:b/>
                <w:bCs/>
                <w:color w:val="FFFFFF"/>
                <w:sz w:val="18"/>
                <w:szCs w:val="18"/>
              </w:rPr>
              <w:t xml:space="preserve">Crit.</w:t>
            </w:r>
          </w:p>
        </w:tc>
      </w:tr>
      <w:tr>
        <w:tc>
          <w:tcPr>
            <w:tcW w:type="dxa" w:w="124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8"/>
                <w:szCs w:val="18"/>
              </w:rPr>
              <w:t xml:space="preserve">SM-SEC-01</w:t>
            </w:r>
          </w:p>
        </w:tc>
        <w:tc>
          <w:tcPr>
            <w:tcW w:type="dxa" w:w="702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8"/>
                <w:szCs w:val="18"/>
              </w:rPr>
              <w:t xml:space="preserve">Secrets MUST be stored in an approved secrets platform and encrypted at rest and in transit.</w:t>
            </w:r>
          </w:p>
        </w:tc>
        <w:tc>
          <w:tcPr>
            <w:tcW w:type="dxa" w:w="1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pPr>
              <w:jc w:val="center"/>
            </w:pPr>
            <w:r>
              <w:rPr>
                <w:b/>
                <w:bCs/>
                <w:color w:val="C0392B"/>
                <w:sz w:val="18"/>
                <w:szCs w:val="18"/>
              </w:rPr>
              <w:t xml:space="preserve">Critical</w:t>
            </w:r>
          </w:p>
        </w:tc>
      </w:tr>
      <w:tr>
        <w:tc>
          <w:tcPr>
            <w:tcW w:type="dxa" w:w="124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8"/>
                <w:szCs w:val="18"/>
              </w:rPr>
              <w:t xml:space="preserve">SM-SEC-02</w:t>
            </w:r>
          </w:p>
        </w:tc>
        <w:tc>
          <w:tcPr>
            <w:tcW w:type="dxa" w:w="702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8"/>
                <w:szCs w:val="18"/>
              </w:rPr>
              <w:t xml:space="preserve">Secrets MUST be rotated on a defined schedule and all secret access MUST be audited.</w:t>
            </w:r>
          </w:p>
        </w:tc>
        <w:tc>
          <w:tcPr>
            <w:tcW w:type="dxa" w:w="1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pPr>
              <w:jc w:val="center"/>
            </w:pPr>
            <w:r>
              <w:rPr>
                <w:b/>
                <w:bCs/>
                <w:color w:val="C0392B"/>
                <w:sz w:val="18"/>
                <w:szCs w:val="18"/>
              </w:rPr>
              <w:t xml:space="preserve">Critical</w:t>
            </w:r>
          </w:p>
        </w:tc>
      </w:tr>
    </w:tbl>
    <w:p>
      <w:pPr>
        <w:spacing w:after="140" w:before="60"/>
      </w:pPr>
      <w:r>
        <w:rPr>
          <w:b/>
          <w:bCs/>
          <w:color w:val="C0392B"/>
          <w:sz w:val="18"/>
          <w:szCs w:val="18"/>
        </w:rPr>
        <w:t xml:space="preserve">Prohibited:  </w:t>
      </w:r>
      <w:r>
        <w:rPr>
          <w:sz w:val="18"/>
          <w:szCs w:val="18"/>
        </w:rPr>
        <w:t xml:space="preserve">secrets in source code  ·  secrets in container images  ·  secrets in environment variables  ·  shared credentials</w:t>
      </w:r>
    </w:p>
    <w:p>
      <w:pPr>
        <w:spacing w:after="120"/>
      </w:pPr>
      <w:r>
        <w:t xml:space="preserve"/>
      </w:r>
    </w:p>
    <w:p>
      <w:pPr>
        <w:pStyle w:val="Heading2"/>
      </w:pPr>
      <w:r>
        <w:t xml:space="preserve">4.8  Logging (SM-LOG)</w:t>
      </w:r>
    </w:p>
    <w:p>
      <w:pPr>
        <w:spacing w:after="120" w:line="264"/>
      </w:pPr>
      <w:r>
        <w:t xml:space="preserve">Security-relevant mesh events are captured and centralized.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0"/>
        <w:gridCol w:w="7020"/>
        <w:gridCol w:w="1100"/>
      </w:tblGrid>
      <w:tr>
        <w:trPr>
          <w:tblHeader/>
        </w:trPr>
        <w:tc>
          <w:tcPr>
            <w:tcW w:type="dxa" w:w="124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ID</w:t>
            </w:r>
          </w:p>
        </w:tc>
        <w:tc>
          <w:tcPr>
            <w:tcW w:type="dxa" w:w="702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Control Requirement</w:t>
            </w:r>
          </w:p>
        </w:tc>
        <w:tc>
          <w:tcPr>
            <w:tcW w:type="dxa" w:w="11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center"/>
            </w:pPr>
            <w:r>
              <w:rPr>
                <w:b/>
                <w:bCs/>
                <w:color w:val="FFFFFF"/>
                <w:sz w:val="18"/>
                <w:szCs w:val="18"/>
              </w:rPr>
              <w:t xml:space="preserve">Crit.</w:t>
            </w:r>
          </w:p>
        </w:tc>
      </w:tr>
      <w:tr>
        <w:tc>
          <w:tcPr>
            <w:tcW w:type="dxa" w:w="124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8"/>
                <w:szCs w:val="18"/>
              </w:rPr>
              <w:t xml:space="preserve">SM-LOG-01</w:t>
            </w:r>
          </w:p>
        </w:tc>
        <w:tc>
          <w:tcPr>
            <w:tcW w:type="dxa" w:w="702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8"/>
                <w:szCs w:val="18"/>
              </w:rPr>
              <w:t xml:space="preserve">Authentication, authorization decisions, certificate lifecycle, gateway, administrative, policy-change, and security-violation events MUST be logged.</w:t>
            </w:r>
          </w:p>
        </w:tc>
        <w:tc>
          <w:tcPr>
            <w:tcW w:type="dxa" w:w="1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pPr>
              <w:jc w:val="center"/>
            </w:pPr>
            <w:r>
              <w:rPr>
                <w:b/>
                <w:bCs/>
                <w:color w:val="B9770E"/>
                <w:sz w:val="18"/>
                <w:szCs w:val="18"/>
              </w:rPr>
              <w:t xml:space="preserve">High</w:t>
            </w:r>
          </w:p>
        </w:tc>
      </w:tr>
      <w:tr>
        <w:tc>
          <w:tcPr>
            <w:tcW w:type="dxa" w:w="124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8"/>
                <w:szCs w:val="18"/>
              </w:rPr>
              <w:t xml:space="preserve">SM-LOG-02</w:t>
            </w:r>
          </w:p>
        </w:tc>
        <w:tc>
          <w:tcPr>
            <w:tcW w:type="dxa" w:w="702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8"/>
                <w:szCs w:val="18"/>
              </w:rPr>
              <w:t xml:space="preserve">All mesh security telemetry MUST be integrated with the enterprise SIEM.</w:t>
            </w:r>
          </w:p>
        </w:tc>
        <w:tc>
          <w:tcPr>
            <w:tcW w:type="dxa" w:w="1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pPr>
              <w:jc w:val="center"/>
            </w:pPr>
            <w:r>
              <w:rPr>
                <w:b/>
                <w:bCs/>
                <w:color w:val="B9770E"/>
                <w:sz w:val="18"/>
                <w:szCs w:val="18"/>
              </w:rPr>
              <w:t xml:space="preserve">High</w:t>
            </w:r>
          </w:p>
        </w:tc>
      </w:tr>
      <w:tr>
        <w:tc>
          <w:tcPr>
            <w:tcW w:type="dxa" w:w="124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8"/>
                <w:szCs w:val="18"/>
              </w:rPr>
              <w:t xml:space="preserve">SM-LOG-03</w:t>
            </w:r>
          </w:p>
        </w:tc>
        <w:tc>
          <w:tcPr>
            <w:tcW w:type="dxa" w:w="702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8"/>
                <w:szCs w:val="18"/>
              </w:rPr>
              <w:t xml:space="preserve">Logs MUST be retained per the enterprise schedule (production 365 days; critical systems 7 years).</w:t>
            </w:r>
          </w:p>
        </w:tc>
        <w:tc>
          <w:tcPr>
            <w:tcW w:type="dxa" w:w="1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pPr>
              <w:jc w:val="center"/>
            </w:pPr>
            <w:r>
              <w:rPr>
                <w:b/>
                <w:bCs/>
                <w:color w:val="1F618D"/>
                <w:sz w:val="18"/>
                <w:szCs w:val="18"/>
              </w:rPr>
              <w:t xml:space="preserve">Medium</w:t>
            </w:r>
          </w:p>
        </w:tc>
      </w:tr>
      <w:tr>
        <w:tc>
          <w:tcPr>
            <w:tcW w:type="dxa" w:w="124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8"/>
                <w:szCs w:val="18"/>
              </w:rPr>
              <w:t xml:space="preserve">SM-LOG-04</w:t>
            </w:r>
          </w:p>
        </w:tc>
        <w:tc>
          <w:tcPr>
            <w:tcW w:type="dxa" w:w="702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8"/>
                <w:szCs w:val="18"/>
              </w:rPr>
              <w:t xml:space="preserve">Security logs MUST be protected against tampering and unauthorized access (integrity and access controls).</w:t>
            </w:r>
          </w:p>
        </w:tc>
        <w:tc>
          <w:tcPr>
            <w:tcW w:type="dxa" w:w="1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pPr>
              <w:jc w:val="center"/>
            </w:pPr>
            <w:r>
              <w:rPr>
                <w:b/>
                <w:bCs/>
                <w:color w:val="B9770E"/>
                <w:sz w:val="18"/>
                <w:szCs w:val="18"/>
              </w:rPr>
              <w:t xml:space="preserve">High</w:t>
            </w:r>
          </w:p>
        </w:tc>
      </w:tr>
    </w:tbl>
    <w:p>
      <w:pPr>
        <w:spacing w:after="120"/>
      </w:pPr>
      <w:r>
        <w:t xml:space="preserve"/>
      </w:r>
    </w:p>
    <w:p>
      <w:pPr>
        <w:pStyle w:val="Heading2"/>
      </w:pPr>
      <w:r>
        <w:t xml:space="preserve">4.9  Monitoring and Detection (SM-MON)</w:t>
      </w:r>
    </w:p>
    <w:p>
      <w:pPr>
        <w:spacing w:after="120" w:line="264"/>
      </w:pPr>
      <w:r>
        <w:t xml:space="preserve">Posture and anomalies are continuously monitored and alerted.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0"/>
        <w:gridCol w:w="7020"/>
        <w:gridCol w:w="1100"/>
      </w:tblGrid>
      <w:tr>
        <w:trPr>
          <w:tblHeader/>
        </w:trPr>
        <w:tc>
          <w:tcPr>
            <w:tcW w:type="dxa" w:w="124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ID</w:t>
            </w:r>
          </w:p>
        </w:tc>
        <w:tc>
          <w:tcPr>
            <w:tcW w:type="dxa" w:w="702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Control Requirement</w:t>
            </w:r>
          </w:p>
        </w:tc>
        <w:tc>
          <w:tcPr>
            <w:tcW w:type="dxa" w:w="11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center"/>
            </w:pPr>
            <w:r>
              <w:rPr>
                <w:b/>
                <w:bCs/>
                <w:color w:val="FFFFFF"/>
                <w:sz w:val="18"/>
                <w:szCs w:val="18"/>
              </w:rPr>
              <w:t xml:space="preserve">Crit.</w:t>
            </w:r>
          </w:p>
        </w:tc>
      </w:tr>
      <w:tr>
        <w:tc>
          <w:tcPr>
            <w:tcW w:type="dxa" w:w="124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8"/>
                <w:szCs w:val="18"/>
              </w:rPr>
              <w:t xml:space="preserve">SM-MON-01</w:t>
            </w:r>
          </w:p>
        </w:tc>
        <w:tc>
          <w:tcPr>
            <w:tcW w:type="dxa" w:w="702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8"/>
                <w:szCs w:val="18"/>
              </w:rPr>
              <w:t xml:space="preserve">Monitoring MUST cover mTLS compliance, policy violations, certificate expiry, lateral-movement, and anomalous traffic.</w:t>
            </w:r>
          </w:p>
        </w:tc>
        <w:tc>
          <w:tcPr>
            <w:tcW w:type="dxa" w:w="1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pPr>
              <w:jc w:val="center"/>
            </w:pPr>
            <w:r>
              <w:rPr>
                <w:b/>
                <w:bCs/>
                <w:color w:val="B9770E"/>
                <w:sz w:val="18"/>
                <w:szCs w:val="18"/>
              </w:rPr>
              <w:t xml:space="preserve">High</w:t>
            </w:r>
          </w:p>
        </w:tc>
      </w:tr>
      <w:tr>
        <w:tc>
          <w:tcPr>
            <w:tcW w:type="dxa" w:w="124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8"/>
                <w:szCs w:val="18"/>
              </w:rPr>
              <w:t xml:space="preserve">SM-MON-02</w:t>
            </w:r>
          </w:p>
        </w:tc>
        <w:tc>
          <w:tcPr>
            <w:tcW w:type="dxa" w:w="702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8"/>
                <w:szCs w:val="18"/>
              </w:rPr>
              <w:t xml:space="preserve">Alerts MUST be configured at the defined severities and routed to the SOC.</w:t>
            </w:r>
          </w:p>
        </w:tc>
        <w:tc>
          <w:tcPr>
            <w:tcW w:type="dxa" w:w="1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pPr>
              <w:jc w:val="center"/>
            </w:pPr>
            <w:r>
              <w:rPr>
                <w:b/>
                <w:bCs/>
                <w:color w:val="B9770E"/>
                <w:sz w:val="18"/>
                <w:szCs w:val="18"/>
              </w:rPr>
              <w:t xml:space="preserve">High</w:t>
            </w:r>
          </w:p>
        </w:tc>
      </w:tr>
    </w:tbl>
    <w:p>
      <w:pPr>
        <w:spacing w:after="80" w:before="60"/>
      </w:pPr>
      <w:r>
        <w:rPr>
          <w:b/>
          <w:bCs/>
          <w:sz w:val="18"/>
          <w:szCs w:val="18"/>
        </w:rPr>
        <w:t xml:space="preserve">Minimum alert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60"/>
        <w:gridCol w:w="2700"/>
      </w:tblGrid>
      <w:tr>
        <w:trPr>
          <w:tblHeader/>
        </w:trPr>
        <w:tc>
          <w:tcPr>
            <w:tcW w:type="dxa" w:w="666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Alert Condition</w:t>
            </w:r>
          </w:p>
        </w:tc>
        <w:tc>
          <w:tcPr>
            <w:tcW w:type="dxa" w:w="27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Severity</w:t>
            </w:r>
          </w:p>
        </w:tc>
      </w:tr>
      <w:tr>
        <w:tc>
          <w:tcPr>
            <w:tcW w:type="dxa" w:w="66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Certificate expiry &lt; 30 days</w:t>
            </w:r>
          </w:p>
        </w:tc>
        <w:tc>
          <w:tcPr>
            <w:tcW w:type="dxa" w:w="27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High</w:t>
            </w:r>
          </w:p>
        </w:tc>
      </w:tr>
      <w:tr>
        <w:tc>
          <w:tcPr>
            <w:tcW w:type="dxa" w:w="66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mTLS failure</w:t>
            </w:r>
          </w:p>
        </w:tc>
        <w:tc>
          <w:tcPr>
            <w:tcW w:type="dxa" w:w="27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Critical</w:t>
            </w:r>
          </w:p>
        </w:tc>
      </w:tr>
      <w:tr>
        <w:tc>
          <w:tcPr>
            <w:tcW w:type="dxa" w:w="66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Unauthorized communication</w:t>
            </w:r>
          </w:p>
        </w:tc>
        <w:tc>
          <w:tcPr>
            <w:tcW w:type="dxa" w:w="27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Critical</w:t>
            </w:r>
          </w:p>
        </w:tc>
      </w:tr>
      <w:tr>
        <w:tc>
          <w:tcPr>
            <w:tcW w:type="dxa" w:w="66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Policy modification</w:t>
            </w:r>
          </w:p>
        </w:tc>
        <w:tc>
          <w:tcPr>
            <w:tcW w:type="dxa" w:w="27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High</w:t>
            </w:r>
          </w:p>
        </w:tc>
      </w:tr>
      <w:tr>
        <w:tc>
          <w:tcPr>
            <w:tcW w:type="dxa" w:w="66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Control-plane failure</w:t>
            </w:r>
          </w:p>
        </w:tc>
        <w:tc>
          <w:tcPr>
            <w:tcW w:type="dxa" w:w="27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Critical</w:t>
            </w:r>
          </w:p>
        </w:tc>
      </w:tr>
      <w:tr>
        <w:tc>
          <w:tcPr>
            <w:tcW w:type="dxa" w:w="66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Gateway failure</w:t>
            </w:r>
          </w:p>
        </w:tc>
        <w:tc>
          <w:tcPr>
            <w:tcW w:type="dxa" w:w="27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Critical</w:t>
            </w:r>
          </w:p>
        </w:tc>
      </w:tr>
      <w:tr>
        <w:tc>
          <w:tcPr>
            <w:tcW w:type="dxa" w:w="66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Excessive authorization denials</w:t>
            </w:r>
          </w:p>
        </w:tc>
        <w:tc>
          <w:tcPr>
            <w:tcW w:type="dxa" w:w="27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High</w:t>
            </w:r>
          </w:p>
        </w:tc>
      </w:tr>
    </w:tbl>
    <w:p>
      <w:pPr>
        <w:spacing w:after="120"/>
      </w:pPr>
      <w:r>
        <w:t xml:space="preserve"/>
      </w:r>
    </w:p>
    <w:p>
      <w:pPr>
        <w:pStyle w:val="Heading2"/>
      </w:pPr>
      <w:r>
        <w:t xml:space="preserve">4.10  Policy-as-Code and Enforcement (SM-PAC)</w:t>
      </w:r>
    </w:p>
    <w:p>
      <w:pPr>
        <w:spacing w:after="120" w:line="264"/>
      </w:pPr>
      <w:r>
        <w:t xml:space="preserve">Policy is version-controlled, reviewed, and enforced at admission.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0"/>
        <w:gridCol w:w="7020"/>
        <w:gridCol w:w="1100"/>
      </w:tblGrid>
      <w:tr>
        <w:trPr>
          <w:tblHeader/>
        </w:trPr>
        <w:tc>
          <w:tcPr>
            <w:tcW w:type="dxa" w:w="124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ID</w:t>
            </w:r>
          </w:p>
        </w:tc>
        <w:tc>
          <w:tcPr>
            <w:tcW w:type="dxa" w:w="702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Control Requirement</w:t>
            </w:r>
          </w:p>
        </w:tc>
        <w:tc>
          <w:tcPr>
            <w:tcW w:type="dxa" w:w="11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center"/>
            </w:pPr>
            <w:r>
              <w:rPr>
                <w:b/>
                <w:bCs/>
                <w:color w:val="FFFFFF"/>
                <w:sz w:val="18"/>
                <w:szCs w:val="18"/>
              </w:rPr>
              <w:t xml:space="preserve">Crit.</w:t>
            </w:r>
          </w:p>
        </w:tc>
      </w:tr>
      <w:tr>
        <w:tc>
          <w:tcPr>
            <w:tcW w:type="dxa" w:w="124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8"/>
                <w:szCs w:val="18"/>
              </w:rPr>
              <w:t xml:space="preserve">SM-PAC-01</w:t>
            </w:r>
          </w:p>
        </w:tc>
        <w:tc>
          <w:tcPr>
            <w:tcW w:type="dxa" w:w="702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8"/>
                <w:szCs w:val="18"/>
              </w:rPr>
              <w:t xml:space="preserve">All mesh and network policies MUST be stored in source control; manual production changes are prohibited.</w:t>
            </w:r>
          </w:p>
        </w:tc>
        <w:tc>
          <w:tcPr>
            <w:tcW w:type="dxa" w:w="1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pPr>
              <w:jc w:val="center"/>
            </w:pPr>
            <w:r>
              <w:rPr>
                <w:b/>
                <w:bCs/>
                <w:color w:val="B9770E"/>
                <w:sz w:val="18"/>
                <w:szCs w:val="18"/>
              </w:rPr>
              <w:t xml:space="preserve">High</w:t>
            </w:r>
          </w:p>
        </w:tc>
      </w:tr>
      <w:tr>
        <w:tc>
          <w:tcPr>
            <w:tcW w:type="dxa" w:w="124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8"/>
                <w:szCs w:val="18"/>
              </w:rPr>
              <w:t xml:space="preserve">SM-PAC-02</w:t>
            </w:r>
          </w:p>
        </w:tc>
        <w:tc>
          <w:tcPr>
            <w:tcW w:type="dxa" w:w="702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8"/>
                <w:szCs w:val="18"/>
              </w:rPr>
              <w:t xml:space="preserve">All policy changes MUST pass peer review and automated security validation before deployment.</w:t>
            </w:r>
          </w:p>
        </w:tc>
        <w:tc>
          <w:tcPr>
            <w:tcW w:type="dxa" w:w="1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pPr>
              <w:jc w:val="center"/>
            </w:pPr>
            <w:r>
              <w:rPr>
                <w:b/>
                <w:bCs/>
                <w:color w:val="B9770E"/>
                <w:sz w:val="18"/>
                <w:szCs w:val="18"/>
              </w:rPr>
              <w:t xml:space="preserve">High</w:t>
            </w:r>
          </w:p>
        </w:tc>
      </w:tr>
      <w:tr>
        <w:tc>
          <w:tcPr>
            <w:tcW w:type="dxa" w:w="124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8"/>
                <w:szCs w:val="18"/>
              </w:rPr>
              <w:t xml:space="preserve">SM-PAC-03</w:t>
            </w:r>
          </w:p>
        </w:tc>
        <w:tc>
          <w:tcPr>
            <w:tcW w:type="dxa" w:w="702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8"/>
                <w:szCs w:val="18"/>
              </w:rPr>
              <w:t xml:space="preserve">Policies MUST be enforced at admission (admission controller) to block non-compliant deployments.</w:t>
            </w:r>
          </w:p>
        </w:tc>
        <w:tc>
          <w:tcPr>
            <w:tcW w:type="dxa" w:w="1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pPr>
              <w:jc w:val="center"/>
            </w:pPr>
            <w:r>
              <w:rPr>
                <w:b/>
                <w:bCs/>
                <w:color w:val="B9770E"/>
                <w:sz w:val="18"/>
                <w:szCs w:val="18"/>
              </w:rPr>
              <w:t xml:space="preserve">High</w:t>
            </w:r>
          </w:p>
        </w:tc>
      </w:tr>
    </w:tbl>
    <w:p>
      <w:pPr>
        <w:spacing w:after="120"/>
      </w:pPr>
      <w:r>
        <w:t xml:space="preserve"/>
      </w:r>
    </w:p>
    <w:p>
      <w:pPr>
        <w:pStyle w:val="Heading2"/>
      </w:pPr>
      <w:r>
        <w:t xml:space="preserve">4.11  Secure Configuration (SM-CFG)</w:t>
      </w:r>
    </w:p>
    <w:p>
      <w:pPr>
        <w:spacing w:after="120" w:line="264"/>
      </w:pPr>
      <w:r>
        <w:t xml:space="preserve">Control plane, data plane, and gateways ship hardened.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0"/>
        <w:gridCol w:w="7020"/>
        <w:gridCol w:w="1100"/>
      </w:tblGrid>
      <w:tr>
        <w:trPr>
          <w:tblHeader/>
        </w:trPr>
        <w:tc>
          <w:tcPr>
            <w:tcW w:type="dxa" w:w="124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ID</w:t>
            </w:r>
          </w:p>
        </w:tc>
        <w:tc>
          <w:tcPr>
            <w:tcW w:type="dxa" w:w="702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Control Requirement</w:t>
            </w:r>
          </w:p>
        </w:tc>
        <w:tc>
          <w:tcPr>
            <w:tcW w:type="dxa" w:w="11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center"/>
            </w:pPr>
            <w:r>
              <w:rPr>
                <w:b/>
                <w:bCs/>
                <w:color w:val="FFFFFF"/>
                <w:sz w:val="18"/>
                <w:szCs w:val="18"/>
              </w:rPr>
              <w:t xml:space="preserve">Crit.</w:t>
            </w:r>
          </w:p>
        </w:tc>
      </w:tr>
      <w:tr>
        <w:tc>
          <w:tcPr>
            <w:tcW w:type="dxa" w:w="124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8"/>
                <w:szCs w:val="18"/>
              </w:rPr>
              <w:t xml:space="preserve">SM-CFG-01</w:t>
            </w:r>
          </w:p>
        </w:tc>
        <w:tc>
          <w:tcPr>
            <w:tcW w:type="dxa" w:w="702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8"/>
                <w:szCs w:val="18"/>
              </w:rPr>
              <w:t xml:space="preserve">The control plane MUST be deployed highly-available, with TLS enabled, restricted administrative access, and audit logging.</w:t>
            </w:r>
          </w:p>
        </w:tc>
        <w:tc>
          <w:tcPr>
            <w:tcW w:type="dxa" w:w="1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pPr>
              <w:jc w:val="center"/>
            </w:pPr>
            <w:r>
              <w:rPr>
                <w:b/>
                <w:bCs/>
                <w:color w:val="B9770E"/>
                <w:sz w:val="18"/>
                <w:szCs w:val="18"/>
              </w:rPr>
              <w:t xml:space="preserve">High</w:t>
            </w:r>
          </w:p>
        </w:tc>
      </w:tr>
      <w:tr>
        <w:tc>
          <w:tcPr>
            <w:tcW w:type="dxa" w:w="124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8"/>
                <w:szCs w:val="18"/>
              </w:rPr>
              <w:t xml:space="preserve">SM-CFG-02</w:t>
            </w:r>
          </w:p>
        </w:tc>
        <w:tc>
          <w:tcPr>
            <w:tcW w:type="dxa" w:w="702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8"/>
                <w:szCs w:val="18"/>
              </w:rPr>
              <w:t xml:space="preserve">Data-plane attachment MUST be automatic (sidecar injection or ambient enrollment); proxies MUST run patched images and set resource limits.</w:t>
            </w:r>
          </w:p>
        </w:tc>
        <w:tc>
          <w:tcPr>
            <w:tcW w:type="dxa" w:w="1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pPr>
              <w:jc w:val="center"/>
            </w:pPr>
            <w:r>
              <w:rPr>
                <w:b/>
                <w:bCs/>
                <w:color w:val="B9770E"/>
                <w:sz w:val="18"/>
                <w:szCs w:val="18"/>
              </w:rPr>
              <w:t xml:space="preserve">High</w:t>
            </w:r>
          </w:p>
        </w:tc>
      </w:tr>
      <w:tr>
        <w:tc>
          <w:tcPr>
            <w:tcW w:type="dxa" w:w="124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8"/>
                <w:szCs w:val="18"/>
              </w:rPr>
              <w:t xml:space="preserve">SM-CFG-03</w:t>
            </w:r>
          </w:p>
        </w:tc>
        <w:tc>
          <w:tcPr>
            <w:tcW w:type="dxa" w:w="702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8"/>
                <w:szCs w:val="18"/>
              </w:rPr>
              <w:t xml:space="preserve">Gateways MUST use TLS 1.2 as a minimum and SHOULD use TLS 1.3, with cipher suites per the enterprise cryptographic standard, strong certificate validation, and access logging.</w:t>
            </w:r>
          </w:p>
        </w:tc>
        <w:tc>
          <w:tcPr>
            <w:tcW w:type="dxa" w:w="1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pPr>
              <w:jc w:val="center"/>
            </w:pPr>
            <w:r>
              <w:rPr>
                <w:b/>
                <w:bCs/>
                <w:color w:val="B9770E"/>
                <w:sz w:val="18"/>
                <w:szCs w:val="18"/>
              </w:rPr>
              <w:t xml:space="preserve">High</w:t>
            </w:r>
          </w:p>
        </w:tc>
      </w:tr>
      <w:tr>
        <w:tc>
          <w:tcPr>
            <w:tcW w:type="dxa" w:w="124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8"/>
                <w:szCs w:val="18"/>
              </w:rPr>
              <w:t xml:space="preserve">SM-CFG-04</w:t>
            </w:r>
          </w:p>
        </w:tc>
        <w:tc>
          <w:tcPr>
            <w:tcW w:type="dxa" w:w="702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8"/>
                <w:szCs w:val="18"/>
              </w:rPr>
              <w:t xml:space="preserve">Control-plane-to-data-plane configuration channels MUST be mutually authenticated and encrypted.</w:t>
            </w:r>
          </w:p>
        </w:tc>
        <w:tc>
          <w:tcPr>
            <w:tcW w:type="dxa" w:w="1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pPr>
              <w:jc w:val="center"/>
            </w:pPr>
            <w:r>
              <w:rPr>
                <w:b/>
                <w:bCs/>
                <w:color w:val="B9770E"/>
                <w:sz w:val="18"/>
                <w:szCs w:val="18"/>
              </w:rPr>
              <w:t xml:space="preserve">High</w:t>
            </w:r>
          </w:p>
        </w:tc>
      </w:tr>
    </w:tbl>
    <w:p>
      <w:pPr>
        <w:spacing w:after="120"/>
      </w:pPr>
      <w:r>
        <w:t xml:space="preserve"/>
      </w:r>
    </w:p>
    <w:p>
      <w:pPr>
        <w:pStyle w:val="Heading2"/>
      </w:pPr>
      <w:r>
        <w:t xml:space="preserve">4.12  Vulnerability Management (SM-VULN)</w:t>
      </w:r>
    </w:p>
    <w:p>
      <w:pPr>
        <w:spacing w:after="120" w:line="264"/>
      </w:pPr>
      <w:r>
        <w:t xml:space="preserve">Mesh components are scanned and remediated within 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0"/>
        <w:gridCol w:w="7020"/>
        <w:gridCol w:w="1100"/>
      </w:tblGrid>
      <w:tr>
        <w:trPr>
          <w:tblHeader/>
        </w:trPr>
        <w:tc>
          <w:tcPr>
            <w:tcW w:type="dxa" w:w="124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ID</w:t>
            </w:r>
          </w:p>
        </w:tc>
        <w:tc>
          <w:tcPr>
            <w:tcW w:type="dxa" w:w="702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Control Requirement</w:t>
            </w:r>
          </w:p>
        </w:tc>
        <w:tc>
          <w:tcPr>
            <w:tcW w:type="dxa" w:w="11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center"/>
            </w:pPr>
            <w:r>
              <w:rPr>
                <w:b/>
                <w:bCs/>
                <w:color w:val="FFFFFF"/>
                <w:sz w:val="18"/>
                <w:szCs w:val="18"/>
              </w:rPr>
              <w:t xml:space="preserve">Crit.</w:t>
            </w:r>
          </w:p>
        </w:tc>
      </w:tr>
      <w:tr>
        <w:tc>
          <w:tcPr>
            <w:tcW w:type="dxa" w:w="124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8"/>
                <w:szCs w:val="18"/>
              </w:rPr>
              <w:t xml:space="preserve">SM-VULN-01</w:t>
            </w:r>
          </w:p>
        </w:tc>
        <w:tc>
          <w:tcPr>
            <w:tcW w:type="dxa" w:w="702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8"/>
                <w:szCs w:val="18"/>
              </w:rPr>
              <w:t xml:space="preserve">Mesh components (control plane, sidecars, gateways, certificate services) MUST be in scope for monthly vulnerability scanning.</w:t>
            </w:r>
          </w:p>
        </w:tc>
        <w:tc>
          <w:tcPr>
            <w:tcW w:type="dxa" w:w="1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pPr>
              <w:jc w:val="center"/>
            </w:pPr>
            <w:r>
              <w:rPr>
                <w:b/>
                <w:bCs/>
                <w:color w:val="B9770E"/>
                <w:sz w:val="18"/>
                <w:szCs w:val="18"/>
              </w:rPr>
              <w:t xml:space="preserve">High</w:t>
            </w:r>
          </w:p>
        </w:tc>
      </w:tr>
      <w:tr>
        <w:tc>
          <w:tcPr>
            <w:tcW w:type="dxa" w:w="124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8"/>
                <w:szCs w:val="18"/>
              </w:rPr>
              <w:t xml:space="preserve">SM-VULN-02</w:t>
            </w:r>
          </w:p>
        </w:tc>
        <w:tc>
          <w:tcPr>
            <w:tcW w:type="dxa" w:w="702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8"/>
                <w:szCs w:val="18"/>
              </w:rPr>
              <w:t xml:space="preserve">Vulnerabilities MUST be remediated within SLA by finding severity: Critical 7 days, High 30 days, Medium 90 days.</w:t>
            </w:r>
          </w:p>
        </w:tc>
        <w:tc>
          <w:tcPr>
            <w:tcW w:type="dxa" w:w="1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pPr>
              <w:jc w:val="center"/>
            </w:pPr>
            <w:r>
              <w:rPr>
                <w:b/>
                <w:bCs/>
                <w:color w:val="B9770E"/>
                <w:sz w:val="18"/>
                <w:szCs w:val="18"/>
              </w:rPr>
              <w:t xml:space="preserve">High</w:t>
            </w:r>
          </w:p>
        </w:tc>
      </w:tr>
    </w:tbl>
    <w:p>
      <w:pPr>
        <w:spacing w:after="120"/>
      </w:pPr>
      <w:r>
        <w:t xml:space="preserve"/>
      </w:r>
    </w:p>
    <w:p>
      <w:pPr>
        <w:pStyle w:val="Heading2"/>
      </w:pPr>
      <w:r>
        <w:t xml:space="preserve">4.13  Multitenancy and Isolation (SM-MT)</w:t>
      </w:r>
    </w:p>
    <w:p>
      <w:pPr>
        <w:spacing w:after="120" w:line="264"/>
      </w:pPr>
      <w:r>
        <w:t xml:space="preserve">A tenant is any group sharing the mesh — a team, application, business unit, or customer. Match isolation to trust: trusted tenants can share a cluster behind logical fences (namespaces and policy); untrusted or regulated tenants need hard separation (their own cluster or mesh). Use the lightest isolation that fits the trust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0"/>
        <w:gridCol w:w="7020"/>
        <w:gridCol w:w="1100"/>
      </w:tblGrid>
      <w:tr>
        <w:trPr>
          <w:tblHeader/>
        </w:trPr>
        <w:tc>
          <w:tcPr>
            <w:tcW w:type="dxa" w:w="124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ID</w:t>
            </w:r>
          </w:p>
        </w:tc>
        <w:tc>
          <w:tcPr>
            <w:tcW w:type="dxa" w:w="702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Control Requirement</w:t>
            </w:r>
          </w:p>
        </w:tc>
        <w:tc>
          <w:tcPr>
            <w:tcW w:type="dxa" w:w="11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center"/>
            </w:pPr>
            <w:r>
              <w:rPr>
                <w:b/>
                <w:bCs/>
                <w:color w:val="FFFFFF"/>
                <w:sz w:val="18"/>
                <w:szCs w:val="18"/>
              </w:rPr>
              <w:t xml:space="preserve">Crit.</w:t>
            </w:r>
          </w:p>
        </w:tc>
      </w:tr>
      <w:tr>
        <w:tc>
          <w:tcPr>
            <w:tcW w:type="dxa" w:w="124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8"/>
                <w:szCs w:val="18"/>
              </w:rPr>
              <w:t xml:space="preserve">SM-MT-01</w:t>
            </w:r>
          </w:p>
        </w:tc>
        <w:tc>
          <w:tcPr>
            <w:tcW w:type="dxa" w:w="702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8"/>
                <w:szCs w:val="18"/>
              </w:rPr>
              <w:t xml:space="preserve">The tenancy model (soft or hard) MUST be documented and approved per cluster, with the isolation boundary (namespace, cluster, or mesh trust domain) explicitly identified and matched to the tenant trust level.</w:t>
            </w:r>
          </w:p>
        </w:tc>
        <w:tc>
          <w:tcPr>
            <w:tcW w:type="dxa" w:w="1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pPr>
              <w:jc w:val="center"/>
            </w:pPr>
            <w:r>
              <w:rPr>
                <w:b/>
                <w:bCs/>
                <w:color w:val="B9770E"/>
                <w:sz w:val="18"/>
                <w:szCs w:val="18"/>
              </w:rPr>
              <w:t xml:space="preserve">High</w:t>
            </w:r>
          </w:p>
        </w:tc>
      </w:tr>
      <w:tr>
        <w:tc>
          <w:tcPr>
            <w:tcW w:type="dxa" w:w="124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8"/>
                <w:szCs w:val="18"/>
              </w:rPr>
              <w:t xml:space="preserve">SM-MT-02</w:t>
            </w:r>
          </w:p>
        </w:tc>
        <w:tc>
          <w:tcPr>
            <w:tcW w:type="dxa" w:w="702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8"/>
                <w:szCs w:val="18"/>
              </w:rPr>
              <w:t xml:space="preserve">Namespaces provide logical isolation only; each tenant's workloads, identities, policies, and quotas MUST be namespace-scoped, with cross-namespace traffic deny-by-default.</w:t>
            </w:r>
          </w:p>
        </w:tc>
        <w:tc>
          <w:tcPr>
            <w:tcW w:type="dxa" w:w="1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pPr>
              <w:jc w:val="center"/>
            </w:pPr>
            <w:r>
              <w:rPr>
                <w:b/>
                <w:bCs/>
                <w:color w:val="C0392B"/>
                <w:sz w:val="18"/>
                <w:szCs w:val="18"/>
              </w:rPr>
              <w:t xml:space="preserve">Critical</w:t>
            </w:r>
          </w:p>
        </w:tc>
      </w:tr>
      <w:tr>
        <w:tc>
          <w:tcPr>
            <w:tcW w:type="dxa" w:w="124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8"/>
                <w:szCs w:val="18"/>
              </w:rPr>
              <w:t xml:space="preserve">SM-MT-03</w:t>
            </w:r>
          </w:p>
        </w:tc>
        <w:tc>
          <w:tcPr>
            <w:tcW w:type="dxa" w:w="702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8"/>
                <w:szCs w:val="18"/>
              </w:rPr>
              <w:t xml:space="preserve">Soft-tenancy namespaces MUST enforce the full isolation set: RBAC (who can act), Network Policy (L3/L4), mesh Authorization Policy (L7, identity-based), and Pod Security admission (workload hardening).</w:t>
            </w:r>
          </w:p>
        </w:tc>
        <w:tc>
          <w:tcPr>
            <w:tcW w:type="dxa" w:w="1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pPr>
              <w:jc w:val="center"/>
            </w:pPr>
            <w:r>
              <w:rPr>
                <w:b/>
                <w:bCs/>
                <w:color w:val="C0392B"/>
                <w:sz w:val="18"/>
                <w:szCs w:val="18"/>
              </w:rPr>
              <w:t xml:space="preserve">Critical</w:t>
            </w:r>
          </w:p>
        </w:tc>
      </w:tr>
      <w:tr>
        <w:tc>
          <w:tcPr>
            <w:tcW w:type="dxa" w:w="124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8"/>
                <w:szCs w:val="18"/>
              </w:rPr>
              <w:t xml:space="preserve">SM-MT-04</w:t>
            </w:r>
          </w:p>
        </w:tc>
        <w:tc>
          <w:tcPr>
            <w:tcW w:type="dxa" w:w="702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8"/>
                <w:szCs w:val="18"/>
              </w:rPr>
              <w:t xml:space="preserve">Per-tenant resource quotas and limits MUST be enforced to prevent resource exhaustion and noisy-neighbor abuse.</w:t>
            </w:r>
          </w:p>
        </w:tc>
        <w:tc>
          <w:tcPr>
            <w:tcW w:type="dxa" w:w="1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pPr>
              <w:jc w:val="center"/>
            </w:pPr>
            <w:r>
              <w:rPr>
                <w:b/>
                <w:bCs/>
                <w:color w:val="B9770E"/>
                <w:sz w:val="18"/>
                <w:szCs w:val="18"/>
              </w:rPr>
              <w:t xml:space="preserve">High</w:t>
            </w:r>
          </w:p>
        </w:tc>
      </w:tr>
      <w:tr>
        <w:tc>
          <w:tcPr>
            <w:tcW w:type="dxa" w:w="124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8"/>
                <w:szCs w:val="18"/>
              </w:rPr>
              <w:t xml:space="preserve">SM-MT-05</w:t>
            </w:r>
          </w:p>
        </w:tc>
        <w:tc>
          <w:tcPr>
            <w:tcW w:type="dxa" w:w="702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8"/>
                <w:szCs w:val="18"/>
              </w:rPr>
              <w:t xml:space="preserve">Untrusted, hostile, or regulated tenants MUST use hard isolation (separate cluster or mesh trust domain); a shared mesh control plane MUST serve only tenants of equivalent trust.</w:t>
            </w:r>
          </w:p>
        </w:tc>
        <w:tc>
          <w:tcPr>
            <w:tcW w:type="dxa" w:w="1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pPr>
              <w:jc w:val="center"/>
            </w:pPr>
            <w:r>
              <w:rPr>
                <w:b/>
                <w:bCs/>
                <w:color w:val="B9770E"/>
                <w:sz w:val="18"/>
                <w:szCs w:val="18"/>
              </w:rPr>
              <w:t xml:space="preserve">High</w:t>
            </w:r>
          </w:p>
        </w:tc>
      </w:tr>
      <w:tr>
        <w:tc>
          <w:tcPr>
            <w:tcW w:type="dxa" w:w="124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8"/>
                <w:szCs w:val="18"/>
              </w:rPr>
              <w:t xml:space="preserve">SM-MT-06</w:t>
            </w:r>
          </w:p>
        </w:tc>
        <w:tc>
          <w:tcPr>
            <w:tcW w:type="dxa" w:w="702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8"/>
                <w:szCs w:val="18"/>
              </w:rPr>
              <w:t xml:space="preserve">Tenant configuration MUST be standardized and automated (namespace templates and per-tenant policy-as-code) for consistent, drift-free isolation.</w:t>
            </w:r>
          </w:p>
        </w:tc>
        <w:tc>
          <w:tcPr>
            <w:tcW w:type="dxa" w:w="1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pPr>
              <w:jc w:val="center"/>
            </w:pPr>
            <w:r>
              <w:rPr>
                <w:b/>
                <w:bCs/>
                <w:color w:val="B9770E"/>
                <w:sz w:val="18"/>
                <w:szCs w:val="18"/>
              </w:rPr>
              <w:t xml:space="preserve">High</w:t>
            </w:r>
          </w:p>
        </w:tc>
      </w:tr>
    </w:tbl>
    <w:p>
      <w:pPr>
        <w:spacing w:after="140" w:before="60"/>
      </w:pPr>
      <w:r>
        <w:rPr>
          <w:b/>
          <w:bCs/>
          <w:sz w:val="18"/>
          <w:szCs w:val="18"/>
        </w:rPr>
        <w:t xml:space="preserve">Note:  </w:t>
      </w:r>
      <w:r>
        <w:rPr>
          <w:sz w:val="18"/>
          <w:szCs w:val="18"/>
        </w:rPr>
        <w:t xml:space="preserve">namespaces give logical isolation, not hard isolation — they assume the shared node, kernel, and control plane are trustworthy. For untrusted or hostile tenants, namespaces are not enough; escalate to a separate cluster or mesh trust domain.</w:t>
      </w:r>
    </w:p>
    <w:p>
      <w:pPr>
        <w:spacing w:after="120"/>
      </w:pPr>
      <w:r>
        <w:t xml:space="preserve"/>
      </w:r>
    </w:p>
    <w:p>
      <w:pPr>
        <w:pStyle w:val="Heading2"/>
      </w:pPr>
      <w:r>
        <w:t xml:space="preserve">4.14  CI/CD Pipeline Security (SM-CICD)</w:t>
      </w:r>
    </w:p>
    <w:p>
      <w:pPr>
        <w:spacing w:after="120" w:line="264"/>
      </w:pPr>
      <w:r>
        <w:t xml:space="preserve">The pipeline that builds and deploys mesh workloads and policy is itself a protected, identity-bound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0"/>
        <w:gridCol w:w="7020"/>
        <w:gridCol w:w="1100"/>
      </w:tblGrid>
      <w:tr>
        <w:trPr>
          <w:tblHeader/>
        </w:trPr>
        <w:tc>
          <w:tcPr>
            <w:tcW w:type="dxa" w:w="124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ID</w:t>
            </w:r>
          </w:p>
        </w:tc>
        <w:tc>
          <w:tcPr>
            <w:tcW w:type="dxa" w:w="702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Control Requirement</w:t>
            </w:r>
          </w:p>
        </w:tc>
        <w:tc>
          <w:tcPr>
            <w:tcW w:type="dxa" w:w="11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center"/>
            </w:pPr>
            <w:r>
              <w:rPr>
                <w:b/>
                <w:bCs/>
                <w:color w:val="FFFFFF"/>
                <w:sz w:val="18"/>
                <w:szCs w:val="18"/>
              </w:rPr>
              <w:t xml:space="preserve">Crit.</w:t>
            </w:r>
          </w:p>
        </w:tc>
      </w:tr>
      <w:tr>
        <w:tc>
          <w:tcPr>
            <w:tcW w:type="dxa" w:w="124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8"/>
                <w:szCs w:val="18"/>
              </w:rPr>
              <w:t xml:space="preserve">SM-CICD-01</w:t>
            </w:r>
          </w:p>
        </w:tc>
        <w:tc>
          <w:tcPr>
            <w:tcW w:type="dxa" w:w="702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8"/>
                <w:szCs w:val="18"/>
              </w:rPr>
              <w:t xml:space="preserve">Branch protection and peer review MUST precede any merge to protected branches.</w:t>
            </w:r>
          </w:p>
        </w:tc>
        <w:tc>
          <w:tcPr>
            <w:tcW w:type="dxa" w:w="1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pPr>
              <w:jc w:val="center"/>
            </w:pPr>
            <w:r>
              <w:rPr>
                <w:b/>
                <w:bCs/>
                <w:color w:val="B9770E"/>
                <w:sz w:val="18"/>
                <w:szCs w:val="18"/>
              </w:rPr>
              <w:t xml:space="preserve">High</w:t>
            </w:r>
          </w:p>
        </w:tc>
      </w:tr>
      <w:tr>
        <w:tc>
          <w:tcPr>
            <w:tcW w:type="dxa" w:w="124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8"/>
                <w:szCs w:val="18"/>
              </w:rPr>
              <w:t xml:space="preserve">SM-CICD-02</w:t>
            </w:r>
          </w:p>
        </w:tc>
        <w:tc>
          <w:tcPr>
            <w:tcW w:type="dxa" w:w="702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8"/>
                <w:szCs w:val="18"/>
              </w:rPr>
              <w:t xml:space="preserve">Pipeline access MUST follow least privilege and pipeline-based access control (PBAC), using scoped, short-lived credentials.</w:t>
            </w:r>
          </w:p>
        </w:tc>
        <w:tc>
          <w:tcPr>
            <w:tcW w:type="dxa" w:w="1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pPr>
              <w:jc w:val="center"/>
            </w:pPr>
            <w:r>
              <w:rPr>
                <w:b/>
                <w:bCs/>
                <w:color w:val="C0392B"/>
                <w:sz w:val="18"/>
                <w:szCs w:val="18"/>
              </w:rPr>
              <w:t xml:space="preserve">Critical</w:t>
            </w:r>
          </w:p>
        </w:tc>
      </w:tr>
      <w:tr>
        <w:tc>
          <w:tcPr>
            <w:tcW w:type="dxa" w:w="124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8"/>
                <w:szCs w:val="18"/>
              </w:rPr>
              <w:t xml:space="preserve">SM-CICD-03</w:t>
            </w:r>
          </w:p>
        </w:tc>
        <w:tc>
          <w:tcPr>
            <w:tcW w:type="dxa" w:w="702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8"/>
                <w:szCs w:val="18"/>
              </w:rPr>
              <w:t xml:space="preserve">Dependencies MUST be pinned and scanned (SCA); untrusted dependency sources are prohibited.</w:t>
            </w:r>
          </w:p>
        </w:tc>
        <w:tc>
          <w:tcPr>
            <w:tcW w:type="dxa" w:w="1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pPr>
              <w:jc w:val="center"/>
            </w:pPr>
            <w:r>
              <w:rPr>
                <w:b/>
                <w:bCs/>
                <w:color w:val="B9770E"/>
                <w:sz w:val="18"/>
                <w:szCs w:val="18"/>
              </w:rPr>
              <w:t xml:space="preserve">High</w:t>
            </w:r>
          </w:p>
        </w:tc>
      </w:tr>
      <w:tr>
        <w:tc>
          <w:tcPr>
            <w:tcW w:type="dxa" w:w="124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8"/>
                <w:szCs w:val="18"/>
              </w:rPr>
              <w:t xml:space="preserve">SM-CICD-04</w:t>
            </w:r>
          </w:p>
        </w:tc>
        <w:tc>
          <w:tcPr>
            <w:tcW w:type="dxa" w:w="702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8"/>
                <w:szCs w:val="18"/>
              </w:rPr>
              <w:t xml:space="preserve">Build runners MUST be isolated; untrusted code MUST NOT execute in a privileged pipeline context (preventing poisoned pipeline execution).</w:t>
            </w:r>
          </w:p>
        </w:tc>
        <w:tc>
          <w:tcPr>
            <w:tcW w:type="dxa" w:w="1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pPr>
              <w:jc w:val="center"/>
            </w:pPr>
            <w:r>
              <w:rPr>
                <w:b/>
                <w:bCs/>
                <w:color w:val="B9770E"/>
                <w:sz w:val="18"/>
                <w:szCs w:val="18"/>
              </w:rPr>
              <w:t xml:space="preserve">High</w:t>
            </w:r>
          </w:p>
        </w:tc>
      </w:tr>
      <w:tr>
        <w:tc>
          <w:tcPr>
            <w:tcW w:type="dxa" w:w="124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8"/>
                <w:szCs w:val="18"/>
              </w:rPr>
              <w:t xml:space="preserve">SM-CICD-05</w:t>
            </w:r>
          </w:p>
        </w:tc>
        <w:tc>
          <w:tcPr>
            <w:tcW w:type="dxa" w:w="702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8"/>
                <w:szCs w:val="18"/>
              </w:rPr>
              <w:t xml:space="preserve">Pipeline secrets MUST come from the approved secrets platform with rotation; secret scanning MUST run before merge.</w:t>
            </w:r>
          </w:p>
        </w:tc>
        <w:tc>
          <w:tcPr>
            <w:tcW w:type="dxa" w:w="1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pPr>
              <w:jc w:val="center"/>
            </w:pPr>
            <w:r>
              <w:rPr>
                <w:b/>
                <w:bCs/>
                <w:color w:val="C0392B"/>
                <w:sz w:val="18"/>
                <w:szCs w:val="18"/>
              </w:rPr>
              <w:t xml:space="preserve">Critical</w:t>
            </w:r>
          </w:p>
        </w:tc>
      </w:tr>
      <w:tr>
        <w:tc>
          <w:tcPr>
            <w:tcW w:type="dxa" w:w="124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8"/>
                <w:szCs w:val="18"/>
              </w:rPr>
              <w:t xml:space="preserve">SM-CICD-06</w:t>
            </w:r>
          </w:p>
        </w:tc>
        <w:tc>
          <w:tcPr>
            <w:tcW w:type="dxa" w:w="702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8"/>
                <w:szCs w:val="18"/>
              </w:rPr>
              <w:t xml:space="preserve">Build artifacts and container images MUST be signed, and signatures MUST be verified at admission.</w:t>
            </w:r>
          </w:p>
        </w:tc>
        <w:tc>
          <w:tcPr>
            <w:tcW w:type="dxa" w:w="1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pPr>
              <w:jc w:val="center"/>
            </w:pPr>
            <w:r>
              <w:rPr>
                <w:b/>
                <w:bCs/>
                <w:color w:val="B9770E"/>
                <w:sz w:val="18"/>
                <w:szCs w:val="18"/>
              </w:rPr>
              <w:t xml:space="preserve">High</w:t>
            </w:r>
          </w:p>
        </w:tc>
      </w:tr>
      <w:tr>
        <w:tc>
          <w:tcPr>
            <w:tcW w:type="dxa" w:w="124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8"/>
                <w:szCs w:val="18"/>
              </w:rPr>
              <w:t xml:space="preserve">SM-CICD-07</w:t>
            </w:r>
          </w:p>
        </w:tc>
        <w:tc>
          <w:tcPr>
            <w:tcW w:type="dxa" w:w="702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8"/>
                <w:szCs w:val="18"/>
              </w:rPr>
              <w:t xml:space="preserve">Third-party actions, plugins, and base images MUST be vetted and version-pinned.</w:t>
            </w:r>
          </w:p>
        </w:tc>
        <w:tc>
          <w:tcPr>
            <w:tcW w:type="dxa" w:w="1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pPr>
              <w:jc w:val="center"/>
            </w:pPr>
            <w:r>
              <w:rPr>
                <w:b/>
                <w:bCs/>
                <w:color w:val="B9770E"/>
                <w:sz w:val="18"/>
                <w:szCs w:val="18"/>
              </w:rPr>
              <w:t xml:space="preserve">High</w:t>
            </w:r>
          </w:p>
        </w:tc>
      </w:tr>
      <w:tr>
        <w:tc>
          <w:tcPr>
            <w:tcW w:type="dxa" w:w="124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8"/>
                <w:szCs w:val="18"/>
              </w:rPr>
              <w:t xml:space="preserve">SM-CICD-08</w:t>
            </w:r>
          </w:p>
        </w:tc>
        <w:tc>
          <w:tcPr>
            <w:tcW w:type="dxa" w:w="702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8"/>
                <w:szCs w:val="18"/>
              </w:rPr>
              <w:t xml:space="preserve">Pipeline activity and security events MUST be logged to the enterprise SIEM.</w:t>
            </w:r>
          </w:p>
        </w:tc>
        <w:tc>
          <w:tcPr>
            <w:tcW w:type="dxa" w:w="1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pPr>
              <w:jc w:val="center"/>
            </w:pPr>
            <w:r>
              <w:rPr>
                <w:b/>
                <w:bCs/>
                <w:color w:val="B9770E"/>
                <w:sz w:val="18"/>
                <w:szCs w:val="18"/>
              </w:rPr>
              <w:t xml:space="preserve">High</w:t>
            </w:r>
          </w:p>
        </w:tc>
      </w:tr>
      <w:tr>
        <w:tc>
          <w:tcPr>
            <w:tcW w:type="dxa" w:w="124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8"/>
                <w:szCs w:val="18"/>
              </w:rPr>
              <w:t xml:space="preserve">SM-CICD-09</w:t>
            </w:r>
          </w:p>
        </w:tc>
        <w:tc>
          <w:tcPr>
            <w:tcW w:type="dxa" w:w="702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8"/>
                <w:szCs w:val="18"/>
              </w:rPr>
              <w:t xml:space="preserve">Stage security gates (SAST, SCA, IaC, container, and DAST scans) MUST block promotion on policy failure.</w:t>
            </w:r>
          </w:p>
        </w:tc>
        <w:tc>
          <w:tcPr>
            <w:tcW w:type="dxa" w:w="1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pPr>
              <w:jc w:val="center"/>
            </w:pPr>
            <w:r>
              <w:rPr>
                <w:b/>
                <w:bCs/>
                <w:color w:val="B9770E"/>
                <w:sz w:val="18"/>
                <w:szCs w:val="18"/>
              </w:rPr>
              <w:t xml:space="preserve">High</w:t>
            </w:r>
          </w:p>
        </w:tc>
      </w:tr>
    </w:tbl>
    <w:p>
      <w:pPr>
        <w:spacing w:after="120"/>
      </w:pPr>
      <w:r>
        <w:t xml:space="preserve"/>
      </w:r>
    </w:p>
    <w:p>
      <w:r>
        <w:br w:type="page"/>
      </w:r>
    </w:p>
    <w:p>
      <w:pPr>
        <w:pStyle w:val="Heading1"/>
      </w:pPr>
      <w:r>
        <w:t xml:space="preserve">5. Minimum Production Baseline</w:t>
      </w:r>
    </w:p>
    <w:p>
      <w:pPr>
        <w:spacing w:after="120" w:line="264"/>
      </w:pPr>
      <w:r>
        <w:t xml:space="preserve">Every production service mesh deployment MUST satisfy the following baseline. Failure to meet any item constitutes non-compliance and requires a formal, time-boxed risk acceptance (see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760"/>
        <w:gridCol w:w="2200"/>
      </w:tblGrid>
      <w:tr>
        <w:trPr>
          <w:tblHeader/>
        </w:trPr>
        <w:tc>
          <w:tcPr>
            <w:tcW w:type="dxa" w:w="34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Baseline Requirement</w:t>
            </w:r>
          </w:p>
        </w:tc>
        <w:tc>
          <w:tcPr>
            <w:tcW w:type="dxa" w:w="376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Setting</w:t>
            </w:r>
          </w:p>
        </w:tc>
        <w:tc>
          <w:tcPr>
            <w:tcW w:type="dxa" w:w="22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Controls</w:t>
            </w:r>
          </w:p>
        </w:tc>
      </w:tr>
      <w:tr>
        <w:tc>
          <w:tcPr>
            <w:tcW w:type="dxa" w:w="34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Workload identity</w:t>
            </w:r>
          </w:p>
        </w:tc>
        <w:tc>
          <w:tcPr>
            <w:tcW w:type="dxa" w:w="37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Unique, SPIFFE-aligned</w:t>
            </w:r>
          </w:p>
        </w:tc>
        <w:tc>
          <w:tcPr>
            <w:tcW w:type="dxa" w:w="22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SM-IAM-01/02</w:t>
            </w:r>
          </w:p>
        </w:tc>
      </w:tr>
      <w:tr>
        <w:tc>
          <w:tcPr>
            <w:tcW w:type="dxa" w:w="34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Authorization</w:t>
            </w:r>
          </w:p>
        </w:tc>
        <w:tc>
          <w:tcPr>
            <w:tcW w:type="dxa" w:w="37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Deny-by-default</w:t>
            </w:r>
          </w:p>
        </w:tc>
        <w:tc>
          <w:tcPr>
            <w:tcW w:type="dxa" w:w="22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SM-AUTHZ-01/02</w:t>
            </w:r>
          </w:p>
        </w:tc>
      </w:tr>
      <w:tr>
        <w:tc>
          <w:tcPr>
            <w:tcW w:type="dxa" w:w="34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mTLS</w:t>
            </w:r>
          </w:p>
        </w:tc>
        <w:tc>
          <w:tcPr>
            <w:tcW w:type="dxa" w:w="37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Strict</w:t>
            </w:r>
          </w:p>
        </w:tc>
        <w:tc>
          <w:tcPr>
            <w:tcW w:type="dxa" w:w="22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SM-MTLS-01</w:t>
            </w:r>
          </w:p>
        </w:tc>
      </w:tr>
      <w:tr>
        <w:tc>
          <w:tcPr>
            <w:tcW w:type="dxa" w:w="34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Certificate rotation</w:t>
            </w:r>
          </w:p>
        </w:tc>
        <w:tc>
          <w:tcPr>
            <w:tcW w:type="dxa" w:w="37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Automated</w:t>
            </w:r>
          </w:p>
        </w:tc>
        <w:tc>
          <w:tcPr>
            <w:tcW w:type="dxa" w:w="22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SM-CERT-02</w:t>
            </w:r>
          </w:p>
        </w:tc>
      </w:tr>
      <w:tr>
        <w:tc>
          <w:tcPr>
            <w:tcW w:type="dxa" w:w="34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Namespace isolation</w:t>
            </w:r>
          </w:p>
        </w:tc>
        <w:tc>
          <w:tcPr>
            <w:tcW w:type="dxa" w:w="37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Enforced</w:t>
            </w:r>
          </w:p>
        </w:tc>
        <w:tc>
          <w:tcPr>
            <w:tcW w:type="dxa" w:w="22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SM-AUTHZ-03</w:t>
            </w:r>
          </w:p>
        </w:tc>
      </w:tr>
      <w:tr>
        <w:tc>
          <w:tcPr>
            <w:tcW w:type="dxa" w:w="34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Network policies</w:t>
            </w:r>
          </w:p>
        </w:tc>
        <w:tc>
          <w:tcPr>
            <w:tcW w:type="dxa" w:w="37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Required</w:t>
            </w:r>
          </w:p>
        </w:tc>
        <w:tc>
          <w:tcPr>
            <w:tcW w:type="dxa" w:w="22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SM-NET-01</w:t>
            </w:r>
          </w:p>
        </w:tc>
      </w:tr>
      <w:tr>
        <w:tc>
          <w:tcPr>
            <w:tcW w:type="dxa" w:w="34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Egress control</w:t>
            </w:r>
          </w:p>
        </w:tc>
        <w:tc>
          <w:tcPr>
            <w:tcW w:type="dxa" w:w="37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Gateway-brokered</w:t>
            </w:r>
          </w:p>
        </w:tc>
        <w:tc>
          <w:tcPr>
            <w:tcW w:type="dxa" w:w="22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SM-EGR-01</w:t>
            </w:r>
          </w:p>
        </w:tc>
      </w:tr>
      <w:tr>
        <w:tc>
          <w:tcPr>
            <w:tcW w:type="dxa" w:w="34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Secrets management</w:t>
            </w:r>
          </w:p>
        </w:tc>
        <w:tc>
          <w:tcPr>
            <w:tcW w:type="dxa" w:w="37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Managed store</w:t>
            </w:r>
          </w:p>
        </w:tc>
        <w:tc>
          <w:tcPr>
            <w:tcW w:type="dxa" w:w="22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SM-SEC-01</w:t>
            </w:r>
          </w:p>
        </w:tc>
      </w:tr>
      <w:tr>
        <w:tc>
          <w:tcPr>
            <w:tcW w:type="dxa" w:w="34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Logging + SIEM</w:t>
            </w:r>
          </w:p>
        </w:tc>
        <w:tc>
          <w:tcPr>
            <w:tcW w:type="dxa" w:w="37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Integrated</w:t>
            </w:r>
          </w:p>
        </w:tc>
        <w:tc>
          <w:tcPr>
            <w:tcW w:type="dxa" w:w="22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SM-LOG-01/02</w:t>
            </w:r>
          </w:p>
        </w:tc>
      </w:tr>
      <w:tr>
        <w:tc>
          <w:tcPr>
            <w:tcW w:type="dxa" w:w="34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Policy-as-Code</w:t>
            </w:r>
          </w:p>
        </w:tc>
        <w:tc>
          <w:tcPr>
            <w:tcW w:type="dxa" w:w="37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Source-controlled + admission-enforced</w:t>
            </w:r>
          </w:p>
        </w:tc>
        <w:tc>
          <w:tcPr>
            <w:tcW w:type="dxa" w:w="22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SM-PAC-01/03</w:t>
            </w:r>
          </w:p>
        </w:tc>
      </w:tr>
      <w:tr>
        <w:tc>
          <w:tcPr>
            <w:tcW w:type="dxa" w:w="34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Multitenancy</w:t>
            </w:r>
          </w:p>
        </w:tc>
        <w:tc>
          <w:tcPr>
            <w:tcW w:type="dxa" w:w="37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Documented isolation model</w:t>
            </w:r>
          </w:p>
        </w:tc>
        <w:tc>
          <w:tcPr>
            <w:tcW w:type="dxa" w:w="22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SM-MT-01/02</w:t>
            </w:r>
          </w:p>
        </w:tc>
      </w:tr>
      <w:tr>
        <w:tc>
          <w:tcPr>
            <w:tcW w:type="dxa" w:w="34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Pipeline security</w:t>
            </w:r>
          </w:p>
        </w:tc>
        <w:tc>
          <w:tcPr>
            <w:tcW w:type="dxa" w:w="37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Signed artifacts + scoped creds + stage gates</w:t>
            </w:r>
          </w:p>
        </w:tc>
        <w:tc>
          <w:tcPr>
            <w:tcW w:type="dxa" w:w="22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SM-CICD-02/06/09</w:t>
            </w:r>
          </w:p>
        </w:tc>
      </w:tr>
      <w:tr>
        <w:tc>
          <w:tcPr>
            <w:tcW w:type="dxa" w:w="34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Security reviews</w:t>
            </w:r>
          </w:p>
        </w:tc>
        <w:tc>
          <w:tcPr>
            <w:tcW w:type="dxa" w:w="37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Quarterly</w:t>
            </w:r>
          </w:p>
        </w:tc>
        <w:tc>
          <w:tcPr>
            <w:tcW w:type="dxa" w:w="22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SM-GOV (see §7)</w:t>
            </w:r>
          </w:p>
        </w:tc>
      </w:tr>
    </w:tbl>
    <w:p>
      <w:pPr>
        <w:spacing w:after="120"/>
      </w:pPr>
      <w:r>
        <w:t xml:space="preserve"/>
      </w:r>
    </w:p>
    <w:p>
      <w:pPr>
        <w:pStyle w:val="Heading1"/>
      </w:pPr>
      <w:r>
        <w:t xml:space="preserve">6. Framework Compliance Mapping</w:t>
      </w:r>
    </w:p>
    <w:p>
      <w:pPr>
        <w:spacing w:after="120" w:line="264"/>
      </w:pPr>
      <w:r>
        <w:t xml:space="preserve">Framework-level mappings (PCI-DSS, SOC 2, ISO 27001, HIPAA) are maintained in the enterprise GRC platform. Control-level NIST 800-53 / CSF traceability is provided in Appendix B.</w:t>
      </w:r>
    </w:p>
    <w:p>
      <w:pPr>
        <w:spacing w:after="120"/>
      </w:pPr>
      <w:r>
        <w:t xml:space="preserve"/>
      </w:r>
    </w:p>
    <w:p>
      <w:pPr>
        <w:pStyle w:val="Heading1"/>
      </w:pPr>
      <w:r>
        <w:t xml:space="preserve">7. Governance, Exceptions and Roles</w:t>
      </w:r>
    </w:p>
    <w:p>
      <w:pPr>
        <w:pStyle w:val="Heading2"/>
      </w:pPr>
      <w:r>
        <w:t xml:space="preserve">7.1  Security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60"/>
        <w:gridCol w:w="2700"/>
      </w:tblGrid>
      <w:tr>
        <w:trPr>
          <w:tblHeader/>
        </w:trPr>
        <w:tc>
          <w:tcPr>
            <w:tcW w:type="dxa" w:w="666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Review</w:t>
            </w:r>
          </w:p>
        </w:tc>
        <w:tc>
          <w:tcPr>
            <w:tcW w:type="dxa" w:w="27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Frequency</w:t>
            </w:r>
          </w:p>
        </w:tc>
      </w:tr>
      <w:tr>
        <w:tc>
          <w:tcPr>
            <w:tcW w:type="dxa" w:w="66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RBAC / authorization review</w:t>
            </w:r>
          </w:p>
        </w:tc>
        <w:tc>
          <w:tcPr>
            <w:tcW w:type="dxa" w:w="27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Quarterly</w:t>
            </w:r>
          </w:p>
        </w:tc>
      </w:tr>
      <w:tr>
        <w:tc>
          <w:tcPr>
            <w:tcW w:type="dxa" w:w="66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Certificate review</w:t>
            </w:r>
          </w:p>
        </w:tc>
        <w:tc>
          <w:tcPr>
            <w:tcW w:type="dxa" w:w="27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Quarterly</w:t>
            </w:r>
          </w:p>
        </w:tc>
      </w:tr>
      <w:tr>
        <w:tc>
          <w:tcPr>
            <w:tcW w:type="dxa" w:w="66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Mesh security review</w:t>
            </w:r>
          </w:p>
        </w:tc>
        <w:tc>
          <w:tcPr>
            <w:tcW w:type="dxa" w:w="27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Quarterly</w:t>
            </w:r>
          </w:p>
        </w:tc>
      </w:tr>
      <w:tr>
        <w:tc>
          <w:tcPr>
            <w:tcW w:type="dxa" w:w="66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Penetration testing</w:t>
            </w:r>
          </w:p>
        </w:tc>
        <w:tc>
          <w:tcPr>
            <w:tcW w:type="dxa" w:w="27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Annual</w:t>
            </w:r>
          </w:p>
        </w:tc>
      </w:tr>
      <w:tr>
        <w:tc>
          <w:tcPr>
            <w:tcW w:type="dxa" w:w="66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Architecture review</w:t>
            </w:r>
          </w:p>
        </w:tc>
        <w:tc>
          <w:tcPr>
            <w:tcW w:type="dxa" w:w="27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Annual</w:t>
            </w:r>
          </w:p>
        </w:tc>
      </w:tr>
    </w:tbl>
    <w:p>
      <w:pPr>
        <w:spacing w:after="80"/>
      </w:pPr>
      <w:r>
        <w:t xml:space="preserve"/>
      </w:r>
    </w:p>
    <w:p>
      <w:pPr>
        <w:pStyle w:val="Heading2"/>
      </w:pPr>
      <w:r>
        <w:t xml:space="preserve">7.2  Exceptions</w:t>
      </w:r>
    </w:p>
    <w:p>
      <w:pPr>
        <w:spacing w:after="120" w:line="264"/>
      </w:pPr>
      <w:r>
        <w:t xml:space="preserve">Any deviation from a control MUST reference the specific control ID and be recorded in the enterprise GRC platform. Each exception MUST include:</w:t>
      </w:r>
    </w:p>
    <w:p>
      <w:pPr>
        <w:pStyle w:val="ListParagraph"/>
        <w:numPr>
          <w:ilvl w:val="0"/>
          <w:numId w:val="2"/>
        </w:numPr>
        <w:spacing w:after="40" w:line="252"/>
      </w:pPr>
      <w:r>
        <w:t xml:space="preserve">Business justification and risk assessment</w:t>
      </w:r>
    </w:p>
    <w:p>
      <w:pPr>
        <w:pStyle w:val="ListParagraph"/>
        <w:numPr>
          <w:ilvl w:val="0"/>
          <w:numId w:val="2"/>
        </w:numPr>
        <w:spacing w:after="40" w:line="252"/>
      </w:pPr>
      <w:r>
        <w:t xml:space="preserve">Compensating controls</w:t>
      </w:r>
    </w:p>
    <w:p>
      <w:pPr>
        <w:pStyle w:val="ListParagraph"/>
        <w:numPr>
          <w:ilvl w:val="0"/>
          <w:numId w:val="2"/>
        </w:numPr>
        <w:spacing w:after="40" w:line="252"/>
      </w:pPr>
      <w:r>
        <w:t xml:space="preserve">An expiration date</w:t>
      </w:r>
    </w:p>
    <w:p>
      <w:pPr>
        <w:pStyle w:val="ListParagraph"/>
        <w:numPr>
          <w:ilvl w:val="0"/>
          <w:numId w:val="2"/>
        </w:numPr>
        <w:spacing w:after="40" w:line="252"/>
      </w:pPr>
      <w:r>
        <w:t xml:space="preserve">Approval by Security Architecture, Risk Management, and the Application Owner</w:t>
      </w:r>
    </w:p>
    <w:p>
      <w:pPr>
        <w:spacing w:after="120" w:line="264"/>
      </w:pPr>
      <w:r>
        <w:rPr>
          <w:i/>
          <w:iCs/>
          <w:color w:val="595959"/>
        </w:rPr>
        <w:t xml:space="preserve">Exceptions exceeding 12 months require executive approval.</w:t>
      </w:r>
    </w:p>
    <w:p>
      <w:pPr>
        <w:spacing w:after="60"/>
      </w:pPr>
      <w:r>
        <w:t xml:space="preserve"/>
      </w:r>
    </w:p>
    <w:p>
      <w:pPr>
        <w:pStyle w:val="Heading2"/>
      </w:pPr>
      <w:r>
        <w:t xml:space="preserve">7.3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Role</w:t>
            </w:r>
          </w:p>
        </w:tc>
        <w:tc>
          <w:tcPr>
            <w:tcW w:type="dxa" w:w="646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Responsibility</w:t>
            </w:r>
          </w:p>
        </w:tc>
      </w:tr>
      <w:tr>
        <w:tc>
          <w:tcPr>
            <w:tcW w:type="dxa" w:w="29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Security Architecture</w:t>
            </w:r>
          </w:p>
        </w:tc>
        <w:tc>
          <w:tcPr>
            <w:tcW w:type="dxa" w:w="64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Owns and maintains this standard; approves exceptions</w:t>
            </w:r>
          </w:p>
        </w:tc>
      </w:tr>
      <w:tr>
        <w:tc>
          <w:tcPr>
            <w:tcW w:type="dxa" w:w="29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Platform Engineering</w:t>
            </w:r>
          </w:p>
        </w:tc>
        <w:tc>
          <w:tcPr>
            <w:tcW w:type="dxa" w:w="64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Implements and operates mesh controls</w:t>
            </w:r>
          </w:p>
        </w:tc>
      </w:tr>
      <w:tr>
        <w:tc>
          <w:tcPr>
            <w:tcW w:type="dxa" w:w="29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Application Teams</w:t>
            </w:r>
          </w:p>
        </w:tc>
        <w:tc>
          <w:tcPr>
            <w:tcW w:type="dxa" w:w="64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Ensure workload compliance with the baseline</w:t>
            </w:r>
          </w:p>
        </w:tc>
      </w:tr>
      <w:tr>
        <w:tc>
          <w:tcPr>
            <w:tcW w:type="dxa" w:w="29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PKI Team</w:t>
            </w:r>
          </w:p>
        </w:tc>
        <w:tc>
          <w:tcPr>
            <w:tcW w:type="dxa" w:w="64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Operate certificate authorities and key protection</w:t>
            </w:r>
          </w:p>
        </w:tc>
      </w:tr>
      <w:tr>
        <w:tc>
          <w:tcPr>
            <w:tcW w:type="dxa" w:w="29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SOC</w:t>
            </w:r>
          </w:p>
        </w:tc>
        <w:tc>
          <w:tcPr>
            <w:tcW w:type="dxa" w:w="64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Monitor mesh security events and alerts</w:t>
            </w:r>
          </w:p>
        </w:tc>
      </w:tr>
      <w:tr>
        <w:tc>
          <w:tcPr>
            <w:tcW w:type="dxa" w:w="29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Internal Audit</w:t>
            </w:r>
          </w:p>
        </w:tc>
        <w:tc>
          <w:tcPr>
            <w:tcW w:type="dxa" w:w="64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Validate compliance against control IDs</w:t>
            </w:r>
          </w:p>
        </w:tc>
      </w:tr>
      <w:tr>
        <w:tc>
          <w:tcPr>
            <w:tcW w:type="dxa" w:w="29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Risk Management</w:t>
            </w:r>
          </w:p>
        </w:tc>
        <w:tc>
          <w:tcPr>
            <w:tcW w:type="dxa" w:w="64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Track and report approved exceptions</w:t>
            </w:r>
          </w:p>
        </w:tc>
      </w:tr>
    </w:tbl>
    <w:p>
      <w:pPr>
        <w:spacing w:after="80"/>
      </w:pPr>
      <w:r>
        <w:t xml:space="preserve"/>
      </w:r>
    </w:p>
    <w:p>
      <w:pPr>
        <w:pStyle w:val="Heading2"/>
      </w:pPr>
      <w:r>
        <w:t xml:space="preserve">7.4  Compliance Validation</w:t>
      </w:r>
    </w:p>
    <w:p>
      <w:pPr>
        <w:spacing w:after="120" w:line="264"/>
      </w:pPr>
      <w:r>
        <w:t xml:space="preserve">Compliance is validated through automated scanning, quarterly control reviews, architecture assessments, internal audits, and annual penetration testing. Evidence is retained per enterprise requirements.</w:t>
      </w:r>
    </w:p>
    <w:p>
      <w:pPr>
        <w:spacing w:after="100"/>
      </w:pPr>
      <w:r>
        <w:t xml:space="preserve"/>
      </w:r>
    </w:p>
    <w:p>
      <w:pPr>
        <w:pStyle w:val="Heading1"/>
      </w:pPr>
      <w:r>
        <w:t xml:space="preserve">8. References</w:t>
      </w:r>
    </w:p>
    <w:p>
      <w:pPr>
        <w:spacing w:after="120" w:line="264"/>
      </w:pPr>
      <w:r>
        <w:rPr>
          <w:i/>
          <w:iCs/>
          <w:color w:val="595959"/>
        </w:rPr>
        <w:t xml:space="preserve">Authoritative sources. Links verified current; items with no free public source are marked.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1500"/>
        <w:gridCol w:w="4600"/>
      </w:tblGrid>
      <w:tr>
        <w:trPr>
          <w:tblHeader/>
        </w:trPr>
        <w:tc>
          <w:tcPr>
            <w:tcW w:type="dxa" w:w="326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Reference</w:t>
            </w:r>
          </w:p>
        </w:tc>
        <w:tc>
          <w:tcPr>
            <w:tcW w:type="dxa" w:w="15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Version</w:t>
            </w:r>
          </w:p>
        </w:tc>
        <w:tc>
          <w:tcPr>
            <w:tcW w:type="dxa" w:w="46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Source</w:t>
            </w:r>
          </w:p>
        </w:tc>
      </w:tr>
      <w:tr>
        <w:tc>
          <w:tcPr>
            <w:tcW w:type="dxa" w:w="32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NIST SP 800-204 / 204A / 204B / 204C</w:t>
            </w:r>
          </w:p>
        </w:tc>
        <w:tc>
          <w:tcPr>
            <w:tcW w:type="dxa" w:w="15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2019–21</w:t>
            </w:r>
          </w:p>
        </w:tc>
        <w:tc>
          <w:tcPr>
            <w:tcW w:type="dxa" w:w="46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hyperlink w:history="1" r:id="rIdmwvro72glhmbau539sszt">
              <w:r>
                <w:rPr>
                  <w:rStyle w:val="Hyperlink"/>
                  <w:sz w:val="16"/>
                  <w:szCs w:val="16"/>
                </w:rPr>
                <w:t xml:space="preserve">csrc.nist.gov/pubs/sp/800/204/final</w:t>
              </w:r>
            </w:hyperlink>
          </w:p>
        </w:tc>
      </w:tr>
      <w:tr>
        <w:tc>
          <w:tcPr>
            <w:tcW w:type="dxa" w:w="32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NIST SP 800-207 / 207A (Zero Trust; 207A = service mesh)</w:t>
            </w:r>
          </w:p>
        </w:tc>
        <w:tc>
          <w:tcPr>
            <w:tcW w:type="dxa" w:w="15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2020 / 23</w:t>
            </w:r>
          </w:p>
        </w:tc>
        <w:tc>
          <w:tcPr>
            <w:tcW w:type="dxa" w:w="46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hyperlink w:history="1" r:id="rIdv2qphql_rpv5x0hlau3ud">
              <w:r>
                <w:rPr>
                  <w:rStyle w:val="Hyperlink"/>
                  <w:sz w:val="16"/>
                  <w:szCs w:val="16"/>
                </w:rPr>
                <w:t xml:space="preserve">csrc.nist.gov/pubs/sp/800/207/final</w:t>
              </w:r>
            </w:hyperlink>
          </w:p>
        </w:tc>
      </w:tr>
      <w:tr>
        <w:tc>
          <w:tcPr>
            <w:tcW w:type="dxa" w:w="32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NIST SP 800-53 (current release 5.2.0)</w:t>
            </w:r>
          </w:p>
        </w:tc>
        <w:tc>
          <w:tcPr>
            <w:tcW w:type="dxa" w:w="15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Rev 5</w:t>
            </w:r>
          </w:p>
        </w:tc>
        <w:tc>
          <w:tcPr>
            <w:tcW w:type="dxa" w:w="46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hyperlink w:history="1" r:id="rIddbiohlrc_zhf2z168oanc">
              <w:r>
                <w:rPr>
                  <w:rStyle w:val="Hyperlink"/>
                  <w:sz w:val="16"/>
                  <w:szCs w:val="16"/>
                </w:rPr>
                <w:t xml:space="preserve">csrc.nist.gov/pubs/sp/800/53/r5/final</w:t>
              </w:r>
            </w:hyperlink>
          </w:p>
        </w:tc>
      </w:tr>
      <w:tr>
        <w:tc>
          <w:tcPr>
            <w:tcW w:type="dxa" w:w="32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NIST Cybersecurity Framework</w:t>
            </w:r>
          </w:p>
        </w:tc>
        <w:tc>
          <w:tcPr>
            <w:tcW w:type="dxa" w:w="15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2.0 (2024)</w:t>
            </w:r>
          </w:p>
        </w:tc>
        <w:tc>
          <w:tcPr>
            <w:tcW w:type="dxa" w:w="46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hyperlink w:history="1" r:id="rIdh3u-s1na6d1y1xxlrc-fy">
              <w:r>
                <w:rPr>
                  <w:rStyle w:val="Hyperlink"/>
                  <w:sz w:val="16"/>
                  <w:szCs w:val="16"/>
                </w:rPr>
                <w:t xml:space="preserve">www.nist.gov/cyberframework</w:t>
              </w:r>
            </w:hyperlink>
          </w:p>
        </w:tc>
      </w:tr>
      <w:tr>
        <w:tc>
          <w:tcPr>
            <w:tcW w:type="dxa" w:w="32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CIS Kubernetes Benchmark</w:t>
            </w:r>
          </w:p>
        </w:tc>
        <w:tc>
          <w:tcPr>
            <w:tcW w:type="dxa" w:w="15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Current</w:t>
            </w:r>
          </w:p>
        </w:tc>
        <w:tc>
          <w:tcPr>
            <w:tcW w:type="dxa" w:w="46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hyperlink w:history="1" r:id="rId_p-hcpdifkoadckndhdik">
              <w:r>
                <w:rPr>
                  <w:rStyle w:val="Hyperlink"/>
                  <w:sz w:val="16"/>
                  <w:szCs w:val="16"/>
                </w:rPr>
                <w:t xml:space="preserve">www.cisecurity.org/benchmark/kubernetes</w:t>
              </w:r>
            </w:hyperlink>
          </w:p>
        </w:tc>
      </w:tr>
      <w:tr>
        <w:tc>
          <w:tcPr>
            <w:tcW w:type="dxa" w:w="32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CNCF Cloud Native Security Whitepaper</w:t>
            </w:r>
          </w:p>
        </w:tc>
        <w:tc>
          <w:tcPr>
            <w:tcW w:type="dxa" w:w="15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Current</w:t>
            </w:r>
          </w:p>
        </w:tc>
        <w:tc>
          <w:tcPr>
            <w:tcW w:type="dxa" w:w="46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hyperlink w:history="1" r:id="rIdpo0b-n1boykxupolbgkou">
              <w:r>
                <w:rPr>
                  <w:rStyle w:val="Hyperlink"/>
                  <w:sz w:val="16"/>
                  <w:szCs w:val="16"/>
                </w:rPr>
                <w:t xml:space="preserve">tag-security.cncf.io/community/resources/security-whitepaper/</w:t>
              </w:r>
            </w:hyperlink>
          </w:p>
        </w:tc>
      </w:tr>
      <w:tr>
        <w:tc>
          <w:tcPr>
            <w:tcW w:type="dxa" w:w="32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OWASP Kubernetes Top 10</w:t>
            </w:r>
          </w:p>
        </w:tc>
        <w:tc>
          <w:tcPr>
            <w:tcW w:type="dxa" w:w="15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2022</w:t>
            </w:r>
          </w:p>
        </w:tc>
        <w:tc>
          <w:tcPr>
            <w:tcW w:type="dxa" w:w="46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hyperlink w:history="1" r:id="rIdma0svlrimkkfiz6k4odaq">
              <w:r>
                <w:rPr>
                  <w:rStyle w:val="Hyperlink"/>
                  <w:sz w:val="16"/>
                  <w:szCs w:val="16"/>
                </w:rPr>
                <w:t xml:space="preserve">owasp.org/www-project-kubernetes-top-ten/</w:t>
              </w:r>
            </w:hyperlink>
          </w:p>
        </w:tc>
      </w:tr>
      <w:tr>
        <w:tc>
          <w:tcPr>
            <w:tcW w:type="dxa" w:w="32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PCI DSS</w:t>
            </w:r>
          </w:p>
        </w:tc>
        <w:tc>
          <w:tcPr>
            <w:tcW w:type="dxa" w:w="15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v4.0.1</w:t>
            </w:r>
          </w:p>
        </w:tc>
        <w:tc>
          <w:tcPr>
            <w:tcW w:type="dxa" w:w="46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hyperlink w:history="1" r:id="rIdzqjish2txiuczj8wdfksc">
              <w:r>
                <w:rPr>
                  <w:rStyle w:val="Hyperlink"/>
                  <w:sz w:val="16"/>
                  <w:szCs w:val="16"/>
                </w:rPr>
                <w:t xml:space="preserve">www.pcisecuritystandards.org/document_library/</w:t>
              </w:r>
            </w:hyperlink>
          </w:p>
        </w:tc>
      </w:tr>
      <w:tr>
        <w:tc>
          <w:tcPr>
            <w:tcW w:type="dxa" w:w="32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ISO/IEC 27001</w:t>
            </w:r>
          </w:p>
        </w:tc>
        <w:tc>
          <w:tcPr>
            <w:tcW w:type="dxa" w:w="15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2022</w:t>
            </w:r>
          </w:p>
        </w:tc>
        <w:tc>
          <w:tcPr>
            <w:tcW w:type="dxa" w:w="46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i/>
                <w:iCs/>
                <w:color w:val="595959"/>
                <w:sz w:val="17"/>
                <w:szCs w:val="17"/>
              </w:rPr>
              <w:t xml:space="preserve">No free public source (ISO, paywalled)</w:t>
            </w:r>
          </w:p>
        </w:tc>
      </w:tr>
      <w:tr>
        <w:tc>
          <w:tcPr>
            <w:tcW w:type="dxa" w:w="32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SOC 2 (AICPA Trust Services Criteria)</w:t>
            </w:r>
          </w:p>
        </w:tc>
        <w:tc>
          <w:tcPr>
            <w:tcW w:type="dxa" w:w="15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TSC 2017/22</w:t>
            </w:r>
          </w:p>
        </w:tc>
        <w:tc>
          <w:tcPr>
            <w:tcW w:type="dxa" w:w="46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i/>
                <w:iCs/>
                <w:color w:val="595959"/>
                <w:sz w:val="17"/>
                <w:szCs w:val="17"/>
              </w:rPr>
              <w:t xml:space="preserve">No free public source (AICPA)</w:t>
            </w:r>
          </w:p>
        </w:tc>
      </w:tr>
      <w:tr>
        <w:tc>
          <w:tcPr>
            <w:tcW w:type="dxa" w:w="32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HIPAA Security Rule (45 CFR Part 164)</w:t>
            </w:r>
          </w:p>
        </w:tc>
        <w:tc>
          <w:tcPr>
            <w:tcW w:type="dxa" w:w="15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Current</w:t>
            </w:r>
          </w:p>
        </w:tc>
        <w:tc>
          <w:tcPr>
            <w:tcW w:type="dxa" w:w="46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hyperlink w:history="1" r:id="rId3qzoj3juoqnrsys-8zxuq">
              <w:r>
                <w:rPr>
                  <w:rStyle w:val="Hyperlink"/>
                  <w:sz w:val="16"/>
                  <w:szCs w:val="16"/>
                </w:rPr>
                <w:t xml:space="preserve">www.hhs.gov/hipaa/for-professionals/security/index.html</w:t>
              </w:r>
            </w:hyperlink>
          </w:p>
        </w:tc>
      </w:tr>
      <w:tr>
        <w:tc>
          <w:tcPr>
            <w:tcW w:type="dxa" w:w="32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OWASP Top 10 CI/CD Security Risks</w:t>
            </w:r>
          </w:p>
        </w:tc>
        <w:tc>
          <w:tcPr>
            <w:tcW w:type="dxa" w:w="15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v1.0 (2022)</w:t>
            </w:r>
          </w:p>
        </w:tc>
        <w:tc>
          <w:tcPr>
            <w:tcW w:type="dxa" w:w="46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hyperlink w:history="1" r:id="rIdiaq_qxatjg9-i7ikzkudb">
              <w:r>
                <w:rPr>
                  <w:rStyle w:val="Hyperlink"/>
                  <w:sz w:val="16"/>
                  <w:szCs w:val="16"/>
                </w:rPr>
                <w:t xml:space="preserve">owasp.org/www-project-top-10-ci-cd-security-risks/</w:t>
              </w:r>
            </w:hyperlink>
          </w:p>
        </w:tc>
      </w:tr>
      <w:tr>
        <w:tc>
          <w:tcPr>
            <w:tcW w:type="dxa" w:w="32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OWASP DevSecOps Guideline</w:t>
            </w:r>
          </w:p>
        </w:tc>
        <w:tc>
          <w:tcPr>
            <w:tcW w:type="dxa" w:w="15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Current</w:t>
            </w:r>
          </w:p>
        </w:tc>
        <w:tc>
          <w:tcPr>
            <w:tcW w:type="dxa" w:w="46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hyperlink w:history="1" r:id="rIdk6tgrle33jwkjw5cyjsb2">
              <w:r>
                <w:rPr>
                  <w:rStyle w:val="Hyperlink"/>
                  <w:sz w:val="16"/>
                  <w:szCs w:val="16"/>
                </w:rPr>
                <w:t xml:space="preserve">owasp.org/www-project-devsecops-guideline/</w:t>
              </w:r>
            </w:hyperlink>
          </w:p>
        </w:tc>
      </w:tr>
      <w:tr>
        <w:tc>
          <w:tcPr>
            <w:tcW w:type="dxa" w:w="32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DORA (DevOps delivery metrics)</w:t>
            </w:r>
          </w:p>
        </w:tc>
        <w:tc>
          <w:tcPr>
            <w:tcW w:type="dxa" w:w="15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Current</w:t>
            </w:r>
          </w:p>
        </w:tc>
        <w:tc>
          <w:tcPr>
            <w:tcW w:type="dxa" w:w="46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hyperlink w:history="1" r:id="rIdsdn6ihjnemdbyvoxdbv_y">
              <w:r>
                <w:rPr>
                  <w:rStyle w:val="Hyperlink"/>
                  <w:sz w:val="16"/>
                  <w:szCs w:val="16"/>
                </w:rPr>
                <w:t xml:space="preserve">dora.dev/</w:t>
              </w:r>
            </w:hyperlink>
          </w:p>
        </w:tc>
      </w:tr>
      <w:tr>
        <w:tc>
          <w:tcPr>
            <w:tcW w:type="dxa" w:w="32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Wiz — CI/CD Security Best Practices</w:t>
            </w:r>
          </w:p>
        </w:tc>
        <w:tc>
          <w:tcPr>
            <w:tcW w:type="dxa" w:w="15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2026</w:t>
            </w:r>
          </w:p>
        </w:tc>
        <w:tc>
          <w:tcPr>
            <w:tcW w:type="dxa" w:w="46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hyperlink w:history="1" r:id="rIdl-ulhtqxhzqiokewtuakm">
              <w:r>
                <w:rPr>
                  <w:rStyle w:val="Hyperlink"/>
                  <w:sz w:val="16"/>
                  <w:szCs w:val="16"/>
                </w:rPr>
                <w:t xml:space="preserve">www.wiz.io/academy/application-security/ci-cd-security-best-practices</w:t>
              </w:r>
            </w:hyperlink>
          </w:p>
        </w:tc>
      </w:tr>
      <w:tr>
        <w:tc>
          <w:tcPr>
            <w:tcW w:type="dxa" w:w="32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Companion: Design Guide; Incident Response; Change Management</w:t>
            </w:r>
          </w:p>
        </w:tc>
        <w:tc>
          <w:tcPr>
            <w:tcW w:type="dxa" w:w="15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w:t>
            </w:r>
          </w:p>
        </w:tc>
        <w:tc>
          <w:tcPr>
            <w:tcW w:type="dxa" w:w="46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i/>
                <w:iCs/>
                <w:color w:val="595959"/>
                <w:sz w:val="17"/>
                <w:szCs w:val="17"/>
              </w:rPr>
              <w:t xml:space="preserve">Internal documents</w:t>
            </w:r>
          </w:p>
        </w:tc>
      </w:tr>
    </w:tbl>
    <w:p>
      <w:pPr>
        <w:spacing w:after="100"/>
      </w:pPr>
      <w:r>
        <w:t xml:space="preserve"/>
      </w:r>
    </w:p>
    <w:p>
      <w:pPr>
        <w:pStyle w:val="Heading1"/>
      </w:pPr>
      <w:r>
        <w:t xml:space="preserve">Appendix A. Approved Technology Categories</w:t>
      </w:r>
    </w:p>
    <w:p>
      <w:pPr>
        <w:spacing w:after="120" w:line="264"/>
      </w:pPr>
      <w:r>
        <w:rPr>
          <w:i/>
          <w:iCs/>
          <w:color w:val="595959"/>
        </w:rPr>
        <w:t xml:space="preserve">Informative. Capability classes, not product endorsements. The named, version-specific product register is maintained by Security Architecture in the companion Design Guide and updated independently of this standard's review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Capability</w:t>
            </w:r>
          </w:p>
        </w:tc>
        <w:tc>
          <w:tcPr>
            <w:tcW w:type="dxa" w:w="676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Requirement</w:t>
            </w:r>
          </w:p>
        </w:tc>
      </w:tr>
      <w:tr>
        <w:tc>
          <w:tcPr>
            <w:tcW w:type="dxa" w:w="26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Certificate authority</w:t>
            </w:r>
          </w:p>
        </w:tc>
        <w:tc>
          <w:tcPr>
            <w:tcW w:type="dxa" w:w="67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Enterprise-approved PKI or certificate-management service issuing automated, short-lived workload certificates</w:t>
            </w:r>
          </w:p>
        </w:tc>
      </w:tr>
      <w:tr>
        <w:tc>
          <w:tcPr>
            <w:tcW w:type="dxa" w:w="26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Secrets management</w:t>
            </w:r>
          </w:p>
        </w:tc>
        <w:tc>
          <w:tcPr>
            <w:tcW w:type="dxa" w:w="67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Centrally-managed, audited secrets platform with encryption at rest and supported rotation</w:t>
            </w:r>
          </w:p>
        </w:tc>
      </w:tr>
      <w:tr>
        <w:tc>
          <w:tcPr>
            <w:tcW w:type="dxa" w:w="26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Federation protocols</w:t>
            </w:r>
          </w:p>
        </w:tc>
        <w:tc>
          <w:tcPr>
            <w:tcW w:type="dxa" w:w="67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Open standards only: OpenID Connect (OIDC), OAuth 2.0, SAML 2.0</w:t>
            </w:r>
          </w:p>
        </w:tc>
      </w:tr>
      <w:tr>
        <w:tc>
          <w:tcPr>
            <w:tcW w:type="dxa" w:w="26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Policy enforcement</w:t>
            </w:r>
          </w:p>
        </w:tc>
        <w:tc>
          <w:tcPr>
            <w:tcW w:type="dxa" w:w="67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Admission-control mechanism integrated with CI/CD policy validation</w:t>
            </w:r>
          </w:p>
        </w:tc>
      </w:tr>
      <w:tr>
        <w:tc>
          <w:tcPr>
            <w:tcW w:type="dxa" w:w="26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Workload identity</w:t>
            </w:r>
          </w:p>
        </w:tc>
        <w:tc>
          <w:tcPr>
            <w:tcW w:type="dxa" w:w="67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Open workload-identity standard providing unique, verifiable, short-lived credentials</w:t>
            </w:r>
          </w:p>
        </w:tc>
      </w:tr>
      <w:tr>
        <w:tc>
          <w:tcPr>
            <w:tcW w:type="dxa" w:w="26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Pipeline security scanning</w:t>
            </w:r>
          </w:p>
        </w:tc>
        <w:tc>
          <w:tcPr>
            <w:tcW w:type="dxa" w:w="67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SAST, SCA, IaC, container, and DAST scanners integrated as blocking pipeline gates</w:t>
            </w:r>
          </w:p>
        </w:tc>
      </w:tr>
      <w:tr>
        <w:tc>
          <w:tcPr>
            <w:tcW w:type="dxa" w:w="26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Artifact integrity</w:t>
            </w:r>
          </w:p>
        </w:tc>
        <w:tc>
          <w:tcPr>
            <w:tcW w:type="dxa" w:w="67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Artifact / image signing with admission-time signature verification</w:t>
            </w:r>
          </w:p>
        </w:tc>
      </w:tr>
    </w:tbl>
    <w:p>
      <w:pPr>
        <w:spacing w:after="120"/>
      </w:pPr>
      <w:r>
        <w:t xml:space="preserve"/>
      </w:r>
    </w:p>
    <w:p>
      <w:r>
        <w:br w:type="page"/>
      </w:r>
    </w:p>
    <w:p>
      <w:pPr>
        <w:pStyle w:val="Heading1"/>
      </w:pPr>
      <w:r>
        <w:t xml:space="preserve">Appendix B. Control-to-Framework Reference</w:t>
      </w:r>
    </w:p>
    <w:p>
      <w:pPr>
        <w:spacing w:after="120" w:line="264"/>
      </w:pPr>
      <w:r>
        <w:t xml:space="preserve">Normative crosswalk. Each SM-* control maps to its supporting NIST SP 800-53 Rev 5 control(s) and NIST CSF 2.0 category, for audit and exception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560"/>
        <w:gridCol w:w="3100"/>
      </w:tblGrid>
      <w:tr>
        <w:trPr>
          <w:tblHeader/>
        </w:trPr>
        <w:tc>
          <w:tcPr>
            <w:tcW w:type="dxa" w:w="17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Control ID</w:t>
            </w:r>
          </w:p>
        </w:tc>
        <w:tc>
          <w:tcPr>
            <w:tcW w:type="dxa" w:w="456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NIST SP 800-53 Rev 5</w:t>
            </w:r>
          </w:p>
        </w:tc>
        <w:tc>
          <w:tcPr>
            <w:tcW w:type="dxa" w:w="31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NIST CSF 2.0</w:t>
            </w:r>
          </w:p>
        </w:tc>
      </w:tr>
      <w:tr>
        <w:tc>
          <w:tcPr>
            <w:tcW w:type="dxa" w:w="17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7"/>
                <w:szCs w:val="17"/>
              </w:rPr>
              <w:t xml:space="preserve">SM-IAM-01</w:t>
            </w:r>
          </w:p>
        </w:tc>
        <w:tc>
          <w:tcPr>
            <w:tcW w:type="dxa" w:w="45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IA-2, IA-5, IA-9</w:t>
            </w:r>
          </w:p>
        </w:tc>
        <w:tc>
          <w:tcPr>
            <w:tcW w:type="dxa" w:w="3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PR.AA-01, PR.AA-02</w:t>
            </w:r>
          </w:p>
        </w:tc>
      </w:tr>
      <w:tr>
        <w:tc>
          <w:tcPr>
            <w:tcW w:type="dxa" w:w="17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7"/>
                <w:szCs w:val="17"/>
              </w:rPr>
              <w:t xml:space="preserve">SM-IAM-02</w:t>
            </w:r>
          </w:p>
        </w:tc>
        <w:tc>
          <w:tcPr>
            <w:tcW w:type="dxa" w:w="45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IA-5, IA-5(2)</w:t>
            </w:r>
          </w:p>
        </w:tc>
        <w:tc>
          <w:tcPr>
            <w:tcW w:type="dxa" w:w="3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PR.AA-01</w:t>
            </w:r>
          </w:p>
        </w:tc>
      </w:tr>
      <w:tr>
        <w:tc>
          <w:tcPr>
            <w:tcW w:type="dxa" w:w="17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7"/>
                <w:szCs w:val="17"/>
              </w:rPr>
              <w:t xml:space="preserve">SM-IAM-03</w:t>
            </w:r>
          </w:p>
        </w:tc>
        <w:tc>
          <w:tcPr>
            <w:tcW w:type="dxa" w:w="45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IA-2(1), IA-2(2)</w:t>
            </w:r>
          </w:p>
        </w:tc>
        <w:tc>
          <w:tcPr>
            <w:tcW w:type="dxa" w:w="3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PR.AA-03</w:t>
            </w:r>
          </w:p>
        </w:tc>
      </w:tr>
      <w:tr>
        <w:tc>
          <w:tcPr>
            <w:tcW w:type="dxa" w:w="17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7"/>
                <w:szCs w:val="17"/>
              </w:rPr>
              <w:t xml:space="preserve">SM-IAM-04</w:t>
            </w:r>
          </w:p>
        </w:tc>
        <w:tc>
          <w:tcPr>
            <w:tcW w:type="dxa" w:w="45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IA-8</w:t>
            </w:r>
          </w:p>
        </w:tc>
        <w:tc>
          <w:tcPr>
            <w:tcW w:type="dxa" w:w="3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PR.AA-03</w:t>
            </w:r>
          </w:p>
        </w:tc>
      </w:tr>
      <w:tr>
        <w:tc>
          <w:tcPr>
            <w:tcW w:type="dxa" w:w="17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7"/>
                <w:szCs w:val="17"/>
              </w:rPr>
              <w:t xml:space="preserve">SM-IAM-05</w:t>
            </w:r>
          </w:p>
        </w:tc>
        <w:tc>
          <w:tcPr>
            <w:tcW w:type="dxa" w:w="45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IA-9, SC-8</w:t>
            </w:r>
          </w:p>
        </w:tc>
        <w:tc>
          <w:tcPr>
            <w:tcW w:type="dxa" w:w="3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PR.AA-01</w:t>
            </w:r>
          </w:p>
        </w:tc>
      </w:tr>
      <w:tr>
        <w:tc>
          <w:tcPr>
            <w:tcW w:type="dxa" w:w="17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7"/>
                <w:szCs w:val="17"/>
              </w:rPr>
              <w:t xml:space="preserve">SM-AUTHZ-01</w:t>
            </w:r>
          </w:p>
        </w:tc>
        <w:tc>
          <w:tcPr>
            <w:tcW w:type="dxa" w:w="45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AC-3, AC-4</w:t>
            </w:r>
          </w:p>
        </w:tc>
        <w:tc>
          <w:tcPr>
            <w:tcW w:type="dxa" w:w="3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PR.AA-05</w:t>
            </w:r>
          </w:p>
        </w:tc>
      </w:tr>
      <w:tr>
        <w:tc>
          <w:tcPr>
            <w:tcW w:type="dxa" w:w="17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7"/>
                <w:szCs w:val="17"/>
              </w:rPr>
              <w:t xml:space="preserve">SM-AUTHZ-02</w:t>
            </w:r>
          </w:p>
        </w:tc>
        <w:tc>
          <w:tcPr>
            <w:tcW w:type="dxa" w:w="45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AC-3, AC-6</w:t>
            </w:r>
          </w:p>
        </w:tc>
        <w:tc>
          <w:tcPr>
            <w:tcW w:type="dxa" w:w="3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PR.AA-05</w:t>
            </w:r>
          </w:p>
        </w:tc>
      </w:tr>
      <w:tr>
        <w:tc>
          <w:tcPr>
            <w:tcW w:type="dxa" w:w="17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7"/>
                <w:szCs w:val="17"/>
              </w:rPr>
              <w:t xml:space="preserve">SM-AUTHZ-03</w:t>
            </w:r>
          </w:p>
        </w:tc>
        <w:tc>
          <w:tcPr>
            <w:tcW w:type="dxa" w:w="45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AC-6, SC-7</w:t>
            </w:r>
          </w:p>
        </w:tc>
        <w:tc>
          <w:tcPr>
            <w:tcW w:type="dxa" w:w="3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PR.AA-05</w:t>
            </w:r>
          </w:p>
        </w:tc>
      </w:tr>
      <w:tr>
        <w:tc>
          <w:tcPr>
            <w:tcW w:type="dxa" w:w="17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7"/>
                <w:szCs w:val="17"/>
              </w:rPr>
              <w:t xml:space="preserve">SM-AUTHZ-04</w:t>
            </w:r>
          </w:p>
        </w:tc>
        <w:tc>
          <w:tcPr>
            <w:tcW w:type="dxa" w:w="45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AC-5, AC-6</w:t>
            </w:r>
          </w:p>
        </w:tc>
        <w:tc>
          <w:tcPr>
            <w:tcW w:type="dxa" w:w="3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PR.AA-05</w:t>
            </w:r>
          </w:p>
        </w:tc>
      </w:tr>
      <w:tr>
        <w:tc>
          <w:tcPr>
            <w:tcW w:type="dxa" w:w="17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7"/>
                <w:szCs w:val="17"/>
              </w:rPr>
              <w:t xml:space="preserve">SM-AUTHZ-05</w:t>
            </w:r>
          </w:p>
        </w:tc>
        <w:tc>
          <w:tcPr>
            <w:tcW w:type="dxa" w:w="45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AC-3, IA-8</w:t>
            </w:r>
          </w:p>
        </w:tc>
        <w:tc>
          <w:tcPr>
            <w:tcW w:type="dxa" w:w="3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PR.AA-05</w:t>
            </w:r>
          </w:p>
        </w:tc>
      </w:tr>
      <w:tr>
        <w:tc>
          <w:tcPr>
            <w:tcW w:type="dxa" w:w="17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7"/>
                <w:szCs w:val="17"/>
              </w:rPr>
              <w:t xml:space="preserve">SM-MTLS-01</w:t>
            </w:r>
          </w:p>
        </w:tc>
        <w:tc>
          <w:tcPr>
            <w:tcW w:type="dxa" w:w="45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SC-8, SC-8(1), SC-13</w:t>
            </w:r>
          </w:p>
        </w:tc>
        <w:tc>
          <w:tcPr>
            <w:tcW w:type="dxa" w:w="3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PR.DS-02</w:t>
            </w:r>
          </w:p>
        </w:tc>
      </w:tr>
      <w:tr>
        <w:tc>
          <w:tcPr>
            <w:tcW w:type="dxa" w:w="17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7"/>
                <w:szCs w:val="17"/>
              </w:rPr>
              <w:t xml:space="preserve">SM-MTLS-02</w:t>
            </w:r>
          </w:p>
        </w:tc>
        <w:tc>
          <w:tcPr>
            <w:tcW w:type="dxa" w:w="45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IA-3, SC-8</w:t>
            </w:r>
          </w:p>
        </w:tc>
        <w:tc>
          <w:tcPr>
            <w:tcW w:type="dxa" w:w="3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PR.DS-02</w:t>
            </w:r>
          </w:p>
        </w:tc>
      </w:tr>
      <w:tr>
        <w:tc>
          <w:tcPr>
            <w:tcW w:type="dxa" w:w="17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7"/>
                <w:szCs w:val="17"/>
              </w:rPr>
              <w:t xml:space="preserve">SM-MTLS-03</w:t>
            </w:r>
          </w:p>
        </w:tc>
        <w:tc>
          <w:tcPr>
            <w:tcW w:type="dxa" w:w="45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SC-8, SC-23</w:t>
            </w:r>
          </w:p>
        </w:tc>
        <w:tc>
          <w:tcPr>
            <w:tcW w:type="dxa" w:w="3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PR.DS-02</w:t>
            </w:r>
          </w:p>
        </w:tc>
      </w:tr>
      <w:tr>
        <w:tc>
          <w:tcPr>
            <w:tcW w:type="dxa" w:w="17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7"/>
                <w:szCs w:val="17"/>
              </w:rPr>
              <w:t xml:space="preserve">SM-CERT-01</w:t>
            </w:r>
          </w:p>
        </w:tc>
        <w:tc>
          <w:tcPr>
            <w:tcW w:type="dxa" w:w="45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SC-12, SC-17</w:t>
            </w:r>
          </w:p>
        </w:tc>
        <w:tc>
          <w:tcPr>
            <w:tcW w:type="dxa" w:w="3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PR.DS-02</w:t>
            </w:r>
          </w:p>
        </w:tc>
      </w:tr>
      <w:tr>
        <w:tc>
          <w:tcPr>
            <w:tcW w:type="dxa" w:w="17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7"/>
                <w:szCs w:val="17"/>
              </w:rPr>
              <w:t xml:space="preserve">SM-CERT-02</w:t>
            </w:r>
          </w:p>
        </w:tc>
        <w:tc>
          <w:tcPr>
            <w:tcW w:type="dxa" w:w="45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SC-12, IA-5(2)</w:t>
            </w:r>
          </w:p>
        </w:tc>
        <w:tc>
          <w:tcPr>
            <w:tcW w:type="dxa" w:w="3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PR.AA-01</w:t>
            </w:r>
          </w:p>
        </w:tc>
      </w:tr>
      <w:tr>
        <w:tc>
          <w:tcPr>
            <w:tcW w:type="dxa" w:w="17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7"/>
                <w:szCs w:val="17"/>
              </w:rPr>
              <w:t xml:space="preserve">SM-CERT-03</w:t>
            </w:r>
          </w:p>
        </w:tc>
        <w:tc>
          <w:tcPr>
            <w:tcW w:type="dxa" w:w="45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SC-12</w:t>
            </w:r>
          </w:p>
        </w:tc>
        <w:tc>
          <w:tcPr>
            <w:tcW w:type="dxa" w:w="3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PR.DS-02</w:t>
            </w:r>
          </w:p>
        </w:tc>
      </w:tr>
      <w:tr>
        <w:tc>
          <w:tcPr>
            <w:tcW w:type="dxa" w:w="17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7"/>
                <w:szCs w:val="17"/>
              </w:rPr>
              <w:t xml:space="preserve">SM-CERT-04</w:t>
            </w:r>
          </w:p>
        </w:tc>
        <w:tc>
          <w:tcPr>
            <w:tcW w:type="dxa" w:w="45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SC-12, SC-28</w:t>
            </w:r>
          </w:p>
        </w:tc>
        <w:tc>
          <w:tcPr>
            <w:tcW w:type="dxa" w:w="3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PR.DS-01</w:t>
            </w:r>
          </w:p>
        </w:tc>
      </w:tr>
      <w:tr>
        <w:tc>
          <w:tcPr>
            <w:tcW w:type="dxa" w:w="17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7"/>
                <w:szCs w:val="17"/>
              </w:rPr>
              <w:t xml:space="preserve">SM-CERT-05</w:t>
            </w:r>
          </w:p>
        </w:tc>
        <w:tc>
          <w:tcPr>
            <w:tcW w:type="dxa" w:w="45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SC-12, SC-17</w:t>
            </w:r>
          </w:p>
        </w:tc>
        <w:tc>
          <w:tcPr>
            <w:tcW w:type="dxa" w:w="3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PR.AA-01</w:t>
            </w:r>
          </w:p>
        </w:tc>
      </w:tr>
      <w:tr>
        <w:tc>
          <w:tcPr>
            <w:tcW w:type="dxa" w:w="17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7"/>
                <w:szCs w:val="17"/>
              </w:rPr>
              <w:t xml:space="preserve">SM-NET-01</w:t>
            </w:r>
          </w:p>
        </w:tc>
        <w:tc>
          <w:tcPr>
            <w:tcW w:type="dxa" w:w="45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SC-7, AC-4</w:t>
            </w:r>
          </w:p>
        </w:tc>
        <w:tc>
          <w:tcPr>
            <w:tcW w:type="dxa" w:w="3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PR.IR-01</w:t>
            </w:r>
          </w:p>
        </w:tc>
      </w:tr>
      <w:tr>
        <w:tc>
          <w:tcPr>
            <w:tcW w:type="dxa" w:w="17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7"/>
                <w:szCs w:val="17"/>
              </w:rPr>
              <w:t xml:space="preserve">SM-NET-02</w:t>
            </w:r>
          </w:p>
        </w:tc>
        <w:tc>
          <w:tcPr>
            <w:tcW w:type="dxa" w:w="45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SC-7, AC-4</w:t>
            </w:r>
          </w:p>
        </w:tc>
        <w:tc>
          <w:tcPr>
            <w:tcW w:type="dxa" w:w="3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PR.IR-01</w:t>
            </w:r>
          </w:p>
        </w:tc>
      </w:tr>
      <w:tr>
        <w:tc>
          <w:tcPr>
            <w:tcW w:type="dxa" w:w="17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7"/>
                <w:szCs w:val="17"/>
              </w:rPr>
              <w:t xml:space="preserve">SM-NET-03</w:t>
            </w:r>
          </w:p>
        </w:tc>
        <w:tc>
          <w:tcPr>
            <w:tcW w:type="dxa" w:w="45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SC-7, AC-4</w:t>
            </w:r>
          </w:p>
        </w:tc>
        <w:tc>
          <w:tcPr>
            <w:tcW w:type="dxa" w:w="3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PR.IR-01</w:t>
            </w:r>
          </w:p>
        </w:tc>
      </w:tr>
      <w:tr>
        <w:tc>
          <w:tcPr>
            <w:tcW w:type="dxa" w:w="17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7"/>
                <w:szCs w:val="17"/>
              </w:rPr>
              <w:t xml:space="preserve">SM-EGR-01</w:t>
            </w:r>
          </w:p>
        </w:tc>
        <w:tc>
          <w:tcPr>
            <w:tcW w:type="dxa" w:w="45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SC-7(4), SC-7(8)</w:t>
            </w:r>
          </w:p>
        </w:tc>
        <w:tc>
          <w:tcPr>
            <w:tcW w:type="dxa" w:w="3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PR.IR-01</w:t>
            </w:r>
          </w:p>
        </w:tc>
      </w:tr>
      <w:tr>
        <w:tc>
          <w:tcPr>
            <w:tcW w:type="dxa" w:w="17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7"/>
                <w:szCs w:val="17"/>
              </w:rPr>
              <w:t xml:space="preserve">SM-EGR-02</w:t>
            </w:r>
          </w:p>
        </w:tc>
        <w:tc>
          <w:tcPr>
            <w:tcW w:type="dxa" w:w="45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SC-7, AU-2</w:t>
            </w:r>
          </w:p>
        </w:tc>
        <w:tc>
          <w:tcPr>
            <w:tcW w:type="dxa" w:w="3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DE.CM-01</w:t>
            </w:r>
          </w:p>
        </w:tc>
      </w:tr>
      <w:tr>
        <w:tc>
          <w:tcPr>
            <w:tcW w:type="dxa" w:w="17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7"/>
                <w:szCs w:val="17"/>
              </w:rPr>
              <w:t xml:space="preserve">SM-SEC-01</w:t>
            </w:r>
          </w:p>
        </w:tc>
        <w:tc>
          <w:tcPr>
            <w:tcW w:type="dxa" w:w="45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SC-12, SC-28</w:t>
            </w:r>
          </w:p>
        </w:tc>
        <w:tc>
          <w:tcPr>
            <w:tcW w:type="dxa" w:w="3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PR.DS-01</w:t>
            </w:r>
          </w:p>
        </w:tc>
      </w:tr>
      <w:tr>
        <w:tc>
          <w:tcPr>
            <w:tcW w:type="dxa" w:w="17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7"/>
                <w:szCs w:val="17"/>
              </w:rPr>
              <w:t xml:space="preserve">SM-SEC-02</w:t>
            </w:r>
          </w:p>
        </w:tc>
        <w:tc>
          <w:tcPr>
            <w:tcW w:type="dxa" w:w="45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IA-5, AU-2</w:t>
            </w:r>
          </w:p>
        </w:tc>
        <w:tc>
          <w:tcPr>
            <w:tcW w:type="dxa" w:w="3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PR.AA-01</w:t>
            </w:r>
          </w:p>
        </w:tc>
      </w:tr>
      <w:tr>
        <w:tc>
          <w:tcPr>
            <w:tcW w:type="dxa" w:w="17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7"/>
                <w:szCs w:val="17"/>
              </w:rPr>
              <w:t xml:space="preserve">SM-LOG-01</w:t>
            </w:r>
          </w:p>
        </w:tc>
        <w:tc>
          <w:tcPr>
            <w:tcW w:type="dxa" w:w="45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AU-2, AU-3, AU-12</w:t>
            </w:r>
          </w:p>
        </w:tc>
        <w:tc>
          <w:tcPr>
            <w:tcW w:type="dxa" w:w="3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DE.CM-01, DE.AE-03</w:t>
            </w:r>
          </w:p>
        </w:tc>
      </w:tr>
      <w:tr>
        <w:tc>
          <w:tcPr>
            <w:tcW w:type="dxa" w:w="17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7"/>
                <w:szCs w:val="17"/>
              </w:rPr>
              <w:t xml:space="preserve">SM-LOG-02</w:t>
            </w:r>
          </w:p>
        </w:tc>
        <w:tc>
          <w:tcPr>
            <w:tcW w:type="dxa" w:w="45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AU-6, SI-4</w:t>
            </w:r>
          </w:p>
        </w:tc>
        <w:tc>
          <w:tcPr>
            <w:tcW w:type="dxa" w:w="3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DE.CM-01</w:t>
            </w:r>
          </w:p>
        </w:tc>
      </w:tr>
      <w:tr>
        <w:tc>
          <w:tcPr>
            <w:tcW w:type="dxa" w:w="17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7"/>
                <w:szCs w:val="17"/>
              </w:rPr>
              <w:t xml:space="preserve">SM-LOG-03</w:t>
            </w:r>
          </w:p>
        </w:tc>
        <w:tc>
          <w:tcPr>
            <w:tcW w:type="dxa" w:w="45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AU-11</w:t>
            </w:r>
          </w:p>
        </w:tc>
        <w:tc>
          <w:tcPr>
            <w:tcW w:type="dxa" w:w="3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DE.AE-03</w:t>
            </w:r>
          </w:p>
        </w:tc>
      </w:tr>
      <w:tr>
        <w:tc>
          <w:tcPr>
            <w:tcW w:type="dxa" w:w="17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7"/>
                <w:szCs w:val="17"/>
              </w:rPr>
              <w:t xml:space="preserve">SM-LOG-04</w:t>
            </w:r>
          </w:p>
        </w:tc>
        <w:tc>
          <w:tcPr>
            <w:tcW w:type="dxa" w:w="45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AU-9</w:t>
            </w:r>
          </w:p>
        </w:tc>
        <w:tc>
          <w:tcPr>
            <w:tcW w:type="dxa" w:w="3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PR.PS-01</w:t>
            </w:r>
          </w:p>
        </w:tc>
      </w:tr>
      <w:tr>
        <w:tc>
          <w:tcPr>
            <w:tcW w:type="dxa" w:w="17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7"/>
                <w:szCs w:val="17"/>
              </w:rPr>
              <w:t xml:space="preserve">SM-MON-01</w:t>
            </w:r>
          </w:p>
        </w:tc>
        <w:tc>
          <w:tcPr>
            <w:tcW w:type="dxa" w:w="45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SI-4, AU-6</w:t>
            </w:r>
          </w:p>
        </w:tc>
        <w:tc>
          <w:tcPr>
            <w:tcW w:type="dxa" w:w="3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DE.CM-01, DE.AE-02</w:t>
            </w:r>
          </w:p>
        </w:tc>
      </w:tr>
      <w:tr>
        <w:tc>
          <w:tcPr>
            <w:tcW w:type="dxa" w:w="17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7"/>
                <w:szCs w:val="17"/>
              </w:rPr>
              <w:t xml:space="preserve">SM-MON-02</w:t>
            </w:r>
          </w:p>
        </w:tc>
        <w:tc>
          <w:tcPr>
            <w:tcW w:type="dxa" w:w="45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SI-4</w:t>
            </w:r>
          </w:p>
        </w:tc>
        <w:tc>
          <w:tcPr>
            <w:tcW w:type="dxa" w:w="3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DE.AE-02</w:t>
            </w:r>
          </w:p>
        </w:tc>
      </w:tr>
      <w:tr>
        <w:tc>
          <w:tcPr>
            <w:tcW w:type="dxa" w:w="17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7"/>
                <w:szCs w:val="17"/>
              </w:rPr>
              <w:t xml:space="preserve">SM-PAC-01</w:t>
            </w:r>
          </w:p>
        </w:tc>
        <w:tc>
          <w:tcPr>
            <w:tcW w:type="dxa" w:w="45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CM-3, CM-5</w:t>
            </w:r>
          </w:p>
        </w:tc>
        <w:tc>
          <w:tcPr>
            <w:tcW w:type="dxa" w:w="3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PR.PS-01</w:t>
            </w:r>
          </w:p>
        </w:tc>
      </w:tr>
      <w:tr>
        <w:tc>
          <w:tcPr>
            <w:tcW w:type="dxa" w:w="17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7"/>
                <w:szCs w:val="17"/>
              </w:rPr>
              <w:t xml:space="preserve">SM-PAC-02</w:t>
            </w:r>
          </w:p>
        </w:tc>
        <w:tc>
          <w:tcPr>
            <w:tcW w:type="dxa" w:w="45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CM-3, CM-4</w:t>
            </w:r>
          </w:p>
        </w:tc>
        <w:tc>
          <w:tcPr>
            <w:tcW w:type="dxa" w:w="3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PR.PS-01</w:t>
            </w:r>
          </w:p>
        </w:tc>
      </w:tr>
      <w:tr>
        <w:tc>
          <w:tcPr>
            <w:tcW w:type="dxa" w:w="17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7"/>
                <w:szCs w:val="17"/>
              </w:rPr>
              <w:t xml:space="preserve">SM-PAC-03</w:t>
            </w:r>
          </w:p>
        </w:tc>
        <w:tc>
          <w:tcPr>
            <w:tcW w:type="dxa" w:w="45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CM-7, AC-3</w:t>
            </w:r>
          </w:p>
        </w:tc>
        <w:tc>
          <w:tcPr>
            <w:tcW w:type="dxa" w:w="3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PR.PS-01</w:t>
            </w:r>
          </w:p>
        </w:tc>
      </w:tr>
      <w:tr>
        <w:tc>
          <w:tcPr>
            <w:tcW w:type="dxa" w:w="17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7"/>
                <w:szCs w:val="17"/>
              </w:rPr>
              <w:t xml:space="preserve">SM-CFG-01</w:t>
            </w:r>
          </w:p>
        </w:tc>
        <w:tc>
          <w:tcPr>
            <w:tcW w:type="dxa" w:w="45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CM-6, SC-8, AU-2</w:t>
            </w:r>
          </w:p>
        </w:tc>
        <w:tc>
          <w:tcPr>
            <w:tcW w:type="dxa" w:w="3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PR.PS-01</w:t>
            </w:r>
          </w:p>
        </w:tc>
      </w:tr>
      <w:tr>
        <w:tc>
          <w:tcPr>
            <w:tcW w:type="dxa" w:w="17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7"/>
                <w:szCs w:val="17"/>
              </w:rPr>
              <w:t xml:space="preserve">SM-CFG-02</w:t>
            </w:r>
          </w:p>
        </w:tc>
        <w:tc>
          <w:tcPr>
            <w:tcW w:type="dxa" w:w="45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CM-6, SI-2</w:t>
            </w:r>
          </w:p>
        </w:tc>
        <w:tc>
          <w:tcPr>
            <w:tcW w:type="dxa" w:w="3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PR.PS-01, PR.PS-02</w:t>
            </w:r>
          </w:p>
        </w:tc>
      </w:tr>
      <w:tr>
        <w:tc>
          <w:tcPr>
            <w:tcW w:type="dxa" w:w="17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7"/>
                <w:szCs w:val="17"/>
              </w:rPr>
              <w:t xml:space="preserve">SM-CFG-03</w:t>
            </w:r>
          </w:p>
        </w:tc>
        <w:tc>
          <w:tcPr>
            <w:tcW w:type="dxa" w:w="45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SC-8, SC-13, AU-2</w:t>
            </w:r>
          </w:p>
        </w:tc>
        <w:tc>
          <w:tcPr>
            <w:tcW w:type="dxa" w:w="3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PR.DS-02</w:t>
            </w:r>
          </w:p>
        </w:tc>
      </w:tr>
      <w:tr>
        <w:tc>
          <w:tcPr>
            <w:tcW w:type="dxa" w:w="17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7"/>
                <w:szCs w:val="17"/>
              </w:rPr>
              <w:t xml:space="preserve">SM-CFG-04</w:t>
            </w:r>
          </w:p>
        </w:tc>
        <w:tc>
          <w:tcPr>
            <w:tcW w:type="dxa" w:w="45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SC-8, IA-3</w:t>
            </w:r>
          </w:p>
        </w:tc>
        <w:tc>
          <w:tcPr>
            <w:tcW w:type="dxa" w:w="3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PR.DS-02</w:t>
            </w:r>
          </w:p>
        </w:tc>
      </w:tr>
      <w:tr>
        <w:tc>
          <w:tcPr>
            <w:tcW w:type="dxa" w:w="17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7"/>
                <w:szCs w:val="17"/>
              </w:rPr>
              <w:t xml:space="preserve">SM-VULN-01</w:t>
            </w:r>
          </w:p>
        </w:tc>
        <w:tc>
          <w:tcPr>
            <w:tcW w:type="dxa" w:w="45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RA-5, SI-2</w:t>
            </w:r>
          </w:p>
        </w:tc>
        <w:tc>
          <w:tcPr>
            <w:tcW w:type="dxa" w:w="3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ID.RA-01</w:t>
            </w:r>
          </w:p>
        </w:tc>
      </w:tr>
      <w:tr>
        <w:tc>
          <w:tcPr>
            <w:tcW w:type="dxa" w:w="17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7"/>
                <w:szCs w:val="17"/>
              </w:rPr>
              <w:t xml:space="preserve">SM-VULN-02</w:t>
            </w:r>
          </w:p>
        </w:tc>
        <w:tc>
          <w:tcPr>
            <w:tcW w:type="dxa" w:w="45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SI-2, RA-5</w:t>
            </w:r>
          </w:p>
        </w:tc>
        <w:tc>
          <w:tcPr>
            <w:tcW w:type="dxa" w:w="3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ID.RA-01</w:t>
            </w:r>
          </w:p>
        </w:tc>
      </w:tr>
      <w:tr>
        <w:tc>
          <w:tcPr>
            <w:tcW w:type="dxa" w:w="17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7"/>
                <w:szCs w:val="17"/>
              </w:rPr>
              <w:t xml:space="preserve">SM-MT-01</w:t>
            </w:r>
          </w:p>
        </w:tc>
        <w:tc>
          <w:tcPr>
            <w:tcW w:type="dxa" w:w="45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AC-4, CM-2</w:t>
            </w:r>
          </w:p>
        </w:tc>
        <w:tc>
          <w:tcPr>
            <w:tcW w:type="dxa" w:w="3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PR.IR-01</w:t>
            </w:r>
          </w:p>
        </w:tc>
      </w:tr>
      <w:tr>
        <w:tc>
          <w:tcPr>
            <w:tcW w:type="dxa" w:w="17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7"/>
                <w:szCs w:val="17"/>
              </w:rPr>
              <w:t xml:space="preserve">SM-MT-02</w:t>
            </w:r>
          </w:p>
        </w:tc>
        <w:tc>
          <w:tcPr>
            <w:tcW w:type="dxa" w:w="45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AC-4, SC-7</w:t>
            </w:r>
          </w:p>
        </w:tc>
        <w:tc>
          <w:tcPr>
            <w:tcW w:type="dxa" w:w="3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PR.IR-01, PR.AA-05</w:t>
            </w:r>
          </w:p>
        </w:tc>
      </w:tr>
      <w:tr>
        <w:tc>
          <w:tcPr>
            <w:tcW w:type="dxa" w:w="17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7"/>
                <w:szCs w:val="17"/>
              </w:rPr>
              <w:t xml:space="preserve">SM-MT-03</w:t>
            </w:r>
          </w:p>
        </w:tc>
        <w:tc>
          <w:tcPr>
            <w:tcW w:type="dxa" w:w="45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AC-3, AC-6, SC-7</w:t>
            </w:r>
          </w:p>
        </w:tc>
        <w:tc>
          <w:tcPr>
            <w:tcW w:type="dxa" w:w="3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PR.AA-05, PR.IR-01</w:t>
            </w:r>
          </w:p>
        </w:tc>
      </w:tr>
      <w:tr>
        <w:tc>
          <w:tcPr>
            <w:tcW w:type="dxa" w:w="17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7"/>
                <w:szCs w:val="17"/>
              </w:rPr>
              <w:t xml:space="preserve">SM-MT-04</w:t>
            </w:r>
          </w:p>
        </w:tc>
        <w:tc>
          <w:tcPr>
            <w:tcW w:type="dxa" w:w="45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SC-6</w:t>
            </w:r>
          </w:p>
        </w:tc>
        <w:tc>
          <w:tcPr>
            <w:tcW w:type="dxa" w:w="3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PR.IR-01</w:t>
            </w:r>
          </w:p>
        </w:tc>
      </w:tr>
      <w:tr>
        <w:tc>
          <w:tcPr>
            <w:tcW w:type="dxa" w:w="17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7"/>
                <w:szCs w:val="17"/>
              </w:rPr>
              <w:t xml:space="preserve">SM-MT-05</w:t>
            </w:r>
          </w:p>
        </w:tc>
        <w:tc>
          <w:tcPr>
            <w:tcW w:type="dxa" w:w="45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SC-7, CM-2</w:t>
            </w:r>
          </w:p>
        </w:tc>
        <w:tc>
          <w:tcPr>
            <w:tcW w:type="dxa" w:w="3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PR.IR-01</w:t>
            </w:r>
          </w:p>
        </w:tc>
      </w:tr>
      <w:tr>
        <w:tc>
          <w:tcPr>
            <w:tcW w:type="dxa" w:w="17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7"/>
                <w:szCs w:val="17"/>
              </w:rPr>
              <w:t xml:space="preserve">SM-MT-06</w:t>
            </w:r>
          </w:p>
        </w:tc>
        <w:tc>
          <w:tcPr>
            <w:tcW w:type="dxa" w:w="45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CM-2, CM-6</w:t>
            </w:r>
          </w:p>
        </w:tc>
        <w:tc>
          <w:tcPr>
            <w:tcW w:type="dxa" w:w="3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PR.PS-01</w:t>
            </w:r>
          </w:p>
        </w:tc>
      </w:tr>
      <w:tr>
        <w:tc>
          <w:tcPr>
            <w:tcW w:type="dxa" w:w="17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7"/>
                <w:szCs w:val="17"/>
              </w:rPr>
              <w:t xml:space="preserve">SM-CICD-01</w:t>
            </w:r>
          </w:p>
        </w:tc>
        <w:tc>
          <w:tcPr>
            <w:tcW w:type="dxa" w:w="45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CM-3, SA-15</w:t>
            </w:r>
          </w:p>
        </w:tc>
        <w:tc>
          <w:tcPr>
            <w:tcW w:type="dxa" w:w="3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PR.PS-01</w:t>
            </w:r>
          </w:p>
        </w:tc>
      </w:tr>
      <w:tr>
        <w:tc>
          <w:tcPr>
            <w:tcW w:type="dxa" w:w="17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7"/>
                <w:szCs w:val="17"/>
              </w:rPr>
              <w:t xml:space="preserve">SM-CICD-02</w:t>
            </w:r>
          </w:p>
        </w:tc>
        <w:tc>
          <w:tcPr>
            <w:tcW w:type="dxa" w:w="45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AC-6, IA-5</w:t>
            </w:r>
          </w:p>
        </w:tc>
        <w:tc>
          <w:tcPr>
            <w:tcW w:type="dxa" w:w="3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PR.AA-05</w:t>
            </w:r>
          </w:p>
        </w:tc>
      </w:tr>
      <w:tr>
        <w:tc>
          <w:tcPr>
            <w:tcW w:type="dxa" w:w="17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7"/>
                <w:szCs w:val="17"/>
              </w:rPr>
              <w:t xml:space="preserve">SM-CICD-03</w:t>
            </w:r>
          </w:p>
        </w:tc>
        <w:tc>
          <w:tcPr>
            <w:tcW w:type="dxa" w:w="45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SR-3, RA-5</w:t>
            </w:r>
          </w:p>
        </w:tc>
        <w:tc>
          <w:tcPr>
            <w:tcW w:type="dxa" w:w="3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GV.SC, ID.RA-01</w:t>
            </w:r>
          </w:p>
        </w:tc>
      </w:tr>
      <w:tr>
        <w:tc>
          <w:tcPr>
            <w:tcW w:type="dxa" w:w="17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7"/>
                <w:szCs w:val="17"/>
              </w:rPr>
              <w:t xml:space="preserve">SM-CICD-04</w:t>
            </w:r>
          </w:p>
        </w:tc>
        <w:tc>
          <w:tcPr>
            <w:tcW w:type="dxa" w:w="45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CM-7, SC-7</w:t>
            </w:r>
          </w:p>
        </w:tc>
        <w:tc>
          <w:tcPr>
            <w:tcW w:type="dxa" w:w="3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PR.PS-01</w:t>
            </w:r>
          </w:p>
        </w:tc>
      </w:tr>
      <w:tr>
        <w:tc>
          <w:tcPr>
            <w:tcW w:type="dxa" w:w="17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7"/>
                <w:szCs w:val="17"/>
              </w:rPr>
              <w:t xml:space="preserve">SM-CICD-05</w:t>
            </w:r>
          </w:p>
        </w:tc>
        <w:tc>
          <w:tcPr>
            <w:tcW w:type="dxa" w:w="45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IA-5, SC-12</w:t>
            </w:r>
          </w:p>
        </w:tc>
        <w:tc>
          <w:tcPr>
            <w:tcW w:type="dxa" w:w="3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PR.AA-01</w:t>
            </w:r>
          </w:p>
        </w:tc>
      </w:tr>
      <w:tr>
        <w:tc>
          <w:tcPr>
            <w:tcW w:type="dxa" w:w="17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7"/>
                <w:szCs w:val="17"/>
              </w:rPr>
              <w:t xml:space="preserve">SM-CICD-06</w:t>
            </w:r>
          </w:p>
        </w:tc>
        <w:tc>
          <w:tcPr>
            <w:tcW w:type="dxa" w:w="45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SI-7, CM-14</w:t>
            </w:r>
          </w:p>
        </w:tc>
        <w:tc>
          <w:tcPr>
            <w:tcW w:type="dxa" w:w="3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PR.PS-01</w:t>
            </w:r>
          </w:p>
        </w:tc>
      </w:tr>
      <w:tr>
        <w:tc>
          <w:tcPr>
            <w:tcW w:type="dxa" w:w="17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7"/>
                <w:szCs w:val="17"/>
              </w:rPr>
              <w:t xml:space="preserve">SM-CICD-07</w:t>
            </w:r>
          </w:p>
        </w:tc>
        <w:tc>
          <w:tcPr>
            <w:tcW w:type="dxa" w:w="45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SR-3, SA-9</w:t>
            </w:r>
          </w:p>
        </w:tc>
        <w:tc>
          <w:tcPr>
            <w:tcW w:type="dxa" w:w="3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GV.SC</w:t>
            </w:r>
          </w:p>
        </w:tc>
      </w:tr>
      <w:tr>
        <w:tc>
          <w:tcPr>
            <w:tcW w:type="dxa" w:w="17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color w:val="1F3864"/>
                <w:sz w:val="17"/>
                <w:szCs w:val="17"/>
              </w:rPr>
              <w:t xml:space="preserve">SM-CICD-08</w:t>
            </w:r>
          </w:p>
        </w:tc>
        <w:tc>
          <w:tcPr>
            <w:tcW w:type="dxa" w:w="45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AU-2, SI-4</w:t>
            </w:r>
          </w:p>
        </w:tc>
        <w:tc>
          <w:tcPr>
            <w:tcW w:type="dxa" w:w="31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7"/>
                <w:szCs w:val="17"/>
              </w:rPr>
              <w:t xml:space="preserve">DE.CM-01</w:t>
            </w:r>
          </w:p>
        </w:tc>
      </w:tr>
      <w:tr>
        <w:tc>
          <w:tcPr>
            <w:tcW w:type="dxa" w:w="17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color w:val="1F3864"/>
                <w:sz w:val="17"/>
                <w:szCs w:val="17"/>
              </w:rPr>
              <w:t xml:space="preserve">SM-CICD-09</w:t>
            </w:r>
          </w:p>
        </w:tc>
        <w:tc>
          <w:tcPr>
            <w:tcW w:type="dxa" w:w="45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SA-11, RA-5</w:t>
            </w:r>
          </w:p>
        </w:tc>
        <w:tc>
          <w:tcPr>
            <w:tcW w:type="dxa" w:w="31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7"/>
                <w:szCs w:val="17"/>
              </w:rPr>
              <w:t xml:space="preserve">ID.RA-01</w:t>
            </w:r>
          </w:p>
        </w:tc>
      </w:tr>
    </w:tbl>
    <w:p>
      <w:pPr>
        <w:spacing w:after="120"/>
      </w:pPr>
      <w:r>
        <w:t xml:space="preserve"/>
      </w:r>
    </w:p>
    <w:p>
      <w:pPr>
        <w:spacing w:after="80" w:before="60"/>
      </w:pPr>
      <w:r>
        <w:rPr>
          <w:b/>
          <w:bCs/>
          <w:sz w:val="18"/>
          <w:szCs w:val="18"/>
        </w:rPr>
        <w:t xml:space="preserve">CI/CD controls — OWASP Top 10 CI/CD Security Risks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Control</w:t>
            </w:r>
          </w:p>
        </w:tc>
        <w:tc>
          <w:tcPr>
            <w:tcW w:type="dxa" w:w="716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OWASP CI/CD Risk</w:t>
            </w:r>
          </w:p>
        </w:tc>
      </w:tr>
      <w:tr>
        <w:tc>
          <w:tcPr>
            <w:tcW w:type="dxa" w:w="22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SM-CICD-01</w:t>
            </w:r>
          </w:p>
        </w:tc>
        <w:tc>
          <w:tcPr>
            <w:tcW w:type="dxa" w:w="71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CICD-SEC-1 (Insufficient Flow Control)</w:t>
            </w:r>
          </w:p>
        </w:tc>
      </w:tr>
      <w:tr>
        <w:tc>
          <w:tcPr>
            <w:tcW w:type="dxa" w:w="22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SM-CICD-02</w:t>
            </w:r>
          </w:p>
        </w:tc>
        <w:tc>
          <w:tcPr>
            <w:tcW w:type="dxa" w:w="71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CICD-SEC-2 / 5 (IAM; Insufficient PBAC)</w:t>
            </w:r>
          </w:p>
        </w:tc>
      </w:tr>
      <w:tr>
        <w:tc>
          <w:tcPr>
            <w:tcW w:type="dxa" w:w="22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SM-CICD-03</w:t>
            </w:r>
          </w:p>
        </w:tc>
        <w:tc>
          <w:tcPr>
            <w:tcW w:type="dxa" w:w="71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CICD-SEC-3 (Dependency Chain Abuse)</w:t>
            </w:r>
          </w:p>
        </w:tc>
      </w:tr>
      <w:tr>
        <w:tc>
          <w:tcPr>
            <w:tcW w:type="dxa" w:w="22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SM-CICD-04</w:t>
            </w:r>
          </w:p>
        </w:tc>
        <w:tc>
          <w:tcPr>
            <w:tcW w:type="dxa" w:w="71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CICD-SEC-4 / 7 (Poisoned Pipeline Execution; Insecure Config)</w:t>
            </w:r>
          </w:p>
        </w:tc>
      </w:tr>
      <w:tr>
        <w:tc>
          <w:tcPr>
            <w:tcW w:type="dxa" w:w="22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SM-CICD-05</w:t>
            </w:r>
          </w:p>
        </w:tc>
        <w:tc>
          <w:tcPr>
            <w:tcW w:type="dxa" w:w="71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CICD-SEC-6 (Insufficient Credential Hygiene)</w:t>
            </w:r>
          </w:p>
        </w:tc>
      </w:tr>
      <w:tr>
        <w:tc>
          <w:tcPr>
            <w:tcW w:type="dxa" w:w="22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SM-CICD-06</w:t>
            </w:r>
          </w:p>
        </w:tc>
        <w:tc>
          <w:tcPr>
            <w:tcW w:type="dxa" w:w="71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CICD-SEC-9 (Improper Artifact Integrity Validation)</w:t>
            </w:r>
          </w:p>
        </w:tc>
      </w:tr>
      <w:tr>
        <w:tc>
          <w:tcPr>
            <w:tcW w:type="dxa" w:w="22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SM-CICD-07</w:t>
            </w:r>
          </w:p>
        </w:tc>
        <w:tc>
          <w:tcPr>
            <w:tcW w:type="dxa" w:w="71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CICD-SEC-8 (Ungoverned 3rd-Party Services)</w:t>
            </w:r>
          </w:p>
        </w:tc>
      </w:tr>
      <w:tr>
        <w:tc>
          <w:tcPr>
            <w:tcW w:type="dxa" w:w="22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SM-CICD-08</w:t>
            </w:r>
          </w:p>
        </w:tc>
        <w:tc>
          <w:tcPr>
            <w:tcW w:type="dxa" w:w="71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CICD-SEC-10 (Insufficient Logging &amp; Visibility)</w:t>
            </w:r>
          </w:p>
        </w:tc>
      </w:tr>
      <w:tr>
        <w:tc>
          <w:tcPr>
            <w:tcW w:type="dxa" w:w="22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SM-CICD-09</w:t>
            </w:r>
          </w:p>
        </w:tc>
        <w:tc>
          <w:tcPr>
            <w:tcW w:type="dxa" w:w="71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CICD-SEC-1 / 3 / 4 (enforced via stage gates)</w:t>
            </w:r>
          </w:p>
        </w:tc>
      </w:tr>
    </w:tbl>
    <w:p>
      <w:pPr>
        <w:spacing w:after="120"/>
      </w:pPr>
      <w:r>
        <w:t xml:space="preserve"/>
      </w:r>
    </w:p>
    <w:p>
      <w:r>
        <w:br w:type="page"/>
      </w:r>
    </w:p>
    <w:p>
      <w:pPr>
        <w:pStyle w:val="Heading1"/>
      </w:pPr>
      <w:r>
        <w:t xml:space="preserve">Appendix C. Deployment and Operational Guidance</w:t>
      </w:r>
    </w:p>
    <w:p>
      <w:pPr>
        <w:spacing w:after="120" w:line="264"/>
      </w:pPr>
      <w:r>
        <w:rPr>
          <w:i/>
          <w:iCs/>
          <w:color w:val="595959"/>
        </w:rPr>
        <w:t xml:space="preserve">Informative. This annex provides non-normative guidance for applying the multitenancy (SM-MT) and CI/CD (SM-CICD) controls. It does not add requirements.</w:t>
      </w:r>
    </w:p>
    <w:p>
      <w:pPr>
        <w:pStyle w:val="Heading2"/>
      </w:pPr>
      <w:r>
        <w:t xml:space="preserve">C.1  Multitenancy Boundary Model</w:t>
      </w:r>
    </w:p>
    <w:p>
      <w:pPr>
        <w:spacing w:after="120" w:line="264"/>
      </w:pPr>
      <w:r>
        <w:t xml:space="preserve">Isolation strength increases from logical (namespace) to physical (cluster) to identity (trust domain). Choose the weakest boundary that meets the tenant trust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Boundary</w:t>
            </w:r>
          </w:p>
        </w:tc>
        <w:tc>
          <w:tcPr>
            <w:tcW w:type="dxa" w:w="24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Isolation</w:t>
            </w:r>
          </w:p>
        </w:tc>
        <w:tc>
          <w:tcPr>
            <w:tcW w:type="dxa" w:w="436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Typical use</w:t>
            </w:r>
          </w:p>
        </w:tc>
      </w:tr>
      <w:tr>
        <w:tc>
          <w:tcPr>
            <w:tcW w:type="dxa" w:w="26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Namespace</w:t>
            </w:r>
          </w:p>
        </w:tc>
        <w:tc>
          <w:tcPr>
            <w:tcW w:type="dxa" w:w="24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Soft / logical</w:t>
            </w:r>
          </w:p>
        </w:tc>
        <w:tc>
          <w:tcPr>
            <w:tcW w:type="dxa" w:w="43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Trusted tenants sharing a cluster and mesh</w:t>
            </w:r>
          </w:p>
        </w:tc>
      </w:tr>
      <w:tr>
        <w:tc>
          <w:tcPr>
            <w:tcW w:type="dxa" w:w="26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Cluster</w:t>
            </w:r>
          </w:p>
        </w:tc>
        <w:tc>
          <w:tcPr>
            <w:tcW w:type="dxa" w:w="24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Hard / physical</w:t>
            </w:r>
          </w:p>
        </w:tc>
        <w:tc>
          <w:tcPr>
            <w:tcW w:type="dxa" w:w="43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Untrusted tenants; strict blast-radius limits</w:t>
            </w:r>
          </w:p>
        </w:tc>
      </w:tr>
      <w:tr>
        <w:tc>
          <w:tcPr>
            <w:tcW w:type="dxa" w:w="26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Mesh trust domain</w:t>
            </w:r>
          </w:p>
        </w:tc>
        <w:tc>
          <w:tcPr>
            <w:tcW w:type="dxa" w:w="24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Hard / identity</w:t>
            </w:r>
          </w:p>
        </w:tc>
        <w:tc>
          <w:tcPr>
            <w:tcW w:type="dxa" w:w="43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Cross-cluster or federated isolation</w:t>
            </w:r>
          </w:p>
        </w:tc>
      </w:tr>
    </w:tbl>
    <w:p>
      <w:pPr>
        <w:spacing w:after="120" w:line="264"/>
      </w:pPr>
      <w:r>
        <w:rPr>
          <w:i/>
          <w:iCs/>
          <w:color w:val="595959"/>
        </w:rPr>
        <w:t xml:space="preserve">Recommended baseline: namespace-per-tenant with Network Policy, mesh Authorization Policy, RBAC, and resource quotas as the soft-isolation default; escalate to cluster or trust-domain separation for untrusted or regulated tenants.</w:t>
      </w:r>
    </w:p>
    <w:p>
      <w:pPr>
        <w:pStyle w:val="Heading2"/>
      </w:pPr>
      <w:r>
        <w:t xml:space="preserve">C.2  Tenancy and Deployment-Model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Deployment model</w:t>
            </w:r>
          </w:p>
        </w:tc>
        <w:tc>
          <w:tcPr>
            <w:tcW w:type="dxa" w:w="22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Isolation</w:t>
            </w:r>
          </w:p>
        </w:tc>
        <w:tc>
          <w:tcPr>
            <w:tcW w:type="dxa" w:w="376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When to use</w:t>
            </w:r>
          </w:p>
        </w:tc>
      </w:tr>
      <w:tr>
        <w:tc>
          <w:tcPr>
            <w:tcW w:type="dxa" w:w="34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Shared cluster, shared mesh</w:t>
            </w:r>
          </w:p>
        </w:tc>
        <w:tc>
          <w:tcPr>
            <w:tcW w:type="dxa" w:w="22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Soft (namespace)</w:t>
            </w:r>
          </w:p>
        </w:tc>
        <w:tc>
          <w:tcPr>
            <w:tcW w:type="dxa" w:w="37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Trusted internal teams</w:t>
            </w:r>
          </w:p>
        </w:tc>
      </w:tr>
      <w:tr>
        <w:tc>
          <w:tcPr>
            <w:tcW w:type="dxa" w:w="34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Shared cluster, multiple meshes</w:t>
            </w:r>
          </w:p>
        </w:tc>
        <w:tc>
          <w:tcPr>
            <w:tcW w:type="dxa" w:w="22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Medium</w:t>
            </w:r>
          </w:p>
        </w:tc>
        <w:tc>
          <w:tcPr>
            <w:tcW w:type="dxa" w:w="37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Stronger control-plane separation</w:t>
            </w:r>
          </w:p>
        </w:tc>
      </w:tr>
      <w:tr>
        <w:tc>
          <w:tcPr>
            <w:tcW w:type="dxa" w:w="34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Cluster per tenant</w:t>
            </w:r>
          </w:p>
        </w:tc>
        <w:tc>
          <w:tcPr>
            <w:tcW w:type="dxa" w:w="22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Hard</w:t>
            </w:r>
          </w:p>
        </w:tc>
        <w:tc>
          <w:tcPr>
            <w:tcW w:type="dxa" w:w="37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Untrusted or regulated tenants</w:t>
            </w:r>
          </w:p>
        </w:tc>
      </w:tr>
      <w:tr>
        <w:tc>
          <w:tcPr>
            <w:tcW w:type="dxa" w:w="34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Federated multi-cluster</w:t>
            </w:r>
          </w:p>
        </w:tc>
        <w:tc>
          <w:tcPr>
            <w:tcW w:type="dxa" w:w="22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Hard (trust domains)</w:t>
            </w:r>
          </w:p>
        </w:tc>
        <w:tc>
          <w:tcPr>
            <w:tcW w:type="dxa" w:w="37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Geographic / business-unit isolation at scale</w:t>
            </w:r>
          </w:p>
        </w:tc>
      </w:tr>
    </w:tbl>
    <w:p>
      <w:pPr>
        <w:pStyle w:val="Heading2"/>
      </w:pPr>
      <w:r>
        <w:t xml:space="preserve">C.3  CI/CD Risk Landscape — Why It Matters</w:t>
      </w:r>
    </w:p>
    <w:p>
      <w:pPr>
        <w:spacing w:after="120" w:line="264"/>
      </w:pPr>
      <w:r>
        <w:t xml:space="preserve">CI/CD systems hold direct paths to source, secrets, and production, which makes them high-value targets; recent supply-chain incidents show that a single compromised pipeline component can distribute malicious code at scale. The OWASP Top 10 CI/CD Security Risks frame the focus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ID</w:t>
            </w:r>
          </w:p>
        </w:tc>
        <w:tc>
          <w:tcPr>
            <w:tcW w:type="dxa" w:w="776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Risk</w:t>
            </w:r>
          </w:p>
        </w:tc>
      </w:tr>
      <w:tr>
        <w:tc>
          <w:tcPr>
            <w:tcW w:type="dxa" w:w="16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CICD-SEC-1</w:t>
            </w:r>
          </w:p>
        </w:tc>
        <w:tc>
          <w:tcPr>
            <w:tcW w:type="dxa" w:w="77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Insufficient flow control mechanisms</w:t>
            </w:r>
          </w:p>
        </w:tc>
      </w:tr>
      <w:tr>
        <w:tc>
          <w:tcPr>
            <w:tcW w:type="dxa" w:w="16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CICD-SEC-2</w:t>
            </w:r>
          </w:p>
        </w:tc>
        <w:tc>
          <w:tcPr>
            <w:tcW w:type="dxa" w:w="77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Inadequate identity and access management</w:t>
            </w:r>
          </w:p>
        </w:tc>
      </w:tr>
      <w:tr>
        <w:tc>
          <w:tcPr>
            <w:tcW w:type="dxa" w:w="16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CICD-SEC-3</w:t>
            </w:r>
          </w:p>
        </w:tc>
        <w:tc>
          <w:tcPr>
            <w:tcW w:type="dxa" w:w="77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Dependency chain abuse</w:t>
            </w:r>
          </w:p>
        </w:tc>
      </w:tr>
      <w:tr>
        <w:tc>
          <w:tcPr>
            <w:tcW w:type="dxa" w:w="16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CICD-SEC-4</w:t>
            </w:r>
          </w:p>
        </w:tc>
        <w:tc>
          <w:tcPr>
            <w:tcW w:type="dxa" w:w="77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Poisoned pipeline execution</w:t>
            </w:r>
          </w:p>
        </w:tc>
      </w:tr>
      <w:tr>
        <w:tc>
          <w:tcPr>
            <w:tcW w:type="dxa" w:w="16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CICD-SEC-5</w:t>
            </w:r>
          </w:p>
        </w:tc>
        <w:tc>
          <w:tcPr>
            <w:tcW w:type="dxa" w:w="77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Insufficient pipeline-based access controls</w:t>
            </w:r>
          </w:p>
        </w:tc>
      </w:tr>
      <w:tr>
        <w:tc>
          <w:tcPr>
            <w:tcW w:type="dxa" w:w="16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CICD-SEC-6</w:t>
            </w:r>
          </w:p>
        </w:tc>
        <w:tc>
          <w:tcPr>
            <w:tcW w:type="dxa" w:w="77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Insufficient credential hygiene</w:t>
            </w:r>
          </w:p>
        </w:tc>
      </w:tr>
      <w:tr>
        <w:tc>
          <w:tcPr>
            <w:tcW w:type="dxa" w:w="16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CICD-SEC-7</w:t>
            </w:r>
          </w:p>
        </w:tc>
        <w:tc>
          <w:tcPr>
            <w:tcW w:type="dxa" w:w="77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Insecure system configuration</w:t>
            </w:r>
          </w:p>
        </w:tc>
      </w:tr>
      <w:tr>
        <w:tc>
          <w:tcPr>
            <w:tcW w:type="dxa" w:w="16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CICD-SEC-8</w:t>
            </w:r>
          </w:p>
        </w:tc>
        <w:tc>
          <w:tcPr>
            <w:tcW w:type="dxa" w:w="77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Ungoverned use of third-party services</w:t>
            </w:r>
          </w:p>
        </w:tc>
      </w:tr>
      <w:tr>
        <w:tc>
          <w:tcPr>
            <w:tcW w:type="dxa" w:w="16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CICD-SEC-9</w:t>
            </w:r>
          </w:p>
        </w:tc>
        <w:tc>
          <w:tcPr>
            <w:tcW w:type="dxa" w:w="77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Improper artifact integrity validation</w:t>
            </w:r>
          </w:p>
        </w:tc>
      </w:tr>
      <w:tr>
        <w:tc>
          <w:tcPr>
            <w:tcW w:type="dxa" w:w="16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CICD-SEC-10</w:t>
            </w:r>
          </w:p>
        </w:tc>
        <w:tc>
          <w:tcPr>
            <w:tcW w:type="dxa" w:w="77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Insufficient logging and visibility</w:t>
            </w:r>
          </w:p>
        </w:tc>
      </w:tr>
    </w:tbl>
    <w:p>
      <w:pPr>
        <w:pStyle w:val="Heading2"/>
      </w:pPr>
      <w:r>
        <w:t xml:space="preserve">C.4  Components at Risk</w:t>
      </w:r>
    </w:p>
    <w:p>
      <w:pPr>
        <w:pStyle w:val="ListParagraph"/>
        <w:numPr>
          <w:ilvl w:val="0"/>
          <w:numId w:val="2"/>
        </w:numPr>
        <w:spacing w:after="40" w:line="252"/>
      </w:pPr>
      <w:r>
        <w:t xml:space="preserve">Source-code repositories and build configuration</w:t>
      </w:r>
    </w:p>
    <w:p>
      <w:pPr>
        <w:pStyle w:val="ListParagraph"/>
        <w:numPr>
          <w:ilvl w:val="0"/>
          <w:numId w:val="2"/>
        </w:numPr>
        <w:spacing w:after="40" w:line="252"/>
      </w:pPr>
      <w:r>
        <w:t xml:space="preserve">Build servers, workers, and CI runners (often over-privileged and under-monitored)</w:t>
      </w:r>
    </w:p>
    <w:p>
      <w:pPr>
        <w:pStyle w:val="ListParagraph"/>
        <w:numPr>
          <w:ilvl w:val="0"/>
          <w:numId w:val="2"/>
        </w:numPr>
        <w:spacing w:after="40" w:line="252"/>
      </w:pPr>
      <w:r>
        <w:t xml:space="preserve">Artifact and container registries</w:t>
      </w:r>
    </w:p>
    <w:p>
      <w:pPr>
        <w:pStyle w:val="ListParagraph"/>
        <w:numPr>
          <w:ilvl w:val="0"/>
          <w:numId w:val="2"/>
        </w:numPr>
        <w:spacing w:after="40" w:line="252"/>
      </w:pPr>
      <w:r>
        <w:t xml:space="preserve">Deployment environments and orchestration tools (a path for lateral movement)</w:t>
      </w:r>
    </w:p>
    <w:p>
      <w:pPr>
        <w:pStyle w:val="Heading2"/>
      </w:pPr>
      <w:r>
        <w:t xml:space="preserve">C.5  Challenges in CI/CD Security</w:t>
      </w:r>
    </w:p>
    <w:p>
      <w:pPr>
        <w:spacing w:after="120" w:line="264"/>
      </w:pPr>
      <w:r>
        <w:t xml:space="preserve">Pipeline complexity and interconnection; speed outpacing security checks; automation without automated guardrails; access control across large teams; secrets sprawl; supply-chain and SaaS-tool exposure; and unvetted third-party actions or plugins.</w:t>
      </w:r>
    </w:p>
    <w:p>
      <w:pPr>
        <w:pStyle w:val="Heading2"/>
      </w:pPr>
      <w:r>
        <w:t xml:space="preserve">C.6  Types of CI/CD Pipelines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Type</w:t>
            </w:r>
          </w:p>
        </w:tc>
        <w:tc>
          <w:tcPr>
            <w:tcW w:type="dxa" w:w="716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Primary security consideration</w:t>
            </w:r>
          </w:p>
        </w:tc>
      </w:tr>
      <w:tr>
        <w:tc>
          <w:tcPr>
            <w:tcW w:type="dxa" w:w="22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Traditional</w:t>
            </w:r>
          </w:p>
        </w:tc>
        <w:tc>
          <w:tcPr>
            <w:tcW w:type="dxa" w:w="71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Trigger/secret access; build-environment and artifact integrity</w:t>
            </w:r>
          </w:p>
        </w:tc>
      </w:tr>
      <w:tr>
        <w:tc>
          <w:tcPr>
            <w:tcW w:type="dxa" w:w="22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GitOps</w:t>
            </w:r>
          </w:p>
        </w:tc>
        <w:tc>
          <w:tcPr>
            <w:tcW w:type="dxa" w:w="71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Repo access control; secrets kept out of Git; agent compromise</w:t>
            </w:r>
          </w:p>
        </w:tc>
      </w:tr>
      <w:tr>
        <w:tc>
          <w:tcPr>
            <w:tcW w:type="dxa" w:w="22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Container-based</w:t>
            </w:r>
          </w:p>
        </w:tc>
        <w:tc>
          <w:tcPr>
            <w:tcW w:type="dxa" w:w="71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Image scanning; registry hardening; runtime threats</w:t>
            </w:r>
          </w:p>
        </w:tc>
      </w:tr>
      <w:tr>
        <w:tc>
          <w:tcPr>
            <w:tcW w:type="dxa" w:w="22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Serverless</w:t>
            </w:r>
          </w:p>
        </w:tc>
        <w:tc>
          <w:tcPr>
            <w:tcW w:type="dxa" w:w="71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Fine-grained IAM; shared-responsibility; privilege escalation</w:t>
            </w:r>
          </w:p>
        </w:tc>
      </w:tr>
      <w:tr>
        <w:tc>
          <w:tcPr>
            <w:tcW w:type="dxa" w:w="22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Hybrid</w:t>
            </w:r>
          </w:p>
        </w:tc>
        <w:tc>
          <w:tcPr>
            <w:tcW w:type="dxa" w:w="71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Consistent policy and visibility across toolchains</w:t>
            </w:r>
          </w:p>
        </w:tc>
      </w:tr>
    </w:tbl>
    <w:p>
      <w:pPr>
        <w:spacing w:after="120" w:line="264"/>
      </w:pPr>
      <w:r>
        <w:rPr>
          <w:i/>
          <w:iCs/>
          <w:color w:val="595959"/>
        </w:rPr>
        <w:t xml:space="preserve">Service mesh deployments are typically GitOps + container-based, so those two rows carry the most weight.</w:t>
      </w:r>
    </w:p>
    <w:p>
      <w:pPr>
        <w:pStyle w:val="Heading2"/>
      </w:pPr>
      <w:r>
        <w:t xml:space="preserve">C.7  Security at Each Pipeline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Stage</w:t>
            </w:r>
          </w:p>
        </w:tc>
        <w:tc>
          <w:tcPr>
            <w:tcW w:type="dxa" w:w="746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Security activities</w:t>
            </w:r>
          </w:p>
        </w:tc>
      </w:tr>
      <w:tr>
        <w:tc>
          <w:tcPr>
            <w:tcW w:type="dxa" w:w="19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Pre-commit</w:t>
            </w:r>
          </w:p>
        </w:tc>
        <w:tc>
          <w:tcPr>
            <w:tcW w:type="dxa" w:w="74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Secret scanning, linting, repository hardening</w:t>
            </w:r>
          </w:p>
        </w:tc>
      </w:tr>
      <w:tr>
        <w:tc>
          <w:tcPr>
            <w:tcW w:type="dxa" w:w="19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Build</w:t>
            </w:r>
          </w:p>
        </w:tc>
        <w:tc>
          <w:tcPr>
            <w:tcW w:type="dxa" w:w="74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SAST, SCA, IaC scanning, container scanning and hardening</w:t>
            </w:r>
          </w:p>
        </w:tc>
      </w:tr>
      <w:tr>
        <w:tc>
          <w:tcPr>
            <w:tcW w:type="dxa" w:w="19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Test</w:t>
            </w:r>
          </w:p>
        </w:tc>
        <w:tc>
          <w:tcPr>
            <w:tcW w:type="dxa" w:w="74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DAST, IAST, API security, misconfiguration checks</w:t>
            </w:r>
          </w:p>
        </w:tc>
      </w:tr>
      <w:tr>
        <w:tc>
          <w:tcPr>
            <w:tcW w:type="dxa" w:w="19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Release</w:t>
            </w:r>
          </w:p>
        </w:tc>
        <w:tc>
          <w:tcPr>
            <w:tcW w:type="dxa" w:w="74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Artifact and image signing, SBOM generation</w:t>
            </w:r>
          </w:p>
        </w:tc>
      </w:tr>
      <w:tr>
        <w:tc>
          <w:tcPr>
            <w:tcW w:type="dxa" w:w="19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Deploy</w:t>
            </w:r>
          </w:p>
        </w:tc>
        <w:tc>
          <w:tcPr>
            <w:tcW w:type="dxa" w:w="74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Admission-time signature verification, deploy gates, immutable infrastructure</w:t>
            </w:r>
          </w:p>
        </w:tc>
      </w:tr>
      <w:tr>
        <w:tc>
          <w:tcPr>
            <w:tcW w:type="dxa" w:w="19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Operate</w:t>
            </w:r>
          </w:p>
        </w:tc>
        <w:tc>
          <w:tcPr>
            <w:tcW w:type="dxa" w:w="74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Runtime monitoring (CNAPP), logging to SIEM, vulnerability management, pen-testing</w:t>
            </w:r>
          </w:p>
        </w:tc>
      </w:tr>
    </w:tbl>
    <w:p>
      <w:pPr>
        <w:pStyle w:val="Heading2"/>
      </w:pPr>
      <w:r>
        <w:t xml:space="preserve">C.8  Best Practices</w:t>
      </w:r>
    </w:p>
    <w:p>
      <w:pPr>
        <w:pStyle w:val="ListParagraph"/>
        <w:numPr>
          <w:ilvl w:val="0"/>
          <w:numId w:val="2"/>
        </w:numPr>
        <w:spacing w:after="40" w:line="252"/>
      </w:pPr>
      <w:r>
        <w:t xml:space="preserve">Automate security scans with developer alerts; extend to runtime monitoring and SIEM/SOAR</w:t>
      </w:r>
    </w:p>
    <w:p>
      <w:pPr>
        <w:pStyle w:val="ListParagraph"/>
        <w:numPr>
          <w:ilvl w:val="0"/>
          <w:numId w:val="2"/>
        </w:numPr>
        <w:spacing w:after="40" w:line="252"/>
      </w:pPr>
      <w:r>
        <w:t xml:space="preserve">Centralize secrets management with rotation; keep secrets out of code, images, and Git</w:t>
      </w:r>
    </w:p>
    <w:p>
      <w:pPr>
        <w:pStyle w:val="ListParagraph"/>
        <w:numPr>
          <w:ilvl w:val="0"/>
          <w:numId w:val="2"/>
        </w:numPr>
        <w:spacing w:after="40" w:line="252"/>
      </w:pPr>
      <w:r>
        <w:t xml:space="preserve">Use immutable infrastructure and GitOps with full audit trails and drift detection</w:t>
      </w:r>
    </w:p>
    <w:p>
      <w:pPr>
        <w:pStyle w:val="ListParagraph"/>
        <w:numPr>
          <w:ilvl w:val="0"/>
          <w:numId w:val="2"/>
        </w:numPr>
        <w:spacing w:after="40" w:line="252"/>
      </w:pPr>
      <w:r>
        <w:t xml:space="preserve">Enforce RBAC, separation of duties, and four-eyes approval for sensitive operations</w:t>
      </w:r>
    </w:p>
    <w:p>
      <w:pPr>
        <w:pStyle w:val="ListParagraph"/>
        <w:numPr>
          <w:ilvl w:val="0"/>
          <w:numId w:val="2"/>
        </w:numPr>
        <w:spacing w:after="40" w:line="252"/>
      </w:pPr>
      <w:r>
        <w:t xml:space="preserve">Build a security-champions culture; train developers and run joint assessments</w:t>
      </w:r>
    </w:p>
    <w:p>
      <w:pPr>
        <w:pStyle w:val="Heading2"/>
      </w:pPr>
      <w:r>
        <w:t xml:space="preserve">C.9  Shared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rPr>
          <w:tblHeader/>
        </w:trPr>
        <w:tc>
          <w:tcPr>
            <w:tcW w:type="dxa" w:w="546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Layer</w:t>
            </w:r>
          </w:p>
        </w:tc>
        <w:tc>
          <w:tcPr>
            <w:tcW w:type="dxa" w:w="39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Owner</w:t>
            </w:r>
          </w:p>
        </w:tc>
      </w:tr>
      <w:tr>
        <w:tc>
          <w:tcPr>
            <w:tcW w:type="dxa" w:w="54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bCs/>
                <w:sz w:val="18"/>
                <w:szCs w:val="18"/>
              </w:rPr>
              <w:t xml:space="preserve">Code, access, secrets, configuration, and artifacts</w:t>
            </w:r>
          </w:p>
        </w:tc>
        <w:tc>
          <w:tcPr>
            <w:tcW w:type="dxa" w:w="39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Organization (always)</w:t>
            </w:r>
          </w:p>
        </w:tc>
      </w:tr>
      <w:tr>
        <w:tc>
          <w:tcPr>
            <w:tcW w:type="dxa" w:w="54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bCs/>
                <w:sz w:val="18"/>
                <w:szCs w:val="18"/>
              </w:rPr>
              <w:t xml:space="preserve">Managed CI/CD platform and runtime infrastructure</w:t>
            </w:r>
          </w:p>
        </w:tc>
        <w:tc>
          <w:tcPr>
            <w:tcW w:type="dxa" w:w="39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Provider (for SaaS / managed services)</w:t>
            </w:r>
          </w:p>
        </w:tc>
      </w:tr>
    </w:tbl>
    <w:p>
      <w:pPr>
        <w:spacing w:after="120" w:line="264"/>
      </w:pPr>
      <w:r>
        <w:rPr>
          <w:i/>
          <w:iCs/>
          <w:color w:val="595959"/>
        </w:rPr>
        <w:t xml:space="preserve">The organization always owns code, access, and data regardless of the deployment model.</w:t>
      </w:r>
    </w:p>
    <w:p>
      <w:pPr>
        <w:pStyle w:val="Heading2"/>
      </w:pPr>
      <w:r>
        <w:t xml:space="preserve">C.10  Measuring Effectiveness</w:t>
      </w:r>
    </w:p>
    <w:p>
      <w:pPr>
        <w:spacing w:after="120" w:line="264"/>
      </w:pPr>
      <w:r>
        <w:t xml:space="preserve">Security metrics: vulnerability detection rate; mean time to remediate (MTTR); policy-compliance rate; security test coverage; and security-related build failures.</w:t>
      </w:r>
    </w:p>
    <w:p>
      <w:pPr>
        <w:spacing w:after="120" w:line="264"/>
      </w:pPr>
      <w:r>
        <w:t xml:space="preserve">DORA delivery metrics (to balance security against velocity): deployment frequency; lead time for changes; change-failure rate; and time to restore service.</w:t>
      </w:r>
    </w:p>
    <w:p>
      <w:pPr>
        <w:spacing w:after="120"/>
      </w:pPr>
      <w:r>
        <w:t xml:space="preserve"/>
      </w:r>
    </w:p>
    <w:p>
      <w:pPr>
        <w:pStyle w:val="Heading1"/>
      </w:pPr>
      <w:r>
        <w:t xml:space="preserve">Document Control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80"/>
        <w:gridCol w:w="2680"/>
      </w:tblGrid>
      <w:tr>
        <w:trPr>
          <w:tblHeader/>
        </w:trPr>
        <w:tc>
          <w:tcPr>
            <w:tcW w:type="dxa" w:w="16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Version</w:t>
            </w:r>
          </w:p>
        </w:tc>
        <w:tc>
          <w:tcPr>
            <w:tcW w:type="dxa" w:w="24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Date</w:t>
            </w:r>
          </w:p>
        </w:tc>
        <w:tc>
          <w:tcPr>
            <w:tcW w:type="dxa" w:w="268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Author</w:t>
            </w:r>
          </w:p>
        </w:tc>
        <w:tc>
          <w:tcPr>
            <w:tcW w:type="dxa" w:w="268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Approver</w:t>
            </w:r>
          </w:p>
        </w:tc>
      </w:tr>
      <w:tr>
        <w:tc>
          <w:tcPr>
            <w:tcW w:type="dxa" w:w="16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8"/>
                <w:szCs w:val="18"/>
              </w:rPr>
              <w:t xml:space="preserve">2.0</w:t>
            </w:r>
          </w:p>
        </w:tc>
        <w:tc>
          <w:tcPr>
            <w:tcW w:type="dxa" w:w="24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YYYY-MM-DD</w:t>
            </w:r>
          </w:p>
        </w:tc>
        <w:tc>
          <w:tcPr>
            <w:tcW w:type="dxa" w:w="268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Security Architecture</w:t>
            </w:r>
          </w:p>
        </w:tc>
        <w:tc>
          <w:tcPr>
            <w:tcW w:type="dxa" w:w="268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Security Governance Board</w:t>
            </w:r>
          </w:p>
        </w:tc>
      </w:tr>
      <w:tr>
        <w:tc>
          <w:tcPr>
            <w:tcW w:type="dxa" w:w="16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8"/>
                <w:szCs w:val="18"/>
              </w:rPr>
              <w:t xml:space="preserve">2.1</w:t>
            </w:r>
          </w:p>
        </w:tc>
        <w:tc>
          <w:tcPr>
            <w:tcW w:type="dxa" w:w="24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YYYY-MM-DD</w:t>
            </w:r>
          </w:p>
        </w:tc>
        <w:tc>
          <w:tcPr>
            <w:tcW w:type="dxa" w:w="268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Security Architecture</w:t>
            </w:r>
          </w:p>
        </w:tc>
        <w:tc>
          <w:tcPr>
            <w:tcW w:type="dxa" w:w="268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Added Multitenancy (SM-MT) and CI/CD Pipeline Security (SM-CICD) domains; Appendix C guidance</w:t>
            </w:r>
          </w:p>
        </w:tc>
      </w:tr>
    </w:tbl>
    <w:p>
      <w:pPr>
        <w:spacing w:after="80"/>
      </w:pPr>
      <w:r>
        <w:t xml:space="preserve"/>
      </w:r>
    </w:p>
    <w:p>
      <w:pPr>
        <w:spacing w:after="80"/>
      </w:pPr>
      <w:r>
        <w:rPr>
          <w:b/>
          <w:bCs/>
          <w:sz w:val="18"/>
          <w:szCs w:val="18"/>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2500"/>
        <w:gridCol w:w="2500"/>
        <w:gridCol w:w="1500"/>
      </w:tblGrid>
      <w:tr>
        <w:trPr>
          <w:tblHeader/>
        </w:trPr>
        <w:tc>
          <w:tcPr>
            <w:tcW w:type="dxa" w:w="286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Role</w:t>
            </w:r>
          </w:p>
        </w:tc>
        <w:tc>
          <w:tcPr>
            <w:tcW w:type="dxa" w:w="25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Name</w:t>
            </w:r>
          </w:p>
        </w:tc>
        <w:tc>
          <w:tcPr>
            <w:tcW w:type="dxa" w:w="25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Signature</w:t>
            </w:r>
          </w:p>
        </w:tc>
        <w:tc>
          <w:tcPr>
            <w:tcW w:type="dxa" w:w="1500"/>
            <w:tcBorders>
              <w:top w:val="single" w:color="BFC9D9" w:sz="1"/>
              <w:left w:val="single" w:color="BFC9D9" w:sz="1"/>
              <w:bottom w:val="single" w:color="BFC9D9" w:sz="1"/>
              <w:right w:val="single" w:color="BFC9D9" w:sz="1"/>
            </w:tcBorders>
            <w:shd w:fill="1F3864" w:val="clear"/>
            <w:tcMar>
              <w:top w:type="dxa" w:w="70"/>
              <w:left w:type="dxa" w:w="110"/>
              <w:bottom w:type="dxa" w:w="70"/>
              <w:right w:type="dxa" w:w="110"/>
            </w:tcMar>
            <w:vAlign w:val="center"/>
          </w:tcPr>
          <w:p>
            <w:pPr>
              <w:jc w:val="left"/>
            </w:pPr>
            <w:r>
              <w:rPr>
                <w:b/>
                <w:bCs/>
                <w:color w:val="FFFFFF"/>
                <w:sz w:val="18"/>
                <w:szCs w:val="18"/>
              </w:rPr>
              <w:t xml:space="preserve">Date</w:t>
            </w:r>
          </w:p>
        </w:tc>
      </w:tr>
      <w:tr>
        <w:tc>
          <w:tcPr>
            <w:tcW w:type="dxa" w:w="28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8"/>
                <w:szCs w:val="18"/>
              </w:rPr>
              <w:t xml:space="preserve">Security Architect</w:t>
            </w:r>
          </w:p>
        </w:tc>
        <w:tc>
          <w:tcPr>
            <w:tcW w:type="dxa" w:w="25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
            </w:r>
          </w:p>
        </w:tc>
        <w:tc>
          <w:tcPr>
            <w:tcW w:type="dxa" w:w="25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
            </w:r>
          </w:p>
        </w:tc>
        <w:tc>
          <w:tcPr>
            <w:tcW w:type="dxa" w:w="15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
            </w:r>
          </w:p>
        </w:tc>
      </w:tr>
      <w:tr>
        <w:tc>
          <w:tcPr>
            <w:tcW w:type="dxa" w:w="28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8"/>
                <w:szCs w:val="18"/>
              </w:rPr>
              <w:t xml:space="preserve">Platform Engineering Lead</w:t>
            </w:r>
          </w:p>
        </w:tc>
        <w:tc>
          <w:tcPr>
            <w:tcW w:type="dxa" w:w="25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
            </w:r>
          </w:p>
        </w:tc>
        <w:tc>
          <w:tcPr>
            <w:tcW w:type="dxa" w:w="25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
            </w:r>
          </w:p>
        </w:tc>
        <w:tc>
          <w:tcPr>
            <w:tcW w:type="dxa" w:w="15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
            </w:r>
          </w:p>
        </w:tc>
      </w:tr>
      <w:tr>
        <w:tc>
          <w:tcPr>
            <w:tcW w:type="dxa" w:w="28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8"/>
                <w:szCs w:val="18"/>
              </w:rPr>
              <w:t xml:space="preserve">Head of Security</w:t>
            </w:r>
          </w:p>
        </w:tc>
        <w:tc>
          <w:tcPr>
            <w:tcW w:type="dxa" w:w="25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
            </w:r>
          </w:p>
        </w:tc>
        <w:tc>
          <w:tcPr>
            <w:tcW w:type="dxa" w:w="25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
            </w:r>
          </w:p>
        </w:tc>
        <w:tc>
          <w:tcPr>
            <w:tcW w:type="dxa" w:w="15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
            </w:r>
          </w:p>
        </w:tc>
      </w:tr>
      <w:tr>
        <w:tc>
          <w:tcPr>
            <w:tcW w:type="dxa" w:w="286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sz w:val="18"/>
                <w:szCs w:val="18"/>
              </w:rPr>
              <w:t xml:space="preserve">Risk Manager</w:t>
            </w:r>
          </w:p>
        </w:tc>
        <w:tc>
          <w:tcPr>
            <w:tcW w:type="dxa" w:w="25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
            </w:r>
          </w:p>
        </w:tc>
        <w:tc>
          <w:tcPr>
            <w:tcW w:type="dxa" w:w="25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
            </w:r>
          </w:p>
        </w:tc>
        <w:tc>
          <w:tcPr>
            <w:tcW w:type="dxa" w:w="1500"/>
            <w:tcBorders>
              <w:top w:val="single" w:color="BFC9D9" w:sz="1"/>
              <w:left w:val="single" w:color="BFC9D9" w:sz="1"/>
              <w:bottom w:val="single" w:color="BFC9D9" w:sz="1"/>
              <w:right w:val="single" w:color="BFC9D9" w:sz="1"/>
            </w:tcBorders>
            <w:shd w:fill="EEF2F8" w:val="clear"/>
            <w:tcMar>
              <w:top w:type="dxa" w:w="70"/>
              <w:left w:type="dxa" w:w="110"/>
              <w:bottom w:type="dxa" w:w="70"/>
              <w:right w:type="dxa" w:w="110"/>
            </w:tcMar>
            <w:vAlign w:val="center"/>
          </w:tcPr>
          <w:p>
            <w:r>
              <w:rPr>
                <w:b w:val="false"/>
                <w:bCs w:val="false"/>
                <w:sz w:val="18"/>
                <w:szCs w:val="18"/>
              </w:rPr>
              <w:t xml:space="preserve"/>
            </w:r>
          </w:p>
        </w:tc>
      </w:tr>
      <w:tr>
        <w:tc>
          <w:tcPr>
            <w:tcW w:type="dxa" w:w="286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sz w:val="18"/>
                <w:szCs w:val="18"/>
              </w:rPr>
              <w:t xml:space="preserve">Governance Board Chair</w:t>
            </w:r>
          </w:p>
        </w:tc>
        <w:tc>
          <w:tcPr>
            <w:tcW w:type="dxa" w:w="25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
            </w:r>
          </w:p>
        </w:tc>
        <w:tc>
          <w:tcPr>
            <w:tcW w:type="dxa" w:w="25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
            </w:r>
          </w:p>
        </w:tc>
        <w:tc>
          <w:tcPr>
            <w:tcW w:type="dxa" w:w="1500"/>
            <w:tcBorders>
              <w:top w:val="single" w:color="BFC9D9" w:sz="1"/>
              <w:left w:val="single" w:color="BFC9D9" w:sz="1"/>
              <w:bottom w:val="single" w:color="BFC9D9" w:sz="1"/>
              <w:right w:val="single" w:color="BFC9D9" w:sz="1"/>
            </w:tcBorders>
            <w:tcMar>
              <w:top w:type="dxa" w:w="70"/>
              <w:left w:type="dxa" w:w="110"/>
              <w:bottom w:type="dxa" w:w="70"/>
              <w:right w:type="dxa" w:w="110"/>
            </w:tcMar>
            <w:vAlign w:val="center"/>
          </w:tcPr>
          <w:p>
            <w:r>
              <w:rPr>
                <w:b w:val="false"/>
                <w:bCs w:val="false"/>
                <w:sz w:val="18"/>
                <w:szCs w:val="18"/>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9D9" w:sz="4" w:space="6"/>
      </w:pBd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9" w:sz="4" w:space="6"/>
      </w:pBdr>
      <w:tabs>
        <w:tab w:val="right" w:pos="9360"/>
      </w:tabs>
    </w:pPr>
    <w:r>
      <w:rPr>
        <w:color w:val="595959"/>
        <w:sz w:val="16"/>
        <w:szCs w:val="16"/>
      </w:rPr>
      <w:t xml:space="preserve">Enterprise Service Mesh Security Standard</w:t>
    </w:r>
    <w:r>
      <w:rPr>
        <w:color w:val="595959"/>
        <w:sz w:val="16"/>
        <w:szCs w:val="16"/>
      </w:rPr>
      <w:t xml:space="preserve">	SEC-STD-SM-001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C9D9" w:sz="6" w:space="4"/>
      </w:pBdr>
      <w:spacing w:after="16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mwvro72glhmbau539sszt" Type="http://schemas.openxmlformats.org/officeDocument/2006/relationships/hyperlink" Target="https://csrc.nist.gov/pubs/sp/800/204/final" TargetMode="External"/><Relationship Id="rIdv2qphql_rpv5x0hlau3ud" Type="http://schemas.openxmlformats.org/officeDocument/2006/relationships/hyperlink" Target="https://csrc.nist.gov/pubs/sp/800/207/final" TargetMode="External"/><Relationship Id="rIddbiohlrc_zhf2z168oanc" Type="http://schemas.openxmlformats.org/officeDocument/2006/relationships/hyperlink" Target="https://csrc.nist.gov/pubs/sp/800/53/r5/final" TargetMode="External"/><Relationship Id="rIdh3u-s1na6d1y1xxlrc-fy" Type="http://schemas.openxmlformats.org/officeDocument/2006/relationships/hyperlink" Target="https://www.nist.gov/cyberframework" TargetMode="External"/><Relationship Id="rId_p-hcpdifkoadckndhdik" Type="http://schemas.openxmlformats.org/officeDocument/2006/relationships/hyperlink" Target="https://www.cisecurity.org/benchmark/kubernetes" TargetMode="External"/><Relationship Id="rIdpo0b-n1boykxupolbgkou" Type="http://schemas.openxmlformats.org/officeDocument/2006/relationships/hyperlink" Target="https://tag-security.cncf.io/community/resources/security-whitepaper/" TargetMode="External"/><Relationship Id="rIdma0svlrimkkfiz6k4odaq" Type="http://schemas.openxmlformats.org/officeDocument/2006/relationships/hyperlink" Target="https://owasp.org/www-project-kubernetes-top-ten/" TargetMode="External"/><Relationship Id="rIdzqjish2txiuczj8wdfksc" Type="http://schemas.openxmlformats.org/officeDocument/2006/relationships/hyperlink" Target="https://www.pcisecuritystandards.org/document_library/" TargetMode="External"/><Relationship Id="rId3qzoj3juoqnrsys-8zxuq" Type="http://schemas.openxmlformats.org/officeDocument/2006/relationships/hyperlink" Target="https://www.hhs.gov/hipaa/for-professionals/security/index.html" TargetMode="External"/><Relationship Id="rIdiaq_qxatjg9-i7ikzkudb" Type="http://schemas.openxmlformats.org/officeDocument/2006/relationships/hyperlink" Target="https://owasp.org/www-project-top-10-ci-cd-security-risks/" TargetMode="External"/><Relationship Id="rIdk6tgrle33jwkjw5cyjsb2" Type="http://schemas.openxmlformats.org/officeDocument/2006/relationships/hyperlink" Target="https://owasp.org/www-project-devsecops-guideline/" TargetMode="External"/><Relationship Id="rIdsdn6ihjnemdbyvoxdbv_y" Type="http://schemas.openxmlformats.org/officeDocument/2006/relationships/hyperlink" Target="https://dora.dev/" TargetMode="External"/><Relationship Id="rIdl-ulhtqxhzqiokewtuakm" Type="http://schemas.openxmlformats.org/officeDocument/2006/relationships/hyperlink" Target="https://www.wiz.io/academy/application-security/ci-cd-security-best-practices"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2026-06-14T08:19:23.685Z</dcterms:created>
  <dcterms:modified xsi:type="dcterms:W3CDTF">2026-06-14T08:19:23.704Z</dcterms:modified>
</cp:coreProperties>
</file>

<file path=docProps/custom.xml><?xml version="1.0" encoding="utf-8"?>
<Properties xmlns="http://schemas.openxmlformats.org/officeDocument/2006/custom-properties" xmlns:vt="http://schemas.openxmlformats.org/officeDocument/2006/docPropsVTypes"/>
</file>