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DocCraft sample document</w:t>
      </w:r>
    </w:p>
    <w:p>
      <w:pPr>
        <w:pStyle w:val="BodyText"/>
        <w:bidi w:val="0"/>
        <w:jc w:val="left"/>
        <w:rPr/>
      </w:pPr>
      <w:r>
        <w:rPr/>
        <w:t>This paragraph checks that body text survives conversion. DocCraft converts documents locally.</w:t>
      </w:r>
    </w:p>
    <w:tbl>
      <w:tblPr>
        <w:tblW w:w="1465" w:type="dxa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864"/>
        <w:gridCol w:w="601"/>
      </w:tblGrid>
      <w:tr>
        <w:trPr/>
        <w:tc>
          <w:tcPr>
            <w:tcW w:w="86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Item</w:t>
            </w:r>
          </w:p>
        </w:tc>
        <w:tc>
          <w:tcPr>
            <w:tcW w:w="60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Qty</w:t>
            </w:r>
          </w:p>
        </w:tc>
      </w:tr>
      <w:tr>
        <w:trPr/>
        <w:tc>
          <w:tcPr>
            <w:tcW w:w="86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Apples</w:t>
            </w:r>
          </w:p>
        </w:tc>
        <w:tc>
          <w:tcPr>
            <w:tcW w:w="6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</w:tr>
      <w:tr>
        <w:trPr/>
        <w:tc>
          <w:tcPr>
            <w:tcW w:w="86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Pears</w:t>
            </w:r>
          </w:p>
        </w:tc>
        <w:tc>
          <w:tcPr>
            <w:tcW w:w="6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</w:tr>
    </w:tbl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2286000" cy="1143000"/>
            <wp:effectExtent l="0" t="0" r="0" b="0"/>
            <wp:docPr id="1" name="Image1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hart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bidi w:val="0"/>
        <w:ind w:hanging="0" w:left="0" w:right="0"/>
        <w:jc w:val="left"/>
        <w:rPr/>
      </w:pPr>
      <w:r>
        <w:rPr/>
        <w:t>Second page</w:t>
      </w:r>
    </w:p>
    <w:p>
      <w:pPr>
        <w:pStyle w:val="BodyText"/>
        <w:bidi w:val="0"/>
        <w:spacing w:before="0" w:after="140"/>
        <w:jc w:val="left"/>
        <w:rPr/>
      </w:pPr>
      <w:r>
        <w:rPr/>
        <w:t>Text after a manual page break.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DocCraft sample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