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0"/>
        </w:rPr>
        <w:t>NORTHSTAR FINANCIAL</w:t>
      </w:r>
    </w:p>
    <w:p>
      <w:pPr>
        <w:jc w:val="center"/>
      </w:pPr>
      <w:r>
        <w:rPr>
          <w:b/>
          <w:color w:val="17365D"/>
          <w:sz w:val="42"/>
        </w:rPr>
        <w:t>AML &amp; Financial Crime Committee — Terms of Reference</w:t>
      </w:r>
    </w:p>
    <w:p>
      <w:pPr>
        <w:jc w:val="center"/>
      </w:pPr>
      <w:r>
        <w:rPr>
          <w:sz w:val="20"/>
        </w:rPr>
        <w:t>ACT-067  |  Version 1.0  |  Internal — Confidential</w:t>
      </w:r>
    </w:p>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D9EAF7"/>
          </w:tcPr>
          <w:p>
            <w:r/>
            <w:r>
              <w:rPr>
                <w:b/>
                <w:color w:val="17365D"/>
                <w:sz w:val="16"/>
              </w:rPr>
              <w:t>Document ID</w:t>
            </w:r>
          </w:p>
        </w:tc>
        <w:tc>
          <w:tcPr>
            <w:tcW w:type="dxa" w:w="5170"/>
            <w:vAlign w:val="center"/>
          </w:tcPr>
          <w:p>
            <w:r/>
            <w:r>
              <w:rPr>
                <w:b w:val="0"/>
                <w:sz w:val="16"/>
              </w:rPr>
              <w:t>ACT-067</w:t>
            </w:r>
          </w:p>
        </w:tc>
      </w:tr>
      <w:tr>
        <w:tc>
          <w:tcPr>
            <w:tcW w:type="dxa" w:w="5170"/>
            <w:vAlign w:val="center"/>
            <w:shd w:fill="D9EAF7"/>
          </w:tcPr>
          <w:p>
            <w:r/>
            <w:r>
              <w:rPr>
                <w:b/>
                <w:color w:val="17365D"/>
                <w:sz w:val="16"/>
              </w:rPr>
              <w:t>Document Title</w:t>
            </w:r>
          </w:p>
        </w:tc>
        <w:tc>
          <w:tcPr>
            <w:tcW w:type="dxa" w:w="5170"/>
            <w:vAlign w:val="center"/>
          </w:tcPr>
          <w:p>
            <w:r/>
            <w:r>
              <w:rPr>
                <w:b w:val="0"/>
                <w:sz w:val="16"/>
              </w:rPr>
              <w:t>AML &amp; Financial Crime Committee Terms of Reference</w:t>
            </w:r>
          </w:p>
        </w:tc>
      </w:tr>
      <w:tr>
        <w:tc>
          <w:tcPr>
            <w:tcW w:type="dxa" w:w="5170"/>
            <w:vAlign w:val="center"/>
            <w:shd w:fill="D9EAF7"/>
          </w:tcPr>
          <w:p>
            <w:r/>
            <w:r>
              <w:rPr>
                <w:b/>
                <w:color w:val="17365D"/>
                <w:sz w:val="16"/>
              </w:rPr>
              <w:t>Version</w:t>
            </w:r>
          </w:p>
        </w:tc>
        <w:tc>
          <w:tcPr>
            <w:tcW w:type="dxa" w:w="5170"/>
            <w:vAlign w:val="center"/>
          </w:tcPr>
          <w:p>
            <w:r/>
            <w:r>
              <w:rPr>
                <w:b w:val="0"/>
                <w:sz w:val="16"/>
              </w:rPr>
              <w:t>1.0</w:t>
            </w:r>
          </w:p>
        </w:tc>
      </w:tr>
      <w:tr>
        <w:tc>
          <w:tcPr>
            <w:tcW w:type="dxa" w:w="5170"/>
            <w:vAlign w:val="center"/>
            <w:shd w:fill="D9EAF7"/>
          </w:tcPr>
          <w:p>
            <w:r/>
            <w:r>
              <w:rPr>
                <w:b/>
                <w:color w:val="17365D"/>
                <w:sz w:val="16"/>
              </w:rPr>
              <w:t>Policy Owner</w:t>
            </w:r>
          </w:p>
        </w:tc>
        <w:tc>
          <w:tcPr>
            <w:tcW w:type="dxa" w:w="5170"/>
            <w:vAlign w:val="center"/>
          </w:tcPr>
          <w:p>
            <w:r/>
            <w:r>
              <w:rPr>
                <w:b w:val="0"/>
                <w:sz w:val="16"/>
              </w:rPr>
              <w:t>Rohan Batra — Chief AML Officer</w:t>
            </w:r>
          </w:p>
        </w:tc>
      </w:tr>
      <w:tr>
        <w:tc>
          <w:tcPr>
            <w:tcW w:type="dxa" w:w="5170"/>
            <w:vAlign w:val="center"/>
            <w:shd w:fill="D9EAF7"/>
          </w:tcPr>
          <w:p>
            <w:r/>
            <w:r>
              <w:rPr>
                <w:b/>
                <w:color w:val="17365D"/>
                <w:sz w:val="16"/>
              </w:rPr>
              <w:t>Business Unit</w:t>
            </w:r>
          </w:p>
        </w:tc>
        <w:tc>
          <w:tcPr>
            <w:tcW w:type="dxa" w:w="5170"/>
            <w:vAlign w:val="center"/>
          </w:tcPr>
          <w:p>
            <w:r/>
            <w:r>
              <w:rPr>
                <w:b w:val="0"/>
                <w:sz w:val="16"/>
              </w:rPr>
              <w:t>AML Compliance / Financial Crime Compliance</w:t>
            </w:r>
          </w:p>
        </w:tc>
      </w:tr>
      <w:tr>
        <w:tc>
          <w:tcPr>
            <w:tcW w:type="dxa" w:w="5170"/>
            <w:vAlign w:val="center"/>
            <w:shd w:fill="D9EAF7"/>
          </w:tcPr>
          <w:p>
            <w:r/>
            <w:r>
              <w:rPr>
                <w:b/>
                <w:color w:val="17365D"/>
                <w:sz w:val="16"/>
              </w:rPr>
              <w:t>Approving Authority</w:t>
            </w:r>
          </w:p>
        </w:tc>
        <w:tc>
          <w:tcPr>
            <w:tcW w:type="dxa" w:w="5170"/>
            <w:vAlign w:val="center"/>
          </w:tcPr>
          <w:p>
            <w:r/>
            <w:r>
              <w:rPr>
                <w:b w:val="0"/>
                <w:sz w:val="16"/>
              </w:rPr>
              <w:t>Compliance &amp; Conduct Committee</w:t>
            </w:r>
          </w:p>
        </w:tc>
      </w:tr>
      <w:tr>
        <w:tc>
          <w:tcPr>
            <w:tcW w:type="dxa" w:w="5170"/>
            <w:vAlign w:val="center"/>
            <w:shd w:fill="D9EAF7"/>
          </w:tcPr>
          <w:p>
            <w:r/>
            <w:r>
              <w:rPr>
                <w:b/>
                <w:color w:val="17365D"/>
                <w:sz w:val="16"/>
              </w:rPr>
              <w:t>Effective Date</w:t>
            </w:r>
          </w:p>
        </w:tc>
        <w:tc>
          <w:tcPr>
            <w:tcW w:type="dxa" w:w="5170"/>
            <w:vAlign w:val="center"/>
          </w:tcPr>
          <w:p>
            <w:r/>
            <w:r>
              <w:rPr>
                <w:b w:val="0"/>
                <w:sz w:val="16"/>
              </w:rPr>
              <w:t>15 August 2026</w:t>
            </w:r>
          </w:p>
        </w:tc>
      </w:tr>
      <w:tr>
        <w:tc>
          <w:tcPr>
            <w:tcW w:type="dxa" w:w="5170"/>
            <w:vAlign w:val="center"/>
            <w:shd w:fill="D9EAF7"/>
          </w:tcPr>
          <w:p>
            <w:r/>
            <w:r>
              <w:rPr>
                <w:b/>
                <w:color w:val="17365D"/>
                <w:sz w:val="16"/>
              </w:rPr>
              <w:t>Previous Version</w:t>
            </w:r>
          </w:p>
        </w:tc>
        <w:tc>
          <w:tcPr>
            <w:tcW w:type="dxa" w:w="5170"/>
            <w:vAlign w:val="center"/>
          </w:tcPr>
          <w:p>
            <w:r/>
            <w:r>
              <w:rPr>
                <w:b w:val="0"/>
                <w:sz w:val="16"/>
              </w:rPr>
              <w:t>N/A</w:t>
            </w:r>
          </w:p>
        </w:tc>
      </w:tr>
      <w:tr>
        <w:tc>
          <w:tcPr>
            <w:tcW w:type="dxa" w:w="5170"/>
            <w:vAlign w:val="center"/>
            <w:shd w:fill="D9EAF7"/>
          </w:tcPr>
          <w:p>
            <w:r/>
            <w:r>
              <w:rPr>
                <w:b/>
                <w:color w:val="17365D"/>
                <w:sz w:val="16"/>
              </w:rPr>
              <w:t>Review Frequency</w:t>
            </w:r>
          </w:p>
        </w:tc>
        <w:tc>
          <w:tcPr>
            <w:tcW w:type="dxa" w:w="5170"/>
            <w:vAlign w:val="center"/>
          </w:tcPr>
          <w:p>
            <w:r/>
            <w:r>
              <w:rPr>
                <w:b w:val="0"/>
                <w:sz w:val="16"/>
              </w:rPr>
              <w:t>Annual</w:t>
            </w:r>
          </w:p>
        </w:tc>
      </w:tr>
      <w:tr>
        <w:tc>
          <w:tcPr>
            <w:tcW w:type="dxa" w:w="5170"/>
            <w:vAlign w:val="center"/>
            <w:shd w:fill="D9EAF7"/>
          </w:tcPr>
          <w:p>
            <w:r/>
            <w:r>
              <w:rPr>
                <w:b/>
                <w:color w:val="17365D"/>
                <w:sz w:val="16"/>
              </w:rPr>
              <w:t>Classification</w:t>
            </w:r>
          </w:p>
        </w:tc>
        <w:tc>
          <w:tcPr>
            <w:tcW w:type="dxa" w:w="5170"/>
            <w:vAlign w:val="center"/>
          </w:tcPr>
          <w:p>
            <w:r/>
            <w:r>
              <w:rPr>
                <w:b w:val="0"/>
                <w:sz w:val="16"/>
              </w:rPr>
              <w:t>Internal — Confidential</w:t>
            </w:r>
          </w:p>
        </w:tc>
      </w:tr>
      <w:tr>
        <w:tc>
          <w:tcPr>
            <w:tcW w:type="dxa" w:w="5170"/>
            <w:vAlign w:val="center"/>
            <w:shd w:fill="D9EAF7"/>
          </w:tcPr>
          <w:p>
            <w:r/>
            <w:r>
              <w:rPr>
                <w:b/>
                <w:color w:val="17365D"/>
                <w:sz w:val="16"/>
              </w:rPr>
              <w:t>Status</w:t>
            </w:r>
          </w:p>
        </w:tc>
        <w:tc>
          <w:tcPr>
            <w:tcW w:type="dxa" w:w="5170"/>
            <w:vAlign w:val="center"/>
          </w:tcPr>
          <w:p>
            <w:r/>
            <w:r>
              <w:rPr>
                <w:b w:val="0"/>
                <w:sz w:val="16"/>
              </w:rPr>
              <w:t>Approved</w:t>
            </w:r>
          </w:p>
        </w:tc>
      </w:tr>
      <w:tr>
        <w:tc>
          <w:tcPr>
            <w:tcW w:type="dxa" w:w="5170"/>
            <w:vAlign w:val="center"/>
            <w:shd w:fill="D9EAF7"/>
          </w:tcPr>
          <w:p>
            <w:r/>
            <w:r>
              <w:rPr>
                <w:b/>
                <w:color w:val="17365D"/>
                <w:sz w:val="16"/>
              </w:rPr>
              <w:t>Supersedes</w:t>
            </w:r>
          </w:p>
        </w:tc>
        <w:tc>
          <w:tcPr>
            <w:tcW w:type="dxa" w:w="5170"/>
            <w:vAlign w:val="center"/>
          </w:tcPr>
          <w:p>
            <w:r/>
            <w:r>
              <w:rPr>
                <w:b w:val="0"/>
                <w:sz w:val="16"/>
              </w:rPr>
              <w:t>AML Committee Charter dated 1 Sep 2025</w:t>
            </w:r>
          </w:p>
        </w:tc>
      </w:tr>
      <w:tr>
        <w:tc>
          <w:tcPr>
            <w:tcW w:type="dxa" w:w="5170"/>
            <w:vAlign w:val="center"/>
            <w:shd w:fill="D9EAF7"/>
          </w:tcPr>
          <w:p>
            <w:r/>
            <w:r>
              <w:rPr>
                <w:b/>
                <w:color w:val="17365D"/>
                <w:sz w:val="16"/>
              </w:rPr>
              <w:t>Related Documents</w:t>
            </w:r>
          </w:p>
        </w:tc>
        <w:tc>
          <w:tcPr>
            <w:tcW w:type="dxa" w:w="5170"/>
            <w:vAlign w:val="center"/>
          </w:tcPr>
          <w:p>
            <w:r/>
            <w:r>
              <w:rPr>
                <w:b w:val="0"/>
                <w:sz w:val="16"/>
              </w:rPr>
              <w:t>AML-003; KYC-004; CDD-005; EDD-032; CRR-033; ATM-031; FEP-062; CMP-012</w:t>
            </w:r>
          </w:p>
        </w:tc>
      </w:tr>
    </w:tbl>
    <w:p/>
    <w:p>
      <w:pPr>
        <w:jc w:val="center"/>
      </w:pPr>
      <w:r>
        <w:rPr>
          <w:i/>
          <w:sz w:val="16"/>
        </w:rPr>
        <w:t>Northstar Financial — Synthetic Internal Document. This document is fictional and created solely for educational and software-development purposes. It does not represent an actual financial institution, regulatory requirement, legal obligation, or financial advice.</w:t>
      </w:r>
    </w:p>
    <w:p>
      <w:r>
        <w:br w:type="page"/>
      </w:r>
    </w:p>
    <w:p>
      <w:pPr>
        <w:pStyle w:val="Heading1"/>
      </w:pPr>
      <w:r>
        <w:t>Document Control and Version History</w:t>
      </w:r>
    </w:p>
    <w:tbl>
      <w:tblPr>
        <w:tblStyle w:val="TableGrid"/>
        <w:tblW w:type="auto" w:w="0"/>
        <w:jc w:val="center"/>
        <w:tblLook w:firstColumn="1" w:firstRow="1" w:lastColumn="0" w:lastRow="0" w:noHBand="0" w:noVBand="1" w:val="04A0"/>
      </w:tblPr>
      <w:tblGrid>
        <w:gridCol w:w="2585"/>
        <w:gridCol w:w="2585"/>
        <w:gridCol w:w="2585"/>
        <w:gridCol w:w="2585"/>
      </w:tblGrid>
      <w:tr>
        <w:tc>
          <w:tcPr>
            <w:tcW w:type="dxa" w:w="2585"/>
            <w:vAlign w:val="center"/>
            <w:shd w:fill="17365D"/>
          </w:tcPr>
          <w:p>
            <w:r/>
            <w:r>
              <w:rPr>
                <w:b/>
                <w:color w:val="FFFFFF"/>
                <w:sz w:val="15"/>
              </w:rPr>
              <w:t>Version</w:t>
            </w:r>
          </w:p>
        </w:tc>
        <w:tc>
          <w:tcPr>
            <w:tcW w:type="dxa" w:w="2585"/>
            <w:vAlign w:val="center"/>
            <w:shd w:fill="17365D"/>
          </w:tcPr>
          <w:p>
            <w:r/>
            <w:r>
              <w:rPr>
                <w:b/>
                <w:color w:val="FFFFFF"/>
                <w:sz w:val="15"/>
              </w:rPr>
              <w:t>Effective Date</w:t>
            </w:r>
          </w:p>
        </w:tc>
        <w:tc>
          <w:tcPr>
            <w:tcW w:type="dxa" w:w="2585"/>
            <w:vAlign w:val="center"/>
            <w:shd w:fill="17365D"/>
          </w:tcPr>
          <w:p>
            <w:r/>
            <w:r>
              <w:rPr>
                <w:b/>
                <w:color w:val="FFFFFF"/>
                <w:sz w:val="15"/>
              </w:rPr>
              <w:t>Change Summary</w:t>
            </w:r>
          </w:p>
        </w:tc>
        <w:tc>
          <w:tcPr>
            <w:tcW w:type="dxa" w:w="2585"/>
            <w:vAlign w:val="center"/>
            <w:shd w:fill="17365D"/>
          </w:tcPr>
          <w:p>
            <w:r/>
            <w:r>
              <w:rPr>
                <w:b/>
                <w:color w:val="FFFFFF"/>
                <w:sz w:val="15"/>
              </w:rPr>
              <w:t>Approving Authority</w:t>
            </w:r>
          </w:p>
        </w:tc>
      </w:tr>
      <w:tr>
        <w:tc>
          <w:tcPr>
            <w:tcW w:type="dxa" w:w="2585"/>
            <w:vAlign w:val="center"/>
          </w:tcPr>
          <w:p>
            <w:r/>
            <w:r>
              <w:rPr>
                <w:b w:val="0"/>
                <w:sz w:val="14"/>
              </w:rPr>
              <w:t>0.9</w:t>
            </w:r>
          </w:p>
        </w:tc>
        <w:tc>
          <w:tcPr>
            <w:tcW w:type="dxa" w:w="2585"/>
            <w:vAlign w:val="center"/>
          </w:tcPr>
          <w:p>
            <w:r/>
            <w:r>
              <w:rPr>
                <w:b w:val="0"/>
                <w:sz w:val="14"/>
              </w:rPr>
              <w:t>1 Jul 2026</w:t>
            </w:r>
          </w:p>
        </w:tc>
        <w:tc>
          <w:tcPr>
            <w:tcW w:type="dxa" w:w="2585"/>
            <w:vAlign w:val="center"/>
          </w:tcPr>
          <w:p>
            <w:r/>
            <w:r>
              <w:rPr>
                <w:b w:val="0"/>
                <w:sz w:val="14"/>
              </w:rPr>
              <w:t>Draft expanded former AML Committee to integrated financial-crime oversight.</w:t>
            </w:r>
          </w:p>
        </w:tc>
        <w:tc>
          <w:tcPr>
            <w:tcW w:type="dxa" w:w="2585"/>
            <w:vAlign w:val="center"/>
          </w:tcPr>
          <w:p>
            <w:r/>
            <w:r>
              <w:rPr>
                <w:b w:val="0"/>
                <w:sz w:val="14"/>
              </w:rPr>
              <w:t>Chief Compliance Officer</w:t>
            </w:r>
          </w:p>
        </w:tc>
      </w:tr>
      <w:tr>
        <w:tc>
          <w:tcPr>
            <w:tcW w:type="dxa" w:w="2585"/>
            <w:vAlign w:val="center"/>
          </w:tcPr>
          <w:p>
            <w:r/>
            <w:r>
              <w:rPr>
                <w:b w:val="0"/>
                <w:sz w:val="14"/>
              </w:rPr>
              <w:t>1.0</w:t>
            </w:r>
          </w:p>
        </w:tc>
        <w:tc>
          <w:tcPr>
            <w:tcW w:type="dxa" w:w="2585"/>
            <w:vAlign w:val="center"/>
          </w:tcPr>
          <w:p>
            <w:r/>
            <w:r>
              <w:rPr>
                <w:b w:val="0"/>
                <w:sz w:val="14"/>
              </w:rPr>
              <w:t>15 Aug 2026</w:t>
            </w:r>
          </w:p>
        </w:tc>
        <w:tc>
          <w:tcPr>
            <w:tcW w:type="dxa" w:w="2585"/>
            <w:vAlign w:val="center"/>
          </w:tcPr>
          <w:p>
            <w:r/>
            <w:r>
              <w:rPr>
                <w:b w:val="0"/>
                <w:sz w:val="14"/>
              </w:rPr>
              <w:t>First controlled Terms aligned to Batch 2–3 financial-crime framework.</w:t>
            </w:r>
          </w:p>
        </w:tc>
        <w:tc>
          <w:tcPr>
            <w:tcW w:type="dxa" w:w="2585"/>
            <w:vAlign w:val="center"/>
          </w:tcPr>
          <w:p>
            <w:r/>
            <w:r>
              <w:rPr>
                <w:b w:val="0"/>
                <w:sz w:val="14"/>
              </w:rPr>
              <w:t>Compliance &amp; Conduct Committee</w:t>
            </w:r>
          </w:p>
        </w:tc>
      </w:tr>
    </w:tbl>
    <w:p/>
    <w:p>
      <w:r>
        <w:t>Controlled copy status. The version recorded in Northstar Financial's controlled document library is authoritative. Printed or locally saved copies may be outdated and shall not be relied upon for current decisions without confirming version and effective date.</w:t>
      </w:r>
    </w:p>
    <w:p>
      <w:r>
        <w:t>Hierarchy. Board-approved policies and risk appetite statements prevail over frameworks, standards, procedures, departmental manuals, schedules and forms. A lower-level document may impose a stricter control within its scope. Where a conflict cannot be resolved from scope, effective date or hierarchy, the matter shall be escalated to the document owner before action is taken.</w:t>
      </w:r>
    </w:p>
    <w:p>
      <w:pPr>
        <w:pStyle w:val="Heading1"/>
      </w:pPr>
      <w:r>
        <w:t>1. Purpose</w:t>
      </w:r>
    </w:p>
    <w:p>
      <w:r>
        <w:t>These Terms define the management committee overseeing AML, KYC/CDD, customer-risk methodology, transaction monitoring, financial-crime themes and material control issues.</w:t>
      </w:r>
    </w:p>
    <w:p>
      <w:pPr>
        <w:pStyle w:val="Heading1"/>
      </w:pPr>
      <w:r>
        <w:t>2. Authority</w:t>
      </w:r>
    </w:p>
    <w:p>
      <w:r>
        <w:t>The AML &amp; Financial Crime Committee operates under delegated authority approved by Northstar governance. It may make decisions only within these Terms and other controlled documents; it cannot override Board-reserved matters or specialist restrictions outside its mandate.</w:t>
      </w:r>
    </w:p>
    <w:p>
      <w:pPr>
        <w:pStyle w:val="Heading1"/>
      </w:pPr>
      <w:r>
        <w:t>3. Scope</w:t>
      </w:r>
    </w:p>
    <w:p>
      <w:r>
        <w:t>The Committee oversees matters expressly assigned to it and challenges management decisions within its remit. It is not a substitute for first-line ownership or specialist approval authority.</w:t>
      </w:r>
    </w:p>
    <w:p>
      <w:pPr>
        <w:pStyle w:val="Heading1"/>
      </w:pPr>
      <w:r>
        <w:t>4. Membership</w:t>
      </w:r>
    </w:p>
    <w:p>
      <w:r>
        <w:t>Standing membership is role-based so authority remains with the office rather than a named individual.</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Role</w:t>
            </w:r>
          </w:p>
        </w:tc>
        <w:tc>
          <w:tcPr>
            <w:tcW w:type="dxa" w:w="5170"/>
            <w:vAlign w:val="center"/>
            <w:shd w:fill="17365D"/>
          </w:tcPr>
          <w:p>
            <w:r/>
            <w:r>
              <w:rPr>
                <w:b/>
                <w:color w:val="FFFFFF"/>
                <w:sz w:val="15"/>
              </w:rPr>
              <w:t>Status</w:t>
            </w:r>
          </w:p>
        </w:tc>
      </w:tr>
      <w:tr>
        <w:tc>
          <w:tcPr>
            <w:tcW w:type="dxa" w:w="5170"/>
            <w:vAlign w:val="center"/>
          </w:tcPr>
          <w:p>
            <w:r/>
            <w:r>
              <w:rPr>
                <w:b w:val="0"/>
                <w:sz w:val="14"/>
              </w:rPr>
              <w:t>Chief AML Officer</w:t>
            </w:r>
          </w:p>
        </w:tc>
        <w:tc>
          <w:tcPr>
            <w:tcW w:type="dxa" w:w="5170"/>
            <w:vAlign w:val="center"/>
          </w:tcPr>
          <w:p>
            <w:r/>
            <w:r>
              <w:rPr>
                <w:b w:val="0"/>
                <w:sz w:val="14"/>
              </w:rPr>
              <w:t>Chair</w:t>
            </w:r>
          </w:p>
        </w:tc>
      </w:tr>
      <w:tr>
        <w:tc>
          <w:tcPr>
            <w:tcW w:type="dxa" w:w="5170"/>
            <w:vAlign w:val="center"/>
          </w:tcPr>
          <w:p>
            <w:r/>
            <w:r>
              <w:rPr>
                <w:b w:val="0"/>
                <w:sz w:val="14"/>
              </w:rPr>
              <w:t>Chief Compliance Officer</w:t>
            </w:r>
          </w:p>
        </w:tc>
        <w:tc>
          <w:tcPr>
            <w:tcW w:type="dxa" w:w="5170"/>
            <w:vAlign w:val="center"/>
          </w:tcPr>
          <w:p>
            <w:r/>
            <w:r>
              <w:rPr>
                <w:b w:val="0"/>
                <w:sz w:val="14"/>
              </w:rPr>
              <w:t>Voting member</w:t>
            </w:r>
          </w:p>
        </w:tc>
      </w:tr>
      <w:tr>
        <w:tc>
          <w:tcPr>
            <w:tcW w:type="dxa" w:w="5170"/>
            <w:vAlign w:val="center"/>
          </w:tcPr>
          <w:p>
            <w:r/>
            <w:r>
              <w:rPr>
                <w:b w:val="0"/>
                <w:sz w:val="14"/>
              </w:rPr>
              <w:t>Head of KYC Operations</w:t>
            </w:r>
          </w:p>
        </w:tc>
        <w:tc>
          <w:tcPr>
            <w:tcW w:type="dxa" w:w="5170"/>
            <w:vAlign w:val="center"/>
          </w:tcPr>
          <w:p>
            <w:r/>
            <w:r>
              <w:rPr>
                <w:b w:val="0"/>
                <w:sz w:val="14"/>
              </w:rPr>
              <w:t>Voting member</w:t>
            </w:r>
          </w:p>
        </w:tc>
      </w:tr>
      <w:tr>
        <w:tc>
          <w:tcPr>
            <w:tcW w:type="dxa" w:w="5170"/>
            <w:vAlign w:val="center"/>
          </w:tcPr>
          <w:p>
            <w:r/>
            <w:r>
              <w:rPr>
                <w:b w:val="0"/>
                <w:sz w:val="14"/>
              </w:rPr>
              <w:t>Head of AML Monitoring</w:t>
            </w:r>
          </w:p>
        </w:tc>
        <w:tc>
          <w:tcPr>
            <w:tcW w:type="dxa" w:w="5170"/>
            <w:vAlign w:val="center"/>
          </w:tcPr>
          <w:p>
            <w:r/>
            <w:r>
              <w:rPr>
                <w:b w:val="0"/>
                <w:sz w:val="14"/>
              </w:rPr>
              <w:t>Voting member</w:t>
            </w:r>
          </w:p>
        </w:tc>
      </w:tr>
      <w:tr>
        <w:tc>
          <w:tcPr>
            <w:tcW w:type="dxa" w:w="5170"/>
            <w:vAlign w:val="center"/>
          </w:tcPr>
          <w:p>
            <w:r/>
            <w:r>
              <w:rPr>
                <w:b w:val="0"/>
                <w:sz w:val="14"/>
              </w:rPr>
              <w:t>Head of Financial Crime Compliance</w:t>
            </w:r>
          </w:p>
        </w:tc>
        <w:tc>
          <w:tcPr>
            <w:tcW w:type="dxa" w:w="5170"/>
            <w:vAlign w:val="center"/>
          </w:tcPr>
          <w:p>
            <w:r/>
            <w:r>
              <w:rPr>
                <w:b w:val="0"/>
                <w:sz w:val="14"/>
              </w:rPr>
              <w:t>Voting member</w:t>
            </w:r>
          </w:p>
        </w:tc>
      </w:tr>
      <w:tr>
        <w:tc>
          <w:tcPr>
            <w:tcW w:type="dxa" w:w="5170"/>
            <w:vAlign w:val="center"/>
          </w:tcPr>
          <w:p>
            <w:r/>
            <w:r>
              <w:rPr>
                <w:b w:val="0"/>
                <w:sz w:val="14"/>
              </w:rPr>
              <w:t>Head of Fraud Risk</w:t>
            </w:r>
          </w:p>
        </w:tc>
        <w:tc>
          <w:tcPr>
            <w:tcW w:type="dxa" w:w="5170"/>
            <w:vAlign w:val="center"/>
          </w:tcPr>
          <w:p>
            <w:r/>
            <w:r>
              <w:rPr>
                <w:b w:val="0"/>
                <w:sz w:val="14"/>
              </w:rPr>
              <w:t>Voting/adviser depending agenda</w:t>
            </w:r>
          </w:p>
        </w:tc>
      </w:tr>
      <w:tr>
        <w:tc>
          <w:tcPr>
            <w:tcW w:type="dxa" w:w="5170"/>
            <w:vAlign w:val="center"/>
          </w:tcPr>
          <w:p>
            <w:r/>
            <w:r>
              <w:rPr>
                <w:b w:val="0"/>
                <w:sz w:val="14"/>
              </w:rPr>
              <w:t>Operations representative</w:t>
            </w:r>
          </w:p>
        </w:tc>
        <w:tc>
          <w:tcPr>
            <w:tcW w:type="dxa" w:w="5170"/>
            <w:vAlign w:val="center"/>
          </w:tcPr>
          <w:p>
            <w:r/>
            <w:r>
              <w:rPr>
                <w:b w:val="0"/>
                <w:sz w:val="14"/>
              </w:rPr>
              <w:t>Voting member for operational topics</w:t>
            </w:r>
          </w:p>
        </w:tc>
      </w:tr>
      <w:tr>
        <w:tc>
          <w:tcPr>
            <w:tcW w:type="dxa" w:w="5170"/>
            <w:vAlign w:val="center"/>
          </w:tcPr>
          <w:p>
            <w:r/>
            <w:r>
              <w:rPr>
                <w:b w:val="0"/>
                <w:sz w:val="14"/>
              </w:rPr>
              <w:t>Financial Crime Governance Manager</w:t>
            </w:r>
          </w:p>
        </w:tc>
        <w:tc>
          <w:tcPr>
            <w:tcW w:type="dxa" w:w="5170"/>
            <w:vAlign w:val="center"/>
          </w:tcPr>
          <w:p>
            <w:r/>
            <w:r>
              <w:rPr>
                <w:b w:val="0"/>
                <w:sz w:val="14"/>
              </w:rPr>
              <w:t>Secretary</w:t>
            </w:r>
          </w:p>
        </w:tc>
      </w:tr>
    </w:tbl>
    <w:p/>
    <w:p>
      <w:pPr>
        <w:pStyle w:val="Heading1"/>
      </w:pPr>
      <w:r>
        <w:t>5. Chair and Secretary</w:t>
      </w:r>
    </w:p>
    <w:p>
      <w:r>
        <w:t>The Chair directs meetings, confirms decisions and manages conflicts. The Secretary maintains agenda, papers, attendance, minutes, actions and decision records.</w:t>
      </w:r>
    </w:p>
    <w:p>
      <w:pPr>
        <w:pStyle w:val="Heading1"/>
      </w:pPr>
      <w:r>
        <w:t>6. Quorum</w:t>
      </w:r>
    </w:p>
    <w:p>
      <w:r>
        <w:t>Quorum requires the Chief AML Officer or approved delegate plus three members, including Compliance/Financial Crime and one operational/business representative. High-risk PEP acceptance decisions still require the specific approval defined in AML-003 and are not inferred merely from quorum.</w:t>
      </w:r>
    </w:p>
    <w:p>
      <w:pPr>
        <w:pStyle w:val="Heading1"/>
      </w:pPr>
      <w:r>
        <w:t>7. Meeting Frequency</w:t>
      </w:r>
    </w:p>
    <w:p>
      <w:r>
        <w:t>The Committee meets on its regular cycle and may convene extraordinary meetings when risk, transaction or incident urgency requires.</w:t>
      </w:r>
    </w:p>
    <w:p>
      <w:pPr>
        <w:pStyle w:val="Heading1"/>
      </w:pPr>
      <w:r>
        <w:t>8. Agenda and Papers</w:t>
      </w:r>
    </w:p>
    <w:p>
      <w:r>
        <w:t>Papers should state the decision requested, evidence, risks, limits, exceptions, conflicts, customer impact and recommendation. Material late papers require Chair acceptance.</w:t>
      </w:r>
    </w:p>
    <w:p>
      <w:pPr>
        <w:pStyle w:val="Heading1"/>
      </w:pPr>
      <w:r>
        <w:t>9. Decision-Making</w:t>
      </w:r>
    </w:p>
    <w:p>
      <w:r>
        <w:t>Decisions are by consensus where practicable. Dissent, conditions and recusals shall be recorded. Silence is not approval and attendance alone does not constitute concurrence.</w:t>
      </w:r>
    </w:p>
    <w:p>
      <w:pPr>
        <w:pStyle w:val="Heading1"/>
      </w:pPr>
      <w:r>
        <w:t>10. Conflicts of Interest</w:t>
      </w:r>
    </w:p>
    <w:p>
      <w:r>
        <w:t>Members shall disclose actual or perceived conflicts and may be required to abstain or leave discussion. The minute shall record treatment.</w:t>
      </w:r>
    </w:p>
    <w:p>
      <w:pPr>
        <w:pStyle w:val="Heading1"/>
      </w:pPr>
      <w:r>
        <w:t>11. Reserved Matters</w:t>
      </w:r>
    </w:p>
    <w:p>
      <w:r>
        <w:t>The Committee shall consider or approve the following matters within its mandate.</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Matter</w:t>
            </w:r>
          </w:p>
        </w:tc>
        <w:tc>
          <w:tcPr>
            <w:tcW w:type="dxa" w:w="5170"/>
            <w:vAlign w:val="center"/>
            <w:shd w:fill="17365D"/>
          </w:tcPr>
          <w:p>
            <w:r/>
            <w:r>
              <w:rPr>
                <w:b/>
                <w:color w:val="FFFFFF"/>
                <w:sz w:val="15"/>
              </w:rPr>
              <w:t>Treatment</w:t>
            </w:r>
          </w:p>
        </w:tc>
      </w:tr>
      <w:tr>
        <w:tc>
          <w:tcPr>
            <w:tcW w:type="dxa" w:w="5170"/>
            <w:vAlign w:val="center"/>
          </w:tcPr>
          <w:p>
            <w:r/>
            <w:r>
              <w:rPr>
                <w:b w:val="0"/>
                <w:sz w:val="14"/>
              </w:rPr>
              <w:t>AML/KYC risk</w:t>
            </w:r>
          </w:p>
        </w:tc>
        <w:tc>
          <w:tcPr>
            <w:tcW w:type="dxa" w:w="5170"/>
            <w:vAlign w:val="center"/>
          </w:tcPr>
          <w:p>
            <w:r/>
            <w:r>
              <w:rPr>
                <w:b w:val="0"/>
                <w:sz w:val="14"/>
              </w:rPr>
              <w:t>Review material customer-risk, screening and monitoring metrics.</w:t>
            </w:r>
          </w:p>
        </w:tc>
      </w:tr>
      <w:tr>
        <w:tc>
          <w:tcPr>
            <w:tcW w:type="dxa" w:w="5170"/>
            <w:vAlign w:val="center"/>
          </w:tcPr>
          <w:p>
            <w:r/>
            <w:r>
              <w:rPr>
                <w:b w:val="0"/>
                <w:sz w:val="14"/>
              </w:rPr>
              <w:t>High-risk methodology</w:t>
            </w:r>
          </w:p>
        </w:tc>
        <w:tc>
          <w:tcPr>
            <w:tcW w:type="dxa" w:w="5170"/>
            <w:vAlign w:val="center"/>
          </w:tcPr>
          <w:p>
            <w:r/>
            <w:r>
              <w:rPr>
                <w:b w:val="0"/>
                <w:sz w:val="14"/>
              </w:rPr>
              <w:t>Approve parameters within authority; escalate material methodology changes.</w:t>
            </w:r>
          </w:p>
        </w:tc>
      </w:tr>
      <w:tr>
        <w:tc>
          <w:tcPr>
            <w:tcW w:type="dxa" w:w="5170"/>
            <w:vAlign w:val="center"/>
          </w:tcPr>
          <w:p>
            <w:r/>
            <w:r>
              <w:rPr>
                <w:b w:val="0"/>
                <w:sz w:val="14"/>
              </w:rPr>
              <w:t>EDD themes</w:t>
            </w:r>
          </w:p>
        </w:tc>
        <w:tc>
          <w:tcPr>
            <w:tcW w:type="dxa" w:w="5170"/>
            <w:vAlign w:val="center"/>
          </w:tcPr>
          <w:p>
            <w:r/>
            <w:r>
              <w:rPr>
                <w:b w:val="0"/>
                <w:sz w:val="14"/>
              </w:rPr>
              <w:t>Review ageing, complex ownership, source-of-funds/wealth issues.</w:t>
            </w:r>
          </w:p>
        </w:tc>
      </w:tr>
      <w:tr>
        <w:tc>
          <w:tcPr>
            <w:tcW w:type="dxa" w:w="5170"/>
            <w:vAlign w:val="center"/>
          </w:tcPr>
          <w:p>
            <w:r/>
            <w:r>
              <w:rPr>
                <w:b w:val="0"/>
                <w:sz w:val="14"/>
              </w:rPr>
              <w:t>Transaction monitoring</w:t>
            </w:r>
          </w:p>
        </w:tc>
        <w:tc>
          <w:tcPr>
            <w:tcW w:type="dxa" w:w="5170"/>
            <w:vAlign w:val="center"/>
          </w:tcPr>
          <w:p>
            <w:r/>
            <w:r>
              <w:rPr>
                <w:b w:val="0"/>
                <w:sz w:val="14"/>
              </w:rPr>
              <w:t>Review scenario effectiveness, backlogs and material tuning changes.</w:t>
            </w:r>
          </w:p>
        </w:tc>
      </w:tr>
      <w:tr>
        <w:tc>
          <w:tcPr>
            <w:tcW w:type="dxa" w:w="5170"/>
            <w:vAlign w:val="center"/>
          </w:tcPr>
          <w:p>
            <w:r/>
            <w:r>
              <w:rPr>
                <w:b w:val="0"/>
                <w:sz w:val="14"/>
              </w:rPr>
              <w:t>Financial crime incidents</w:t>
            </w:r>
          </w:p>
        </w:tc>
        <w:tc>
          <w:tcPr>
            <w:tcW w:type="dxa" w:w="5170"/>
            <w:vAlign w:val="center"/>
          </w:tcPr>
          <w:p>
            <w:r/>
            <w:r>
              <w:rPr>
                <w:b w:val="0"/>
                <w:sz w:val="14"/>
              </w:rPr>
              <w:t>Review significant fraud/AML/KYC themes and control gaps.</w:t>
            </w:r>
          </w:p>
        </w:tc>
      </w:tr>
      <w:tr>
        <w:tc>
          <w:tcPr>
            <w:tcW w:type="dxa" w:w="5170"/>
            <w:vAlign w:val="center"/>
          </w:tcPr>
          <w:p>
            <w:r/>
            <w:r>
              <w:rPr>
                <w:b w:val="0"/>
                <w:sz w:val="14"/>
              </w:rPr>
              <w:t>PEP/sanctions governance</w:t>
            </w:r>
          </w:p>
        </w:tc>
        <w:tc>
          <w:tcPr>
            <w:tcW w:type="dxa" w:w="5170"/>
            <w:vAlign w:val="center"/>
          </w:tcPr>
          <w:p>
            <w:r/>
            <w:r>
              <w:rPr>
                <w:b w:val="0"/>
                <w:sz w:val="14"/>
              </w:rPr>
              <w:t>Oversee process; individual decision authority remains as defined in specialist documents.</w:t>
            </w:r>
          </w:p>
        </w:tc>
      </w:tr>
    </w:tbl>
    <w:p/>
    <w:p>
      <w:pPr>
        <w:pStyle w:val="Heading1"/>
      </w:pPr>
      <w:r>
        <w:t>12. Delegated Authority Boundary</w:t>
      </w:r>
    </w:p>
    <w:p>
      <w:r>
        <w:t>Committee approval does not create system access, operational execution authority or specialist release where another control is required.</w:t>
      </w:r>
    </w:p>
    <w:p>
      <w:r>
        <w:t>For example, a credit committee decision does not release a KYC/AML hold; a risk committee decision does not create investment dealing authority; AML committee governance does not waive credit policy.</w:t>
      </w:r>
    </w:p>
    <w:p>
      <w:pPr>
        <w:pStyle w:val="Heading1"/>
      </w:pPr>
      <w:r>
        <w:t>13. Exceptions and Breaches</w:t>
      </w:r>
    </w:p>
    <w:p>
      <w:r>
        <w:t>Prospective exceptions may be considered only where the underlying document assigns authority to the Committee. Retrospective endorsement may support remediation but does not erase a control breach.</w:t>
      </w:r>
    </w:p>
    <w:p>
      <w:pPr>
        <w:pStyle w:val="Heading1"/>
      </w:pPr>
      <w:r>
        <w:t>14. Minutes</w:t>
      </w:r>
    </w:p>
    <w:p>
      <w:r>
        <w:t>Minutes shall record attendees, conflicts, key challenge, decision, conditions, dissent, actions and due dates. Sensitive material may be placed in restricted annexes.</w:t>
      </w:r>
    </w:p>
    <w:p>
      <w:pPr>
        <w:pStyle w:val="Heading1"/>
      </w:pPr>
      <w:r>
        <w:t>15. Actions</w:t>
      </w:r>
    </w:p>
    <w:p>
      <w:r>
        <w:t>Actions require owner, due date and status. Overdue material actions shall be escalated to the Chair and tracked until closure or formally re-approved.</w:t>
      </w:r>
    </w:p>
    <w:p>
      <w:pPr>
        <w:pStyle w:val="Heading1"/>
      </w:pPr>
      <w:r>
        <w:t>16. Reporting</w:t>
      </w:r>
    </w:p>
    <w:p>
      <w:r>
        <w:t>Reports significant AML/KYC control issues, material backlogs, methodology changes and matters requiring higher governance to Compliance &amp; Conduct Committee and Board Risk Committee as applicable.</w:t>
      </w:r>
    </w:p>
    <w:p>
      <w:pPr>
        <w:pStyle w:val="Heading1"/>
      </w:pPr>
      <w:r>
        <w:t>17. Escalation</w:t>
      </w:r>
    </w:p>
    <w:p>
      <w:r>
        <w:t>Matters outside delegated authority, appetite, or acceptable residual risk shall be escalated to the Board/Board committee or other authority specified in controlled documents.</w:t>
      </w:r>
    </w:p>
    <w:p>
      <w:pPr>
        <w:pStyle w:val="Heading1"/>
      </w:pPr>
      <w:r>
        <w:t>18. Annual Effectiveness Review</w:t>
      </w:r>
    </w:p>
    <w:p>
      <w:r>
        <w:t>The Committee shall review attendance, agenda coverage, decision quality, overdue actions, challenge effectiveness and continued suitability of mandate at least annually.</w:t>
      </w:r>
    </w:p>
    <w:p>
      <w:pPr>
        <w:pStyle w:val="Heading1"/>
      </w:pPr>
      <w:r>
        <w:t>19. Records</w:t>
      </w:r>
    </w:p>
    <w:p>
      <w:r>
        <w:t>The Secretary retains controlled meeting papers, minutes, decision logs, conflicts and actions in accordance with internal retention requirements.</w:t>
      </w:r>
    </w:p>
    <w:p>
      <w:pPr>
        <w:pStyle w:val="Heading1"/>
      </w:pPr>
      <w:r>
        <w:t>20. Historical and Transitional Provisions</w:t>
      </w:r>
    </w:p>
    <w:p>
      <w:r>
        <w:t>These Terms preserve decisions made under predecessor governance while applying current authority to new decisions.</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Situation</w:t>
            </w:r>
          </w:p>
        </w:tc>
        <w:tc>
          <w:tcPr>
            <w:tcW w:type="dxa" w:w="5170"/>
            <w:vAlign w:val="center"/>
            <w:shd w:fill="17365D"/>
          </w:tcPr>
          <w:p>
            <w:r/>
            <w:r>
              <w:rPr>
                <w:b/>
                <w:color w:val="FFFFFF"/>
                <w:sz w:val="15"/>
              </w:rPr>
              <w:t>Treatment</w:t>
            </w:r>
          </w:p>
        </w:tc>
      </w:tr>
      <w:tr>
        <w:tc>
          <w:tcPr>
            <w:tcW w:type="dxa" w:w="5170"/>
            <w:vAlign w:val="center"/>
          </w:tcPr>
          <w:p>
            <w:r/>
            <w:r>
              <w:rPr>
                <w:b w:val="0"/>
                <w:sz w:val="14"/>
              </w:rPr>
              <w:t>Historical decision under prior charter</w:t>
            </w:r>
          </w:p>
        </w:tc>
        <w:tc>
          <w:tcPr>
            <w:tcW w:type="dxa" w:w="5170"/>
            <w:vAlign w:val="center"/>
          </w:tcPr>
          <w:p>
            <w:r/>
            <w:r>
              <w:rPr>
                <w:b w:val="0"/>
                <w:sz w:val="14"/>
              </w:rPr>
              <w:t>Retain prior charter/version and decision record.</w:t>
            </w:r>
          </w:p>
        </w:tc>
      </w:tr>
      <w:tr>
        <w:tc>
          <w:tcPr>
            <w:tcW w:type="dxa" w:w="5170"/>
            <w:vAlign w:val="center"/>
          </w:tcPr>
          <w:p>
            <w:r/>
            <w:r>
              <w:rPr>
                <w:b w:val="0"/>
                <w:sz w:val="14"/>
              </w:rPr>
              <w:t>Open action from prior committee name</w:t>
            </w:r>
          </w:p>
        </w:tc>
        <w:tc>
          <w:tcPr>
            <w:tcW w:type="dxa" w:w="5170"/>
            <w:vAlign w:val="center"/>
          </w:tcPr>
          <w:p>
            <w:r/>
            <w:r>
              <w:rPr>
                <w:b w:val="0"/>
                <w:sz w:val="14"/>
              </w:rPr>
              <w:t>Carry forward with original reference and current owner.</w:t>
            </w:r>
          </w:p>
        </w:tc>
      </w:tr>
      <w:tr>
        <w:tc>
          <w:tcPr>
            <w:tcW w:type="dxa" w:w="5170"/>
            <w:vAlign w:val="center"/>
          </w:tcPr>
          <w:p>
            <w:r/>
            <w:r>
              <w:rPr>
                <w:b w:val="0"/>
                <w:sz w:val="14"/>
              </w:rPr>
              <w:t>Authority reduced</w:t>
            </w:r>
          </w:p>
        </w:tc>
        <w:tc>
          <w:tcPr>
            <w:tcW w:type="dxa" w:w="5170"/>
            <w:vAlign w:val="center"/>
          </w:tcPr>
          <w:p>
            <w:r/>
            <w:r>
              <w:rPr>
                <w:b w:val="0"/>
                <w:sz w:val="14"/>
              </w:rPr>
              <w:t>Unexecuted decision above current authority requires re-approval.</w:t>
            </w:r>
          </w:p>
        </w:tc>
      </w:tr>
      <w:tr>
        <w:tc>
          <w:tcPr>
            <w:tcW w:type="dxa" w:w="5170"/>
            <w:vAlign w:val="center"/>
          </w:tcPr>
          <w:p>
            <w:r/>
            <w:r>
              <w:rPr>
                <w:b w:val="0"/>
                <w:sz w:val="14"/>
              </w:rPr>
              <w:t>Committee renamed/restructured</w:t>
            </w:r>
          </w:p>
        </w:tc>
        <w:tc>
          <w:tcPr>
            <w:tcW w:type="dxa" w:w="5170"/>
            <w:vAlign w:val="center"/>
          </w:tcPr>
          <w:p>
            <w:r/>
            <w:r>
              <w:rPr>
                <w:b w:val="0"/>
                <w:sz w:val="14"/>
              </w:rPr>
              <w:t>Do not rewrite historical minutes.</w:t>
            </w:r>
          </w:p>
        </w:tc>
      </w:tr>
    </w:tbl>
    <w:p/>
    <w:p>
      <w:r>
        <w:br w:type="page"/>
      </w:r>
    </w:p>
    <w:p>
      <w:pPr>
        <w:pStyle w:val="Heading1"/>
      </w:pPr>
      <w:r>
        <w:t>Appendix A — Standard Decision Paper</w:t>
      </w:r>
    </w:p>
    <w:p>
      <w:r>
        <w:t>Decision papers should permit an informed, auditable decision.</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Section</w:t>
            </w:r>
          </w:p>
        </w:tc>
        <w:tc>
          <w:tcPr>
            <w:tcW w:type="dxa" w:w="5170"/>
            <w:vAlign w:val="center"/>
            <w:shd w:fill="17365D"/>
          </w:tcPr>
          <w:p>
            <w:r/>
            <w:r>
              <w:rPr>
                <w:b/>
                <w:color w:val="FFFFFF"/>
                <w:sz w:val="15"/>
              </w:rPr>
              <w:t>Minimum Content</w:t>
            </w:r>
          </w:p>
        </w:tc>
      </w:tr>
      <w:tr>
        <w:tc>
          <w:tcPr>
            <w:tcW w:type="dxa" w:w="5170"/>
            <w:vAlign w:val="center"/>
          </w:tcPr>
          <w:p>
            <w:r/>
            <w:r>
              <w:rPr>
                <w:b w:val="0"/>
                <w:sz w:val="14"/>
              </w:rPr>
              <w:t>Decision requested</w:t>
            </w:r>
          </w:p>
        </w:tc>
        <w:tc>
          <w:tcPr>
            <w:tcW w:type="dxa" w:w="5170"/>
            <w:vAlign w:val="center"/>
          </w:tcPr>
          <w:p>
            <w:r/>
            <w:r>
              <w:rPr>
                <w:b w:val="0"/>
                <w:sz w:val="14"/>
              </w:rPr>
              <w:t>Approve / note / challenge / endorse / escalate.</w:t>
            </w:r>
          </w:p>
        </w:tc>
      </w:tr>
      <w:tr>
        <w:tc>
          <w:tcPr>
            <w:tcW w:type="dxa" w:w="5170"/>
            <w:vAlign w:val="center"/>
          </w:tcPr>
          <w:p>
            <w:r/>
            <w:r>
              <w:rPr>
                <w:b w:val="0"/>
                <w:sz w:val="14"/>
              </w:rPr>
              <w:t>Background</w:t>
            </w:r>
          </w:p>
        </w:tc>
        <w:tc>
          <w:tcPr>
            <w:tcW w:type="dxa" w:w="5170"/>
            <w:vAlign w:val="center"/>
          </w:tcPr>
          <w:p>
            <w:r/>
            <w:r>
              <w:rPr>
                <w:b w:val="0"/>
                <w:sz w:val="14"/>
              </w:rPr>
              <w:t>Relevant facts and chronology.</w:t>
            </w:r>
          </w:p>
        </w:tc>
      </w:tr>
      <w:tr>
        <w:tc>
          <w:tcPr>
            <w:tcW w:type="dxa" w:w="5170"/>
            <w:vAlign w:val="center"/>
          </w:tcPr>
          <w:p>
            <w:r/>
            <w:r>
              <w:rPr>
                <w:b w:val="0"/>
                <w:sz w:val="14"/>
              </w:rPr>
              <w:t>Risk/impact</w:t>
            </w:r>
          </w:p>
        </w:tc>
        <w:tc>
          <w:tcPr>
            <w:tcW w:type="dxa" w:w="5170"/>
            <w:vAlign w:val="center"/>
          </w:tcPr>
          <w:p>
            <w:r/>
            <w:r>
              <w:rPr>
                <w:b w:val="0"/>
                <w:sz w:val="14"/>
              </w:rPr>
              <w:t>Key exposures, customer/control impact.</w:t>
            </w:r>
          </w:p>
        </w:tc>
      </w:tr>
      <w:tr>
        <w:tc>
          <w:tcPr>
            <w:tcW w:type="dxa" w:w="5170"/>
            <w:vAlign w:val="center"/>
          </w:tcPr>
          <w:p>
            <w:r/>
            <w:r>
              <w:rPr>
                <w:b w:val="0"/>
                <w:sz w:val="14"/>
              </w:rPr>
              <w:t>Limits/authority</w:t>
            </w:r>
          </w:p>
        </w:tc>
        <w:tc>
          <w:tcPr>
            <w:tcW w:type="dxa" w:w="5170"/>
            <w:vAlign w:val="center"/>
          </w:tcPr>
          <w:p>
            <w:r/>
            <w:r>
              <w:rPr>
                <w:b w:val="0"/>
                <w:sz w:val="14"/>
              </w:rPr>
              <w:t>Applicable threshold and authority source.</w:t>
            </w:r>
          </w:p>
        </w:tc>
      </w:tr>
      <w:tr>
        <w:tc>
          <w:tcPr>
            <w:tcW w:type="dxa" w:w="5170"/>
            <w:vAlign w:val="center"/>
          </w:tcPr>
          <w:p>
            <w:r/>
            <w:r>
              <w:rPr>
                <w:b w:val="0"/>
                <w:sz w:val="14"/>
              </w:rPr>
              <w:t>Exceptions</w:t>
            </w:r>
          </w:p>
        </w:tc>
        <w:tc>
          <w:tcPr>
            <w:tcW w:type="dxa" w:w="5170"/>
            <w:vAlign w:val="center"/>
          </w:tcPr>
          <w:p>
            <w:r/>
            <w:r>
              <w:rPr>
                <w:b w:val="0"/>
                <w:sz w:val="14"/>
              </w:rPr>
              <w:t>Any departure from standard.</w:t>
            </w:r>
          </w:p>
        </w:tc>
      </w:tr>
      <w:tr>
        <w:tc>
          <w:tcPr>
            <w:tcW w:type="dxa" w:w="5170"/>
            <w:vAlign w:val="center"/>
          </w:tcPr>
          <w:p>
            <w:r/>
            <w:r>
              <w:rPr>
                <w:b w:val="0"/>
                <w:sz w:val="14"/>
              </w:rPr>
              <w:t>Alternatives</w:t>
            </w:r>
          </w:p>
        </w:tc>
        <w:tc>
          <w:tcPr>
            <w:tcW w:type="dxa" w:w="5170"/>
            <w:vAlign w:val="center"/>
          </w:tcPr>
          <w:p>
            <w:r/>
            <w:r>
              <w:rPr>
                <w:b w:val="0"/>
                <w:sz w:val="14"/>
              </w:rPr>
              <w:t>Reasonable options considered.</w:t>
            </w:r>
          </w:p>
        </w:tc>
      </w:tr>
      <w:tr>
        <w:tc>
          <w:tcPr>
            <w:tcW w:type="dxa" w:w="5170"/>
            <w:vAlign w:val="center"/>
          </w:tcPr>
          <w:p>
            <w:r/>
            <w:r>
              <w:rPr>
                <w:b w:val="0"/>
                <w:sz w:val="14"/>
              </w:rPr>
              <w:t>Recommendation</w:t>
            </w:r>
          </w:p>
        </w:tc>
        <w:tc>
          <w:tcPr>
            <w:tcW w:type="dxa" w:w="5170"/>
            <w:vAlign w:val="center"/>
          </w:tcPr>
          <w:p>
            <w:r/>
            <w:r>
              <w:rPr>
                <w:b w:val="0"/>
                <w:sz w:val="14"/>
              </w:rPr>
              <w:t>Owner recommendation.</w:t>
            </w:r>
          </w:p>
        </w:tc>
      </w:tr>
      <w:tr>
        <w:tc>
          <w:tcPr>
            <w:tcW w:type="dxa" w:w="5170"/>
            <w:vAlign w:val="center"/>
          </w:tcPr>
          <w:p>
            <w:r/>
            <w:r>
              <w:rPr>
                <w:b w:val="0"/>
                <w:sz w:val="14"/>
              </w:rPr>
              <w:t>Attachments</w:t>
            </w:r>
          </w:p>
        </w:tc>
        <w:tc>
          <w:tcPr>
            <w:tcW w:type="dxa" w:w="5170"/>
            <w:vAlign w:val="center"/>
          </w:tcPr>
          <w:p>
            <w:r/>
            <w:r>
              <w:rPr>
                <w:b w:val="0"/>
                <w:sz w:val="14"/>
              </w:rPr>
              <w:t>Evidence, analysis, legal/compliance input where required.</w:t>
            </w:r>
          </w:p>
        </w:tc>
      </w:tr>
    </w:tbl>
    <w:p/>
    <w:p>
      <w:r>
        <w:br w:type="page"/>
      </w:r>
    </w:p>
    <w:p>
      <w:pPr>
        <w:pStyle w:val="Heading1"/>
      </w:pPr>
      <w:r>
        <w:t>Appendix B — Minutes Checklist</w:t>
      </w:r>
    </w:p>
    <w:p>
      <w:r>
        <w:t>Minute quality supports governance.</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Item</w:t>
            </w:r>
          </w:p>
        </w:tc>
        <w:tc>
          <w:tcPr>
            <w:tcW w:type="dxa" w:w="5170"/>
            <w:vAlign w:val="center"/>
            <w:shd w:fill="17365D"/>
          </w:tcPr>
          <w:p>
            <w:r/>
            <w:r>
              <w:rPr>
                <w:b/>
                <w:color w:val="FFFFFF"/>
                <w:sz w:val="15"/>
              </w:rPr>
              <w:t>Requirement</w:t>
            </w:r>
          </w:p>
        </w:tc>
      </w:tr>
      <w:tr>
        <w:tc>
          <w:tcPr>
            <w:tcW w:type="dxa" w:w="5170"/>
            <w:vAlign w:val="center"/>
          </w:tcPr>
          <w:p>
            <w:r/>
            <w:r>
              <w:rPr>
                <w:b w:val="0"/>
                <w:sz w:val="14"/>
              </w:rPr>
              <w:t>Attendance</w:t>
            </w:r>
          </w:p>
        </w:tc>
        <w:tc>
          <w:tcPr>
            <w:tcW w:type="dxa" w:w="5170"/>
            <w:vAlign w:val="center"/>
          </w:tcPr>
          <w:p>
            <w:r/>
            <w:r>
              <w:rPr>
                <w:b w:val="0"/>
                <w:sz w:val="14"/>
              </w:rPr>
              <w:t>Present, apologies and invitees.</w:t>
            </w:r>
          </w:p>
        </w:tc>
      </w:tr>
      <w:tr>
        <w:tc>
          <w:tcPr>
            <w:tcW w:type="dxa" w:w="5170"/>
            <w:vAlign w:val="center"/>
          </w:tcPr>
          <w:p>
            <w:r/>
            <w:r>
              <w:rPr>
                <w:b w:val="0"/>
                <w:sz w:val="14"/>
              </w:rPr>
              <w:t>Quorum</w:t>
            </w:r>
          </w:p>
        </w:tc>
        <w:tc>
          <w:tcPr>
            <w:tcW w:type="dxa" w:w="5170"/>
            <w:vAlign w:val="center"/>
          </w:tcPr>
          <w:p>
            <w:r/>
            <w:r>
              <w:rPr>
                <w:b w:val="0"/>
                <w:sz w:val="14"/>
              </w:rPr>
              <w:t>Confirmed.</w:t>
            </w:r>
          </w:p>
        </w:tc>
      </w:tr>
      <w:tr>
        <w:tc>
          <w:tcPr>
            <w:tcW w:type="dxa" w:w="5170"/>
            <w:vAlign w:val="center"/>
          </w:tcPr>
          <w:p>
            <w:r/>
            <w:r>
              <w:rPr>
                <w:b w:val="0"/>
                <w:sz w:val="14"/>
              </w:rPr>
              <w:t>Conflict</w:t>
            </w:r>
          </w:p>
        </w:tc>
        <w:tc>
          <w:tcPr>
            <w:tcW w:type="dxa" w:w="5170"/>
            <w:vAlign w:val="center"/>
          </w:tcPr>
          <w:p>
            <w:r/>
            <w:r>
              <w:rPr>
                <w:b w:val="0"/>
                <w:sz w:val="14"/>
              </w:rPr>
              <w:t>Declared and treatment.</w:t>
            </w:r>
          </w:p>
        </w:tc>
      </w:tr>
      <w:tr>
        <w:tc>
          <w:tcPr>
            <w:tcW w:type="dxa" w:w="5170"/>
            <w:vAlign w:val="center"/>
          </w:tcPr>
          <w:p>
            <w:r/>
            <w:r>
              <w:rPr>
                <w:b w:val="0"/>
                <w:sz w:val="14"/>
              </w:rPr>
              <w:t>Challenge</w:t>
            </w:r>
          </w:p>
        </w:tc>
        <w:tc>
          <w:tcPr>
            <w:tcW w:type="dxa" w:w="5170"/>
            <w:vAlign w:val="center"/>
          </w:tcPr>
          <w:p>
            <w:r/>
            <w:r>
              <w:rPr>
                <w:b w:val="0"/>
                <w:sz w:val="14"/>
              </w:rPr>
              <w:t>Material questions/concerns, not verbatim transcript.</w:t>
            </w:r>
          </w:p>
        </w:tc>
      </w:tr>
      <w:tr>
        <w:tc>
          <w:tcPr>
            <w:tcW w:type="dxa" w:w="5170"/>
            <w:vAlign w:val="center"/>
          </w:tcPr>
          <w:p>
            <w:r/>
            <w:r>
              <w:rPr>
                <w:b w:val="0"/>
                <w:sz w:val="14"/>
              </w:rPr>
              <w:t>Decision</w:t>
            </w:r>
          </w:p>
        </w:tc>
        <w:tc>
          <w:tcPr>
            <w:tcW w:type="dxa" w:w="5170"/>
            <w:vAlign w:val="center"/>
          </w:tcPr>
          <w:p>
            <w:r/>
            <w:r>
              <w:rPr>
                <w:b w:val="0"/>
                <w:sz w:val="14"/>
              </w:rPr>
              <w:t>Clear outcome and conditions.</w:t>
            </w:r>
          </w:p>
        </w:tc>
      </w:tr>
      <w:tr>
        <w:tc>
          <w:tcPr>
            <w:tcW w:type="dxa" w:w="5170"/>
            <w:vAlign w:val="center"/>
          </w:tcPr>
          <w:p>
            <w:r/>
            <w:r>
              <w:rPr>
                <w:b w:val="0"/>
                <w:sz w:val="14"/>
              </w:rPr>
              <w:t>Authority</w:t>
            </w:r>
          </w:p>
        </w:tc>
        <w:tc>
          <w:tcPr>
            <w:tcW w:type="dxa" w:w="5170"/>
            <w:vAlign w:val="center"/>
          </w:tcPr>
          <w:p>
            <w:r/>
            <w:r>
              <w:rPr>
                <w:b w:val="0"/>
                <w:sz w:val="14"/>
              </w:rPr>
              <w:t>Decision within Committee mandate.</w:t>
            </w:r>
          </w:p>
        </w:tc>
      </w:tr>
      <w:tr>
        <w:tc>
          <w:tcPr>
            <w:tcW w:type="dxa" w:w="5170"/>
            <w:vAlign w:val="center"/>
          </w:tcPr>
          <w:p>
            <w:r/>
            <w:r>
              <w:rPr>
                <w:b w:val="0"/>
                <w:sz w:val="14"/>
              </w:rPr>
              <w:t>Actions</w:t>
            </w:r>
          </w:p>
        </w:tc>
        <w:tc>
          <w:tcPr>
            <w:tcW w:type="dxa" w:w="5170"/>
            <w:vAlign w:val="center"/>
          </w:tcPr>
          <w:p>
            <w:r/>
            <w:r>
              <w:rPr>
                <w:b w:val="0"/>
                <w:sz w:val="14"/>
              </w:rPr>
              <w:t>Owner/date.</w:t>
            </w:r>
          </w:p>
        </w:tc>
      </w:tr>
      <w:tr>
        <w:tc>
          <w:tcPr>
            <w:tcW w:type="dxa" w:w="5170"/>
            <w:vAlign w:val="center"/>
          </w:tcPr>
          <w:p>
            <w:r/>
            <w:r>
              <w:rPr>
                <w:b w:val="0"/>
                <w:sz w:val="14"/>
              </w:rPr>
              <w:t>Dissent</w:t>
            </w:r>
          </w:p>
        </w:tc>
        <w:tc>
          <w:tcPr>
            <w:tcW w:type="dxa" w:w="5170"/>
            <w:vAlign w:val="center"/>
          </w:tcPr>
          <w:p>
            <w:r/>
            <w:r>
              <w:rPr>
                <w:b w:val="0"/>
                <w:sz w:val="14"/>
              </w:rPr>
              <w:t>Recorded where material.</w:t>
            </w:r>
          </w:p>
        </w:tc>
      </w:tr>
    </w:tbl>
    <w:p/>
    <w:p>
      <w:r>
        <w:br w:type="page"/>
      </w:r>
    </w:p>
    <w:p>
      <w:pPr>
        <w:pStyle w:val="Heading1"/>
      </w:pPr>
      <w:r>
        <w:t>Appendix C — Decision Log Fields</w:t>
      </w:r>
    </w:p>
    <w:p>
      <w:r>
        <w:t>Maintain a searchable decision history.</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Field</w:t>
            </w:r>
          </w:p>
        </w:tc>
        <w:tc>
          <w:tcPr>
            <w:tcW w:type="dxa" w:w="5170"/>
            <w:vAlign w:val="center"/>
            <w:shd w:fill="17365D"/>
          </w:tcPr>
          <w:p>
            <w:r/>
            <w:r>
              <w:rPr>
                <w:b/>
                <w:color w:val="FFFFFF"/>
                <w:sz w:val="15"/>
              </w:rPr>
              <w:t>Description</w:t>
            </w:r>
          </w:p>
        </w:tc>
      </w:tr>
      <w:tr>
        <w:tc>
          <w:tcPr>
            <w:tcW w:type="dxa" w:w="5170"/>
            <w:vAlign w:val="center"/>
          </w:tcPr>
          <w:p>
            <w:r/>
            <w:r>
              <w:rPr>
                <w:b w:val="0"/>
                <w:sz w:val="14"/>
              </w:rPr>
              <w:t>Decision ID</w:t>
            </w:r>
          </w:p>
        </w:tc>
        <w:tc>
          <w:tcPr>
            <w:tcW w:type="dxa" w:w="5170"/>
            <w:vAlign w:val="center"/>
          </w:tcPr>
          <w:p>
            <w:r/>
            <w:r>
              <w:rPr>
                <w:b w:val="0"/>
                <w:sz w:val="14"/>
              </w:rPr>
              <w:t>Unique committee decision reference.</w:t>
            </w:r>
          </w:p>
        </w:tc>
      </w:tr>
      <w:tr>
        <w:tc>
          <w:tcPr>
            <w:tcW w:type="dxa" w:w="5170"/>
            <w:vAlign w:val="center"/>
          </w:tcPr>
          <w:p>
            <w:r/>
            <w:r>
              <w:rPr>
                <w:b w:val="0"/>
                <w:sz w:val="14"/>
              </w:rPr>
              <w:t>Meeting Date</w:t>
            </w:r>
          </w:p>
        </w:tc>
        <w:tc>
          <w:tcPr>
            <w:tcW w:type="dxa" w:w="5170"/>
            <w:vAlign w:val="center"/>
          </w:tcPr>
          <w:p>
            <w:r/>
            <w:r>
              <w:rPr>
                <w:b w:val="0"/>
                <w:sz w:val="14"/>
              </w:rPr>
              <w:t>Date.</w:t>
            </w:r>
          </w:p>
        </w:tc>
      </w:tr>
      <w:tr>
        <w:tc>
          <w:tcPr>
            <w:tcW w:type="dxa" w:w="5170"/>
            <w:vAlign w:val="center"/>
          </w:tcPr>
          <w:p>
            <w:r/>
            <w:r>
              <w:rPr>
                <w:b w:val="0"/>
                <w:sz w:val="14"/>
              </w:rPr>
              <w:t>Matter</w:t>
            </w:r>
          </w:p>
        </w:tc>
        <w:tc>
          <w:tcPr>
            <w:tcW w:type="dxa" w:w="5170"/>
            <w:vAlign w:val="center"/>
          </w:tcPr>
          <w:p>
            <w:r/>
            <w:r>
              <w:rPr>
                <w:b w:val="0"/>
                <w:sz w:val="14"/>
              </w:rPr>
              <w:t>Subject.</w:t>
            </w:r>
          </w:p>
        </w:tc>
      </w:tr>
      <w:tr>
        <w:tc>
          <w:tcPr>
            <w:tcW w:type="dxa" w:w="5170"/>
            <w:vAlign w:val="center"/>
          </w:tcPr>
          <w:p>
            <w:r/>
            <w:r>
              <w:rPr>
                <w:b w:val="0"/>
                <w:sz w:val="14"/>
              </w:rPr>
              <w:t>Authority</w:t>
            </w:r>
          </w:p>
        </w:tc>
        <w:tc>
          <w:tcPr>
            <w:tcW w:type="dxa" w:w="5170"/>
            <w:vAlign w:val="center"/>
          </w:tcPr>
          <w:p>
            <w:r/>
            <w:r>
              <w:rPr>
                <w:b w:val="0"/>
                <w:sz w:val="14"/>
              </w:rPr>
              <w:t>Document/section.</w:t>
            </w:r>
          </w:p>
        </w:tc>
      </w:tr>
      <w:tr>
        <w:tc>
          <w:tcPr>
            <w:tcW w:type="dxa" w:w="5170"/>
            <w:vAlign w:val="center"/>
          </w:tcPr>
          <w:p>
            <w:r/>
            <w:r>
              <w:rPr>
                <w:b w:val="0"/>
                <w:sz w:val="14"/>
              </w:rPr>
              <w:t>Decision</w:t>
            </w:r>
          </w:p>
        </w:tc>
        <w:tc>
          <w:tcPr>
            <w:tcW w:type="dxa" w:w="5170"/>
            <w:vAlign w:val="center"/>
          </w:tcPr>
          <w:p>
            <w:r/>
            <w:r>
              <w:rPr>
                <w:b w:val="0"/>
                <w:sz w:val="14"/>
              </w:rPr>
              <w:t>Approved/declined/noted/escalated.</w:t>
            </w:r>
          </w:p>
        </w:tc>
      </w:tr>
      <w:tr>
        <w:tc>
          <w:tcPr>
            <w:tcW w:type="dxa" w:w="5170"/>
            <w:vAlign w:val="center"/>
          </w:tcPr>
          <w:p>
            <w:r/>
            <w:r>
              <w:rPr>
                <w:b w:val="0"/>
                <w:sz w:val="14"/>
              </w:rPr>
              <w:t>Conditions</w:t>
            </w:r>
          </w:p>
        </w:tc>
        <w:tc>
          <w:tcPr>
            <w:tcW w:type="dxa" w:w="5170"/>
            <w:vAlign w:val="center"/>
          </w:tcPr>
          <w:p>
            <w:r/>
            <w:r>
              <w:rPr>
                <w:b w:val="0"/>
                <w:sz w:val="14"/>
              </w:rPr>
              <w:t>Any restrictions/expiry.</w:t>
            </w:r>
          </w:p>
        </w:tc>
      </w:tr>
      <w:tr>
        <w:tc>
          <w:tcPr>
            <w:tcW w:type="dxa" w:w="5170"/>
            <w:vAlign w:val="center"/>
          </w:tcPr>
          <w:p>
            <w:r/>
            <w:r>
              <w:rPr>
                <w:b w:val="0"/>
                <w:sz w:val="14"/>
              </w:rPr>
              <w:t>Conflict</w:t>
            </w:r>
          </w:p>
        </w:tc>
        <w:tc>
          <w:tcPr>
            <w:tcW w:type="dxa" w:w="5170"/>
            <w:vAlign w:val="center"/>
          </w:tcPr>
          <w:p>
            <w:r/>
            <w:r>
              <w:rPr>
                <w:b w:val="0"/>
                <w:sz w:val="14"/>
              </w:rPr>
              <w:t>Member recusal if any.</w:t>
            </w:r>
          </w:p>
        </w:tc>
      </w:tr>
      <w:tr>
        <w:tc>
          <w:tcPr>
            <w:tcW w:type="dxa" w:w="5170"/>
            <w:vAlign w:val="center"/>
          </w:tcPr>
          <w:p>
            <w:r/>
            <w:r>
              <w:rPr>
                <w:b w:val="0"/>
                <w:sz w:val="14"/>
              </w:rPr>
              <w:t>Action IDs</w:t>
            </w:r>
          </w:p>
        </w:tc>
        <w:tc>
          <w:tcPr>
            <w:tcW w:type="dxa" w:w="5170"/>
            <w:vAlign w:val="center"/>
          </w:tcPr>
          <w:p>
            <w:r/>
            <w:r>
              <w:rPr>
                <w:b w:val="0"/>
                <w:sz w:val="14"/>
              </w:rPr>
              <w:t>Linked actions.</w:t>
            </w:r>
          </w:p>
        </w:tc>
      </w:tr>
      <w:tr>
        <w:tc>
          <w:tcPr>
            <w:tcW w:type="dxa" w:w="5170"/>
            <w:vAlign w:val="center"/>
          </w:tcPr>
          <w:p>
            <w:r/>
            <w:r>
              <w:rPr>
                <w:b w:val="0"/>
                <w:sz w:val="14"/>
              </w:rPr>
              <w:t>Superseded By</w:t>
            </w:r>
          </w:p>
        </w:tc>
        <w:tc>
          <w:tcPr>
            <w:tcW w:type="dxa" w:w="5170"/>
            <w:vAlign w:val="center"/>
          </w:tcPr>
          <w:p>
            <w:r/>
            <w:r>
              <w:rPr>
                <w:b w:val="0"/>
                <w:sz w:val="14"/>
              </w:rPr>
              <w:t>Later decision where applicable.</w:t>
            </w:r>
          </w:p>
        </w:tc>
      </w:tr>
    </w:tbl>
    <w:p/>
    <w:sectPr w:rsidR="00FC693F" w:rsidRPr="0006063C" w:rsidSect="00034616">
      <w:headerReference w:type="default" r:id="rId9"/>
      <w:footerReference w:type="default" r:id="rId10"/>
      <w:pgSz w:w="12240" w:h="15840"/>
      <w:pgMar w:top="864" w:right="950" w:bottom="821"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2"/>
      </w:rPr>
      <w:t>Northstar Financial — Synthetic Internal Document. This document is fictional and created solely for educational and software-development purposes. It does not represent an actual financial institution, regulatory requirement, legal obligation, or financial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NORTHSTAR FINANCIAL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5F9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1F1F"/>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pPr>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