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color w:val="5A2424"/>
          <w:sz w:val="30"/>
        </w:rPr>
        <w:t>NORTHSTAR FINANCIAL</w:t>
      </w:r>
    </w:p>
    <w:p>
      <w:pPr>
        <w:jc w:val="center"/>
      </w:pPr>
      <w:r>
        <w:rPr>
          <w:b/>
          <w:color w:val="5A2424"/>
          <w:sz w:val="44"/>
        </w:rPr>
        <w:t>Anti-Money Laundering (AML) Policy</w:t>
      </w:r>
    </w:p>
    <w:p>
      <w:pPr>
        <w:jc w:val="center"/>
      </w:pPr>
      <w:r>
        <w:rPr>
          <w:b/>
          <w:sz w:val="22"/>
        </w:rPr>
        <w:t>AML-003  |  Version 2.2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AML-003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Document Title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Anti-Money Laundering (AML) Policy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2.2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Policy / Procedure Owner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Imran Siddiqui — Head of AML Compliance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Business Unit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AML Compliance / Enterprise Risk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Approving Authority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Board Risk Committee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Effective Date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15 August 2025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Previous Version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Version 2.1 (effective 1 December 2024)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Review Frequency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Annual; immediate review for material financial-crime control change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Internal — Controlled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Approved — Controlled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Supersedes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AML-003 v2.1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5A2424"/>
          </w:tcPr>
          <w:p>
            <w:r>
              <w:rPr>
                <w:b/>
                <w:color w:val="FFFFFF"/>
                <w:sz w:val="17"/>
              </w:rPr>
              <w:t>Related Documents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KYC-004; KEP-016; TMP-018; LOP-002; LDP-013; future CDD Policy; future Compliance Manual</w:t>
            </w:r>
          </w:p>
        </w:tc>
      </w:tr>
    </w:tbl>
    <w:p/>
    <w:p>
      <w:pPr>
        <w:spacing w:before="80"/>
      </w:pPr>
      <w:r>
        <w:rPr>
          <w:i/>
          <w:color w:val="5A5A5A"/>
          <w:sz w:val="16"/>
        </w:rPr>
        <w:t>Northstar Financial — Synthetic Internal Document. This document is fictional and created solely for educational and software-development purposes. It does not represent an actual financial institution, regulatory requirement, legal obligation, or financial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A2424"/>
          <w:left w:val="single" w:sz="6" w:space="0" w:color="5A2424"/>
          <w:bottom w:val="single" w:sz="6" w:space="0" w:color="5A2424"/>
          <w:right w:val="single" w:sz="6" w:space="0" w:color="5A2424"/>
          <w:insideH w:val="single" w:sz="6" w:space="0" w:color="5A2424"/>
          <w:insideV w:val="single" w:sz="6" w:space="0" w:color="5A2424"/>
        </w:tblBorders>
      </w:tblPr>
      <w:tblGrid>
        <w:gridCol w:w="10166"/>
      </w:tblGrid>
      <w:tr>
        <w:tc>
          <w:tcPr>
            <w:tcW w:type="dxa" w:w="10166"/>
            <w:shd w:fill="F2E2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5A2424"/>
                <w:sz w:val="19"/>
              </w:rPr>
              <w:t>Document-control notice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Printed and locally saved copies are uncontrolled unless explicitly marked otherwise.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Where a procedure is more restrictive than this document, the more restrictive operating control applies within that procedure’s scope.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Conflicts involving effective dates, product scope or risk ownership shall be resolved through the document hierarchy and recorded escalation path.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after="120"/>
      </w:pPr>
      <w:r>
        <w:t>This controlled contents list is intentionally static. Section numbering in the document is authoritative.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Title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Purpose, Scope and Policy Position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AML Governance and Three Lines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Financial-Crime Risk Appetite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Risk-Based Approach and Risk Taxonomy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Customer Risk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Product and Service Risk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Channel and Geographic Risk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KYC and Customer Due Diligence Interface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PEP Relationships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Source of Funds and Source of Wealth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Sanctions Screening and Restrictions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Transaction Monitoring Framework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Alert and Case Management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Unusual / Suspicious Activity Investigation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External Reporting Decision Governance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High-Risk Customers and Enhanced Monitoring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Scenario Tuning and Model/Rule Governance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Training and Employee Responsibilities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Quality Assurance, Testing and Internal Audit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Recordkeeping and Confidentiality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Breaches, Escalation and Management Information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Historical and Transitional Treatment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Appendix 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AML Customer Risk Factors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Appendix B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Internal Monitoring Trigger Catalogue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Appendix C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Governance and Approval Matrix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Appendix 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Illustrative Investigative Outcomes</w:t>
            </w:r>
          </w:p>
        </w:tc>
      </w:tr>
    </w:tbl>
    <w:p>
      <w:pPr>
        <w:pStyle w:val="Heading2"/>
        <w:pageBreakBefore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41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541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Summary of Change</w:t>
            </w:r>
          </w:p>
        </w:tc>
        <w:tc>
          <w:tcPr>
            <w:tcW w:type="dxa" w:w="2541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Approval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2.0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 Jun 2024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Consolidated customer risk, sanctions and transaction monitoring governance.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Board Risk Committee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6"/>
              </w:rPr>
              <w:t>2.1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6"/>
              </w:rPr>
              <w:t>1 Dec 2024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6"/>
              </w:rPr>
              <w:t>Introduced 18-month high-risk periodic review and expanded scenario governance.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6"/>
              </w:rPr>
              <w:t>Board Risk Committee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2.2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15 Aug 2025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Aligned High-risk review to 12 months, strengthened PEP approvals and linked KYC-004/TMP-018.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Board Risk Committee</w:t>
            </w:r>
          </w:p>
        </w:tc>
      </w:tr>
    </w:tbl>
    <w:p>
      <w:r>
        <w:br w:type="page"/>
      </w:r>
    </w:p>
    <w:p>
      <w:pPr>
        <w:pStyle w:val="Heading1"/>
      </w:pPr>
      <w:r>
        <w:t>1. Purpose, Scope and Policy Position</w:t>
      </w:r>
    </w:p>
    <w:p>
      <w:pPr>
        <w:spacing w:after="100"/>
      </w:pPr>
      <w:r>
        <w:t>This Policy establishes Northstar’s internal framework for preventing and detecting misuse of its lending, deposit and investment services for money laundering, terrorist-financing or related financial-crime purposes. It is an internal control document and does not purport to state legal or regulatory requirements.</w:t>
      </w:r>
    </w:p>
    <w:p>
      <w:pPr>
        <w:pStyle w:val="Heading2"/>
      </w:pPr>
      <w:r>
        <w:t>Policy position</w:t>
      </w:r>
    </w:p>
    <w:p>
      <w:pPr>
        <w:pStyle w:val="ListBullet"/>
        <w:spacing w:after="40"/>
      </w:pPr>
      <w:r>
        <w:t>AML Compliance owns AML policy interpretation, monitoring governance and suspicious-activity escalation.</w:t>
      </w:r>
    </w:p>
    <w:p>
      <w:pPr>
        <w:pStyle w:val="ListBullet"/>
        <w:spacing w:after="40"/>
      </w:pPr>
      <w:r>
        <w:t>Business and Operations remain responsible for collecting accurate customer/activity information and complying with holds.</w:t>
      </w:r>
    </w:p>
    <w:p>
      <w:pPr>
        <w:pStyle w:val="ListBullet"/>
        <w:spacing w:after="40"/>
      </w:pPr>
      <w:r>
        <w:t>KYC-004 governs identity verification; AML-003 governs AML risk treatment. One clearance does not automatically imply the other.</w:t>
      </w:r>
    </w:p>
    <w:p>
      <w:pPr>
        <w:pStyle w:val="ListBullet"/>
        <w:spacing w:after="40"/>
      </w:pPr>
      <w:r>
        <w:t>No revenue, credit or customer-service authority can override an AML/sanctions hard hold.</w:t>
      </w:r>
    </w:p>
    <w:p>
      <w:pPr>
        <w:pStyle w:val="ListBullet"/>
        <w:spacing w:after="40"/>
      </w:pPr>
      <w:r>
        <w:t>Where applicable external obligations arise, the authorized AML/Legal function determines the action based on current applicable requirements; this document does not define those obligations.</w:t>
      </w:r>
    </w:p>
    <w:p>
      <w:r>
        <w:br w:type="page"/>
      </w:r>
    </w:p>
    <w:p>
      <w:pPr>
        <w:pStyle w:val="Heading1"/>
      </w:pPr>
      <w:r>
        <w:t>2. AML Governance and Three Lines</w:t>
      </w:r>
    </w:p>
    <w:p>
      <w:pPr>
        <w:spacing w:after="100"/>
      </w:pPr>
      <w:r>
        <w:t>Northstar uses a three-lines model with clear separation between business ownership, second-line AML oversight and independent assurance.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Line / body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First line — Business / Operations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Know customer activity, execute procedures, respond to AML requests, respect holds, escalate unusual behavior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Second line — AML Compliance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Policy, customer AML risk, sanctions, transaction monitoring, investigations, approvals, training oversight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Enterprise Risk / Compliance governance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Challenge risk appetite, aggregate risk reporting, issue escalation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Third line — Internal Audit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Independent assessment of governance, control design and operating effectiveness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Board Risk Committee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Approves AML Policy and receives material risk/control reporting</w:t>
            </w:r>
          </w:p>
        </w:tc>
      </w:tr>
    </w:tbl>
    <w:p>
      <w:r>
        <w:br w:type="page"/>
      </w:r>
    </w:p>
    <w:p>
      <w:pPr>
        <w:pStyle w:val="Heading1"/>
      </w:pPr>
      <w:r>
        <w:t>3. Financial-Crime Risk Appetite</w:t>
      </w:r>
    </w:p>
    <w:p>
      <w:pPr>
        <w:spacing w:after="100"/>
      </w:pPr>
      <w:r>
        <w:t>Northstar does not accept relationships where identity or sanctions risk cannot be controlled to an acceptable level. Higher-risk customers may be permitted only under enhanced review and documented approval.</w:t>
      </w:r>
    </w:p>
    <w:p>
      <w:pPr>
        <w:pStyle w:val="Heading2"/>
      </w:pPr>
      <w:r>
        <w:t>Risk-appetite statements</w:t>
      </w:r>
    </w:p>
    <w:p>
      <w:pPr>
        <w:pStyle w:val="ListBullet"/>
        <w:spacing w:after="40"/>
      </w:pPr>
      <w:r>
        <w:t>No anonymous or intentionally misidentified customer relationships.</w:t>
      </w:r>
    </w:p>
    <w:p>
      <w:pPr>
        <w:pStyle w:val="ListBullet"/>
        <w:spacing w:after="40"/>
      </w:pPr>
      <w:r>
        <w:t>No activation/disbursement while a material sanctions potential match remains unresolved.</w:t>
      </w:r>
    </w:p>
    <w:p>
      <w:pPr>
        <w:pStyle w:val="ListBullet"/>
        <w:spacing w:after="40"/>
      </w:pPr>
      <w:r>
        <w:t>No deliberate structuring of processes to avoid monitoring or screening controls.</w:t>
      </w:r>
    </w:p>
    <w:p>
      <w:pPr>
        <w:pStyle w:val="ListBullet"/>
        <w:spacing w:after="40"/>
      </w:pPr>
      <w:r>
        <w:t>High-risk customers require enhanced due diligence and approval; High risk is not automatically prohibited.</w:t>
      </w:r>
    </w:p>
    <w:p>
      <w:pPr>
        <w:pStyle w:val="ListBullet"/>
        <w:spacing w:after="40"/>
      </w:pPr>
      <w:r>
        <w:t>Repeated unexplained third-party funding, opaque ownership or materially inconsistent source information may place a relationship outside appetite.</w:t>
      </w:r>
    </w:p>
    <w:p>
      <w:pPr>
        <w:pStyle w:val="ListBullet"/>
        <w:spacing w:after="40"/>
      </w:pPr>
      <w:r>
        <w:t>Business rationale cannot be used as a compensating factor for unresolved identity or sanctions risk.</w:t>
      </w:r>
    </w:p>
    <w:p>
      <w:r>
        <w:br w:type="page"/>
      </w:r>
    </w:p>
    <w:p>
      <w:pPr>
        <w:pStyle w:val="Heading1"/>
      </w:pPr>
      <w:r>
        <w:t>4. Risk-Based Approach and Risk Taxonomy</w:t>
      </w:r>
    </w:p>
    <w:p>
      <w:pPr>
        <w:spacing w:after="100"/>
      </w:pPr>
      <w:r>
        <w:t>Controls are proportionate to customer, product, channel, geography and observed behavior. Internal risk factors are combined rather than treated as independent checkboxes.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Risk domain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Examples of higher-risk indicators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Primary control response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Customer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PEP, complex ownership, prior adverse internal case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Enhanced due diligence / approval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High liquidity, rapid transferability, third-party funding potential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Monitoring and source review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Channel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Non-face-to-face with anomalies, intermediary sourcing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Enhanced onboarding / monitoring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Geography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Internal high-risk jurisdiction indicator or unusual cross-border activity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Enhanced review / monitoring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Behavior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Rapid movement, unexplained third-party transfers, unusual cash/repayment patterns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Transaction monitoring / investigation</w:t>
            </w:r>
          </w:p>
        </w:tc>
      </w:tr>
    </w:tbl>
    <w:p>
      <w:r>
        <w:br w:type="page"/>
      </w:r>
    </w:p>
    <w:p>
      <w:pPr>
        <w:pStyle w:val="Heading1"/>
      </w:pPr>
      <w:r>
        <w:t>5. Customer Risk</w:t>
      </w:r>
    </w:p>
    <w:p>
      <w:pPr>
        <w:spacing w:after="100"/>
      </w:pPr>
      <w:r>
        <w:t>Customer AML risk classification uses KYC information plus AML-specific factors and may differ from the KYC operational risk label in older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AML risk class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Typical treatment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Periodic review baseline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Standard monitoring and KYC controls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36 months unless triggered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Standard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Standard monitoring with risk-based scenarios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24 months unless triggered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EDD, enhanced monitoring, senior approval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12 months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Restricted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No new activity / controlled exit or remediation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Event-driven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A2424"/>
          <w:left w:val="single" w:sz="6" w:space="0" w:color="5A2424"/>
          <w:bottom w:val="single" w:sz="6" w:space="0" w:color="5A2424"/>
          <w:right w:val="single" w:sz="6" w:space="0" w:color="5A2424"/>
          <w:insideH w:val="single" w:sz="6" w:space="0" w:color="5A2424"/>
          <w:insideV w:val="single" w:sz="6" w:space="0" w:color="5A2424"/>
        </w:tblBorders>
      </w:tblPr>
      <w:tblGrid>
        <w:gridCol w:w="10166"/>
      </w:tblGrid>
      <w:tr>
        <w:tc>
          <w:tcPr>
            <w:tcW w:type="dxa" w:w="10166"/>
            <w:shd w:fill="F2E2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5A2424"/>
                <w:sz w:val="19"/>
              </w:rPr>
              <w:t>Risk-rating independence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AML customer risk is not the credit risk grade.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A customer can be low credit risk and high AML risk, or vice versa.</w:t>
            </w:r>
          </w:p>
          <w:p>
            <w:pPr>
              <w:spacing w:after="40"/>
              <w:ind w:left="173"/>
            </w:pPr>
            <w:r>
              <w:rPr>
                <w:sz w:val="18"/>
              </w:rPr>
              <w:t>• Risk changes are effective when approved and recorded, not when a score changes in an unapproved system feed.</w:t>
            </w:r>
          </w:p>
        </w:tc>
      </w:tr>
    </w:tbl>
    <w:p>
      <w:r>
        <w:br w:type="page"/>
      </w:r>
    </w:p>
    <w:p>
      <w:pPr>
        <w:pStyle w:val="Heading1"/>
      </w:pPr>
      <w:r>
        <w:t>6. Product and Service Risk</w:t>
      </w:r>
    </w:p>
    <w:p>
      <w:pPr>
        <w:spacing w:after="100"/>
      </w:pPr>
      <w:r>
        <w:t>Product design affects how funds can enter, move through and leave Northstar. Product risk assessments shall identify features that can increase opacity, velocity or third-party involvement.</w:t>
      </w:r>
    </w:p>
    <w:p>
      <w:pPr>
        <w:pStyle w:val="Heading2"/>
      </w:pPr>
      <w:r>
        <w:t>Product assessment factors</w:t>
      </w:r>
    </w:p>
    <w:p>
      <w:pPr>
        <w:pStyle w:val="ListBullet"/>
        <w:spacing w:after="40"/>
      </w:pPr>
      <w:r>
        <w:t>Ability to receive third-party funds or make rapid withdrawals/transfers.</w:t>
      </w:r>
    </w:p>
    <w:p>
      <w:pPr>
        <w:pStyle w:val="ListBullet"/>
        <w:spacing w:after="40"/>
      </w:pPr>
      <w:r>
        <w:t>Cash acceptance or cash-like instruments where available.</w:t>
      </w:r>
    </w:p>
    <w:p>
      <w:pPr>
        <w:pStyle w:val="ListBullet"/>
        <w:spacing w:after="40"/>
      </w:pPr>
      <w:r>
        <w:t>Early loan repayment, overpayment or refund routes that could return funds to a different source.</w:t>
      </w:r>
    </w:p>
    <w:p>
      <w:pPr>
        <w:pStyle w:val="ListBullet"/>
        <w:spacing w:after="40"/>
      </w:pPr>
      <w:r>
        <w:t>Investment redemption or switching features that create rapid movement.</w:t>
      </w:r>
    </w:p>
    <w:p>
      <w:pPr>
        <w:pStyle w:val="ListBullet"/>
        <w:spacing w:after="40"/>
      </w:pPr>
      <w:r>
        <w:t>High-value SME or secured products with complex funding/ownership arrangements.</w:t>
      </w:r>
    </w:p>
    <w:p>
      <w:pPr>
        <w:pStyle w:val="ListBullet"/>
        <w:spacing w:after="40"/>
      </w:pPr>
      <w:r>
        <w:t>New product approval shall define the required AML monitoring coverage before launch.</w:t>
      </w:r>
    </w:p>
    <w:p>
      <w:r>
        <w:br w:type="page"/>
      </w:r>
    </w:p>
    <w:p>
      <w:pPr>
        <w:pStyle w:val="Heading1"/>
      </w:pPr>
      <w:r>
        <w:t>7. Channel and Geographic Risk</w:t>
      </w:r>
    </w:p>
    <w:p>
      <w:pPr>
        <w:spacing w:after="100"/>
      </w:pPr>
      <w:r>
        <w:t>Channel and geography are risk factors, not automatic suspicion. The same activity can be reasonable for one customer and unusual for another.</w:t>
      </w:r>
    </w:p>
    <w:p>
      <w:pPr>
        <w:pStyle w:val="Heading2"/>
      </w:pPr>
      <w:r>
        <w:t>Controls</w:t>
      </w:r>
    </w:p>
    <w:p>
      <w:pPr>
        <w:pStyle w:val="ListBullet"/>
        <w:spacing w:after="40"/>
      </w:pPr>
      <w:r>
        <w:t>Maintain an internal country/jurisdiction risk list under AML Compliance ownership; it is an internal risk tool, not a statement about legal status.</w:t>
      </w:r>
    </w:p>
    <w:p>
      <w:pPr>
        <w:pStyle w:val="ListBullet"/>
        <w:spacing w:after="40"/>
      </w:pPr>
      <w:r>
        <w:t>Non-face-to-face channels receive additional impersonation and velocity controls where appropriate.</w:t>
      </w:r>
    </w:p>
    <w:p>
      <w:pPr>
        <w:pStyle w:val="ListBullet"/>
        <w:spacing w:after="40"/>
      </w:pPr>
      <w:r>
        <w:t>Intermediary/partner sourced customers require monitoring for unusual concentration, data quality and control exceptions.</w:t>
      </w:r>
    </w:p>
    <w:p>
      <w:pPr>
        <w:pStyle w:val="ListBullet"/>
        <w:spacing w:after="40"/>
      </w:pPr>
      <w:r>
        <w:t>Cross-border activity inconsistent with the customer profile is an investigation trigger even when the amount is below scenario thresholds.</w:t>
      </w:r>
    </w:p>
    <w:p>
      <w:r>
        <w:br w:type="page"/>
      </w:r>
    </w:p>
    <w:p>
      <w:pPr>
        <w:pStyle w:val="Heading1"/>
      </w:pPr>
      <w:r>
        <w:t>8. KYC and Customer Due Diligence Interface</w:t>
      </w:r>
    </w:p>
    <w:p>
      <w:pPr>
        <w:spacing w:after="100"/>
      </w:pPr>
      <w:r>
        <w:t>AML relies on accurate KYC but may require additional due-diligence evidence for higher-risk relationships or unusual activity.</w:t>
      </w:r>
    </w:p>
    <w:p>
      <w:pPr>
        <w:pStyle w:val="Heading2"/>
      </w:pPr>
      <w:r>
        <w:t>Interface requirements</w:t>
      </w:r>
    </w:p>
    <w:p>
      <w:pPr>
        <w:pStyle w:val="ListBullet"/>
        <w:spacing w:after="40"/>
      </w:pPr>
      <w:r>
        <w:t>AML may request KYC refresh at any time based on transaction behavior, new screening information or ownership changes.</w:t>
      </w:r>
    </w:p>
    <w:p>
      <w:pPr>
        <w:pStyle w:val="ListBullet"/>
        <w:spacing w:after="40"/>
      </w:pPr>
      <w:r>
        <w:t>KYC completion does not close an AML investigation.</w:t>
      </w:r>
    </w:p>
    <w:p>
      <w:pPr>
        <w:pStyle w:val="ListBullet"/>
        <w:spacing w:after="40"/>
      </w:pPr>
      <w:r>
        <w:t>An AML request for additional beneficial ownership, source of funds or source of wealth evidence shall be tracked to closure or risk acceptance.</w:t>
      </w:r>
    </w:p>
    <w:p>
      <w:pPr>
        <w:pStyle w:val="ListBullet"/>
        <w:spacing w:after="40"/>
      </w:pPr>
      <w:r>
        <w:t>LOP-002/LDP-013 lending workflows may display AML status but cannot override or reinterpret it.</w:t>
      </w:r>
    </w:p>
    <w:p>
      <w:pPr>
        <w:pStyle w:val="ListBullet"/>
        <w:spacing w:after="40"/>
      </w:pPr>
      <w:r>
        <w:t>The future CDD Policy will define detailed SDD/EDD evidence standards; until then, AML-003 and KYC-004 control the current minimums.</w:t>
      </w:r>
    </w:p>
    <w:p>
      <w:r>
        <w:br w:type="page"/>
      </w:r>
    </w:p>
    <w:p>
      <w:pPr>
        <w:pStyle w:val="Heading1"/>
      </w:pPr>
      <w:r>
        <w:t>9. PEP Relationships</w:t>
      </w:r>
    </w:p>
    <w:p>
      <w:pPr>
        <w:spacing w:after="100"/>
      </w:pPr>
      <w:r>
        <w:t>PEP status is treated as a higher-risk factor requiring enhanced understanding and documented risk acceptance. It is not, by itself, evidence of wrongdoing.</w:t>
      </w:r>
    </w:p>
    <w:p>
      <w:pPr>
        <w:pStyle w:val="Heading2"/>
      </w:pPr>
      <w:r>
        <w:t>PEP controls</w:t>
      </w:r>
    </w:p>
    <w:p>
      <w:pPr>
        <w:pStyle w:val="ListBullet"/>
        <w:spacing w:after="40"/>
      </w:pPr>
      <w:r>
        <w:t>Potential PEP matches remain on hold until match resolution.</w:t>
      </w:r>
    </w:p>
    <w:p>
      <w:pPr>
        <w:pStyle w:val="ListBullet"/>
        <w:spacing w:after="40"/>
      </w:pPr>
      <w:r>
        <w:t>Confirmed PEP relationships are High AML risk unless a controlled exception approved by Head AML Compliance documents a different treatment.</w:t>
      </w:r>
    </w:p>
    <w:p>
      <w:pPr>
        <w:pStyle w:val="ListBullet"/>
        <w:spacing w:after="40"/>
      </w:pPr>
      <w:r>
        <w:t>New confirmed PEP relationships require Head AML Compliance approval plus the relevant Business Head’s acknowledgement of enhanced-monitoring conditions.</w:t>
      </w:r>
    </w:p>
    <w:p>
      <w:pPr>
        <w:pStyle w:val="ListBullet"/>
        <w:spacing w:after="40"/>
      </w:pPr>
      <w:r>
        <w:t>KYC-004 Senior Compliance approval remains required for onboarding; where both policies apply, both approvals must be evidenced.</w:t>
      </w:r>
    </w:p>
    <w:p>
      <w:pPr>
        <w:pStyle w:val="ListBullet"/>
        <w:spacing w:after="40"/>
      </w:pPr>
      <w:r>
        <w:t>Source of funds/source of wealth must be understood to a level proportionate to the relationship before full activation.</w:t>
      </w:r>
    </w:p>
    <w:p>
      <w:r>
        <w:br w:type="page"/>
      </w:r>
    </w:p>
    <w:p>
      <w:pPr>
        <w:pStyle w:val="Heading1"/>
      </w:pPr>
      <w:r>
        <w:t>10. Source of Funds and Source of Wealth</w:t>
      </w:r>
    </w:p>
    <w:p>
      <w:pPr>
        <w:spacing w:after="100"/>
      </w:pPr>
      <w:r>
        <w:t>SOF/SOW review focuses on whether the stated origin of funds and overall wealth profile are reasonable, coherent and supported for the customer’s risk and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Expected evidence / analysis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Where did the specific funds originate?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Salary/business proceeds/asset sale/investment proceeds/other documented source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How was the customer’s broader wealth accumulated?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Employment/business/investment/ownership history proportionate to risk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Does activity fit the profile?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Compare expected volumes, counterparties, timing and channel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Are third-party funds involved?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Understand relationship and economic rationale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Is evidence contradictory or unusually difficult to obtain?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Escalate; do not rely solely on customer assertion</w:t>
            </w:r>
          </w:p>
        </w:tc>
      </w:tr>
    </w:tbl>
    <w:p>
      <w:r>
        <w:br w:type="page"/>
      </w:r>
    </w:p>
    <w:p>
      <w:pPr>
        <w:pStyle w:val="Heading1"/>
      </w:pPr>
      <w:r>
        <w:t>11. Sanctions Screening and Restrictions</w:t>
      </w:r>
    </w:p>
    <w:p>
      <w:pPr>
        <w:spacing w:after="100"/>
      </w:pPr>
      <w:r>
        <w:t>Sanctions screening is a hard-control area owned by AML Compliance. Potential matches are restricted until authorized disposition.</w:t>
      </w:r>
    </w:p>
    <w:p>
      <w:pPr>
        <w:pStyle w:val="Heading2"/>
      </w:pPr>
      <w:r>
        <w:t>Sanctions controls</w:t>
      </w:r>
    </w:p>
    <w:p>
      <w:pPr>
        <w:pStyle w:val="ListBullet"/>
        <w:spacing w:after="40"/>
      </w:pPr>
      <w:r>
        <w:t>Screen customers and relevant connected parties at onboarding and through controlled rescreening.</w:t>
      </w:r>
    </w:p>
    <w:p>
      <w:pPr>
        <w:pStyle w:val="ListBullet"/>
        <w:spacing w:after="40"/>
      </w:pPr>
      <w:r>
        <w:t>A potential match triggers immediate restriction according to KEP-016/TMP-018 interfaces.</w:t>
      </w:r>
    </w:p>
    <w:p>
      <w:pPr>
        <w:pStyle w:val="ListBullet"/>
        <w:spacing w:after="40"/>
      </w:pPr>
      <w:r>
        <w:t>False-positive clearance requires evidence-based match analysis and, where required, independent checker approval.</w:t>
      </w:r>
    </w:p>
    <w:p>
      <w:pPr>
        <w:pStyle w:val="ListBullet"/>
        <w:spacing w:after="40"/>
      </w:pPr>
      <w:r>
        <w:t>Confirmed or unresolved critical matches are escalated to Head AML Compliance and Legal for action under applicable requirements.</w:t>
      </w:r>
    </w:p>
    <w:p>
      <w:pPr>
        <w:pStyle w:val="ListBullet"/>
        <w:spacing w:after="40"/>
      </w:pPr>
      <w:r>
        <w:t>Do not disclose sensitive screening logic beyond staff with a need to know.</w:t>
      </w:r>
    </w:p>
    <w:p>
      <w:r>
        <w:br w:type="page"/>
      </w:r>
    </w:p>
    <w:p>
      <w:pPr>
        <w:pStyle w:val="Heading1"/>
      </w:pPr>
      <w:r>
        <w:t>12. Transaction Monitoring Framework</w:t>
      </w:r>
    </w:p>
    <w:p>
      <w:pPr>
        <w:spacing w:after="100"/>
      </w:pPr>
      <w:r>
        <w:t>Transaction monitoring uses internal scenarios, rules and investigator judgment to identify activity requiring review. Scenario thresholds are analytic triggers, not legal reporting thresholds.</w:t>
      </w:r>
    </w:p>
    <w:p>
      <w:pPr>
        <w:pStyle w:val="Heading2"/>
      </w:pPr>
      <w:r>
        <w:t>Framework requirements</w:t>
      </w:r>
    </w:p>
    <w:p>
      <w:pPr>
        <w:pStyle w:val="ListBullet"/>
        <w:spacing w:after="40"/>
      </w:pPr>
      <w:r>
        <w:t>Maintain a controlled scenario inventory with version, rationale, population, thresholds, exclusions and owner.</w:t>
      </w:r>
    </w:p>
    <w:p>
      <w:pPr>
        <w:pStyle w:val="ListBullet"/>
        <w:spacing w:after="40"/>
      </w:pPr>
      <w:r>
        <w:t>Coverage shall reflect product, channel and customer-risk changes.</w:t>
      </w:r>
    </w:p>
    <w:p>
      <w:pPr>
        <w:pStyle w:val="ListBullet"/>
        <w:spacing w:after="40"/>
      </w:pPr>
      <w:r>
        <w:t>High-risk customers may be subject to lower internal trigger thresholds or additional scenarios.</w:t>
      </w:r>
    </w:p>
    <w:p>
      <w:pPr>
        <w:pStyle w:val="ListBullet"/>
        <w:spacing w:after="40"/>
      </w:pPr>
      <w:r>
        <w:t>An alert is a review prompt, not a finding of suspicious activity.</w:t>
      </w:r>
    </w:p>
    <w:p>
      <w:pPr>
        <w:pStyle w:val="ListBullet"/>
        <w:spacing w:after="40"/>
      </w:pPr>
      <w:r>
        <w:t>TMP-018 defines current operating thresholds and case handling.</w:t>
      </w:r>
    </w:p>
    <w:p>
      <w:r>
        <w:br w:type="page"/>
      </w:r>
    </w:p>
    <w:p>
      <w:pPr>
        <w:pStyle w:val="Heading1"/>
      </w:pPr>
      <w:r>
        <w:t>13. Alert and Case Management</w:t>
      </w:r>
    </w:p>
    <w:p>
      <w:pPr>
        <w:spacing w:after="100"/>
      </w:pPr>
      <w:r>
        <w:t>Alerts shall be triaged consistently and linked where multiple scenarios or customers relate to the same underlying 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Alert severity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Typical handling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Target triage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L1 Low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Automated/manual triage; clear explainable cases with evidence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 business days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L2 Medium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Investigator review; customer/profile comparison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1 business day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L3 High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Priority investigation, linked-case search, possible EDD request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 business hours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L4 Critical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Immediate active handling; sanctions/fraud/critical risk route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Immediate</w:t>
            </w:r>
          </w:p>
        </w:tc>
      </w:tr>
    </w:tbl>
    <w:p>
      <w:pPr>
        <w:pStyle w:val="Heading2"/>
      </w:pPr>
      <w:r>
        <w:t>Case standards</w:t>
      </w:r>
    </w:p>
    <w:p>
      <w:pPr>
        <w:pStyle w:val="ListBullet"/>
        <w:spacing w:after="40"/>
      </w:pPr>
      <w:r>
        <w:t>Preserve transaction facts, expected activity, customer risk and reviewer analysis.</w:t>
      </w:r>
    </w:p>
    <w:p>
      <w:pPr>
        <w:pStyle w:val="ListBullet"/>
        <w:spacing w:after="40"/>
      </w:pPr>
      <w:r>
        <w:t>Do not close solely because the customer is long-standing or profitable.</w:t>
      </w:r>
    </w:p>
    <w:p>
      <w:pPr>
        <w:pStyle w:val="ListBullet"/>
        <w:spacing w:after="40"/>
      </w:pPr>
      <w:r>
        <w:t>Linked alerts may be consolidated into one case if the rationale and source alerts remain traceable.</w:t>
      </w:r>
    </w:p>
    <w:p>
      <w:r>
        <w:br w:type="page"/>
      </w:r>
    </w:p>
    <w:p>
      <w:pPr>
        <w:pStyle w:val="Heading1"/>
      </w:pPr>
      <w:r>
        <w:t>14. Unusual / Suspicious Activity Investigation</w:t>
      </w:r>
    </w:p>
    <w:p>
      <w:pPr>
        <w:spacing w:after="100"/>
      </w:pPr>
      <w:r>
        <w:t>Investigations seek a reasoned conclusion based on customer profile, transaction facts, counterparties, prior alerts and available evidence. Unusual does not automatically mean suspicious.</w:t>
      </w:r>
    </w:p>
    <w:p>
      <w:pPr>
        <w:pStyle w:val="Heading2"/>
      </w:pPr>
      <w:r>
        <w:t>Investigation steps</w:t>
      </w:r>
    </w:p>
    <w:p>
      <w:pPr>
        <w:pStyle w:val="ListBullet"/>
        <w:spacing w:after="40"/>
      </w:pPr>
      <w:r>
        <w:t>Define the behavior being reviewed and relevant time window.</w:t>
      </w:r>
    </w:p>
    <w:p>
      <w:pPr>
        <w:pStyle w:val="ListBullet"/>
        <w:spacing w:after="40"/>
      </w:pPr>
      <w:r>
        <w:t>Compare observed activity to the expected profile and known source of funds.</w:t>
      </w:r>
    </w:p>
    <w:p>
      <w:pPr>
        <w:pStyle w:val="ListBullet"/>
        <w:spacing w:after="40"/>
      </w:pPr>
      <w:r>
        <w:t>Review related accounts, counterparties, prior alerts and recent onboarding/KYC changes where permitted.</w:t>
      </w:r>
    </w:p>
    <w:p>
      <w:pPr>
        <w:pStyle w:val="ListBullet"/>
        <w:spacing w:after="40"/>
      </w:pPr>
      <w:r>
        <w:t>Request additional KYC/EDD evidence when necessary and proportionate.</w:t>
      </w:r>
    </w:p>
    <w:p>
      <w:pPr>
        <w:pStyle w:val="ListBullet"/>
        <w:spacing w:after="40"/>
      </w:pPr>
      <w:r>
        <w:t>Document both evidence supporting a legitimate explanation and contradictory indicators.</w:t>
      </w:r>
    </w:p>
    <w:p>
      <w:pPr>
        <w:pStyle w:val="ListBullet"/>
        <w:spacing w:after="40"/>
      </w:pPr>
      <w:r>
        <w:t>Select a controlled disposition and route any suspicious-activity referral according to Section 15.</w:t>
      </w:r>
    </w:p>
    <w:p>
      <w:r>
        <w:br w:type="page"/>
      </w:r>
    </w:p>
    <w:p>
      <w:pPr>
        <w:pStyle w:val="Heading1"/>
      </w:pPr>
      <w:r>
        <w:t>15. External Reporting Decision Governance</w:t>
      </w:r>
    </w:p>
    <w:p>
      <w:pPr>
        <w:spacing w:after="100"/>
      </w:pPr>
      <w:r>
        <w:t>Where an investigation may require external reporting or another legally sensitive action, the decision is restricted to authorized AML/Legal roles using current applicable requirements. This Policy does not specify external reporting thresholds or deadlines.</w:t>
      </w:r>
    </w:p>
    <w:p>
      <w:pPr>
        <w:pStyle w:val="Heading2"/>
      </w:pPr>
      <w:r>
        <w:t>Governance</w:t>
      </w:r>
    </w:p>
    <w:p>
      <w:pPr>
        <w:pStyle w:val="ListBullet"/>
        <w:spacing w:after="40"/>
      </w:pPr>
      <w:r>
        <w:t>Investigators may recommend an internal suspicious-activity referral but do not make external reporting decisions unless specifically authorized.</w:t>
      </w:r>
    </w:p>
    <w:p>
      <w:pPr>
        <w:pStyle w:val="ListBullet"/>
        <w:spacing w:after="40"/>
      </w:pPr>
      <w:r>
        <w:t>Head AML Compliance (or formally designated deputy) owns the final internal reporting decision with Legal consultation where required.</w:t>
      </w:r>
    </w:p>
    <w:p>
      <w:pPr>
        <w:pStyle w:val="ListBullet"/>
        <w:spacing w:after="40"/>
      </w:pPr>
      <w:r>
        <w:t>Do not inform the customer of confidential internal reporting deliberations unless authorized.</w:t>
      </w:r>
    </w:p>
    <w:p>
      <w:pPr>
        <w:pStyle w:val="ListBullet"/>
        <w:spacing w:after="40"/>
      </w:pPr>
      <w:r>
        <w:t>Evidence and decision rationale shall be retained in the restricted AML case system.</w:t>
      </w:r>
    </w:p>
    <w:p>
      <w:r>
        <w:br w:type="page"/>
      </w:r>
    </w:p>
    <w:p>
      <w:pPr>
        <w:pStyle w:val="Heading1"/>
      </w:pPr>
      <w:r>
        <w:t>16. High-Risk Customers and Enhanced Monitoring</w:t>
      </w:r>
    </w:p>
    <w:p>
      <w:pPr>
        <w:spacing w:after="100"/>
      </w:pPr>
      <w:r>
        <w:t>High-risk relationships receive more frequent review and monitoring proportionate to the reason for elevated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High-risk driver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Enhanced control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Confirmed PEP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Annual review, SOF/SOW, senior approval, enhanced monitoring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Complex/opaque ownership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Ownership refresh, EDD evidence, linked-party monitoring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High-risk geography/channel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Scenario overlays and targeted review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Prior material AML case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Enhanced monitoring period and approval for normalization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Repeated unexplained third-party transfers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SOF inquiry, counterparty analysis, potential activity restriction</w:t>
            </w:r>
          </w:p>
        </w:tc>
      </w:tr>
    </w:tbl>
    <w:p>
      <w:r>
        <w:br w:type="page"/>
      </w:r>
    </w:p>
    <w:p>
      <w:pPr>
        <w:pStyle w:val="Heading1"/>
      </w:pPr>
      <w:r>
        <w:t>17. Scenario Tuning and Model/Rule Governance</w:t>
      </w:r>
    </w:p>
    <w:p>
      <w:pPr>
        <w:spacing w:after="100"/>
      </w:pPr>
      <w:r>
        <w:t>Monitoring scenarios shall be tuned to reduce both missed risk and unproductive alert volume without weakening coverage for commercial reasons.</w:t>
      </w:r>
    </w:p>
    <w:p>
      <w:pPr>
        <w:pStyle w:val="Heading2"/>
      </w:pPr>
      <w:r>
        <w:t>Tuning governance</w:t>
      </w:r>
    </w:p>
    <w:p>
      <w:pPr>
        <w:pStyle w:val="ListBullet"/>
        <w:spacing w:after="40"/>
      </w:pPr>
      <w:r>
        <w:t>Threshold changes require documented analysis, test population and approval by Head Transaction Monitoring or Head AML Compliance according to materiality.</w:t>
      </w:r>
    </w:p>
    <w:p>
      <w:pPr>
        <w:pStyle w:val="ListBullet"/>
        <w:spacing w:after="40"/>
      </w:pPr>
      <w:r>
        <w:t>A threshold increase that reduces alert volume must show why risk coverage remains adequate.</w:t>
      </w:r>
    </w:p>
    <w:p>
      <w:pPr>
        <w:pStyle w:val="ListBullet"/>
        <w:spacing w:after="40"/>
      </w:pPr>
      <w:r>
        <w:t>A threshold decrease may be implemented as an interim risk response subject to retrospective validation.</w:t>
      </w:r>
    </w:p>
    <w:p>
      <w:pPr>
        <w:pStyle w:val="ListBullet"/>
        <w:spacing w:after="40"/>
      </w:pPr>
      <w:r>
        <w:t>Historical alerts retain the scenario version that generated them.</w:t>
      </w:r>
    </w:p>
    <w:p>
      <w:pPr>
        <w:pStyle w:val="ListBullet"/>
        <w:spacing w:after="40"/>
      </w:pPr>
      <w:r>
        <w:t>Changes affecting multiple products or material customer populations are reported to the AML Committee/financial-crime governance forum.</w:t>
      </w:r>
    </w:p>
    <w:p>
      <w:r>
        <w:br w:type="page"/>
      </w:r>
    </w:p>
    <w:p>
      <w:pPr>
        <w:pStyle w:val="Heading1"/>
      </w:pPr>
      <w:r>
        <w:t>18. Training and Employee Responsibilities</w:t>
      </w:r>
    </w:p>
    <w:p>
      <w:pPr>
        <w:spacing w:after="100"/>
      </w:pPr>
      <w:r>
        <w:t>All employees must understand the controls relevant to their role and escalate unusual or prohibited activity without conducting unauthorized investigations.</w:t>
      </w:r>
    </w:p>
    <w:p>
      <w:pPr>
        <w:pStyle w:val="Heading2"/>
      </w:pPr>
      <w:r>
        <w:t>Training baseline</w:t>
      </w:r>
    </w:p>
    <w:p>
      <w:pPr>
        <w:pStyle w:val="ListBullet"/>
        <w:spacing w:after="40"/>
      </w:pPr>
      <w:r>
        <w:t>Annual AML awareness for all employees.</w:t>
      </w:r>
    </w:p>
    <w:p>
      <w:pPr>
        <w:pStyle w:val="ListBullet"/>
        <w:spacing w:after="40"/>
      </w:pPr>
      <w:r>
        <w:t>Role-based training for KYC, Operations, Credit, Customer Service and AML investigators.</w:t>
      </w:r>
    </w:p>
    <w:p>
      <w:pPr>
        <w:pStyle w:val="ListBullet"/>
        <w:spacing w:after="40"/>
      </w:pPr>
      <w:r>
        <w:t>New joiners in high-risk roles complete role training before independent processing.</w:t>
      </w:r>
    </w:p>
    <w:p>
      <w:pPr>
        <w:pStyle w:val="ListBullet"/>
        <w:spacing w:after="40"/>
      </w:pPr>
      <w:r>
        <w:t>Training records include completion date, module version and assessment result.</w:t>
      </w:r>
    </w:p>
    <w:p>
      <w:pPr>
        <w:pStyle w:val="ListBullet"/>
        <w:spacing w:after="40"/>
      </w:pPr>
      <w:r>
        <w:t>Employees shall not promise customers that an AML hold will be cleared within a commercial SLA.</w:t>
      </w:r>
    </w:p>
    <w:p>
      <w:r>
        <w:br w:type="page"/>
      </w:r>
    </w:p>
    <w:p>
      <w:pPr>
        <w:pStyle w:val="Heading1"/>
      </w:pPr>
      <w:r>
        <w:t>19. Quality Assurance, Testing and Internal Audit</w:t>
      </w:r>
    </w:p>
    <w:p>
      <w:pPr>
        <w:spacing w:after="100"/>
      </w:pPr>
      <w:r>
        <w:t>Assurance activities are separate from first-line case production and are risk-based.</w:t>
      </w:r>
    </w:p>
    <w:p>
      <w:pPr>
        <w:pStyle w:val="Heading2"/>
      </w:pPr>
      <w:r>
        <w:t>Assurance</w:t>
      </w:r>
    </w:p>
    <w:p>
      <w:pPr>
        <w:pStyle w:val="ListBullet"/>
        <w:spacing w:after="40"/>
      </w:pPr>
      <w:r>
        <w:t>AML QA reviews alert dispositions, case narratives, escalation timeliness and evidence sufficiency.</w:t>
      </w:r>
    </w:p>
    <w:p>
      <w:pPr>
        <w:pStyle w:val="ListBullet"/>
        <w:spacing w:after="40"/>
      </w:pPr>
      <w:r>
        <w:t>Independent Compliance Testing evaluates control design and operating effectiveness across screening, monitoring and EDD.</w:t>
      </w:r>
    </w:p>
    <w:p>
      <w:pPr>
        <w:pStyle w:val="ListBullet"/>
        <w:spacing w:after="40"/>
      </w:pPr>
      <w:r>
        <w:t>Internal Audit may assess end-to-end governance, including board reporting, data lineage and issue remediation.</w:t>
      </w:r>
    </w:p>
    <w:p>
      <w:pPr>
        <w:pStyle w:val="ListBullet"/>
        <w:spacing w:after="40"/>
      </w:pPr>
      <w:r>
        <w:t>Material failures require tracked remediation with owner, due date and validation.</w:t>
      </w:r>
    </w:p>
    <w:p>
      <w:r>
        <w:br w:type="page"/>
      </w:r>
    </w:p>
    <w:p>
      <w:pPr>
        <w:pStyle w:val="Heading1"/>
      </w:pPr>
      <w:r>
        <w:t>20. Recordkeeping and Confidentiality</w:t>
      </w:r>
    </w:p>
    <w:p>
      <w:pPr>
        <w:spacing w:after="100"/>
      </w:pPr>
      <w:r>
        <w:t>AML records are confidential and access-controlled. Internal retention periods are control baselines and may be extended by legal hold or investigation need.</w:t>
      </w:r>
    </w:p>
    <w:p>
      <w:pPr>
        <w:pStyle w:val="Heading2"/>
      </w:pPr>
      <w:r>
        <w:t>Internal baseline</w:t>
      </w:r>
    </w:p>
    <w:p>
      <w:pPr>
        <w:pStyle w:val="ListBullet"/>
        <w:spacing w:after="40"/>
      </w:pPr>
      <w:r>
        <w:t>Retain core AML case, screening and approval records for 8 years after relationship closure or case completion, whichever is later, unless a longer hold applies.</w:t>
      </w:r>
    </w:p>
    <w:p>
      <w:pPr>
        <w:pStyle w:val="ListBullet"/>
        <w:spacing w:after="40"/>
      </w:pPr>
      <w:r>
        <w:t>Restrict detailed investigation notes to AML/authorized functions; operational systems should expose only status and permitted action where feasible.</w:t>
      </w:r>
    </w:p>
    <w:p>
      <w:pPr>
        <w:pStyle w:val="ListBullet"/>
        <w:spacing w:after="40"/>
      </w:pPr>
      <w:r>
        <w:t>Do not copy case narratives into ordinary email or customer-service notes.</w:t>
      </w:r>
    </w:p>
    <w:p>
      <w:pPr>
        <w:pStyle w:val="ListBullet"/>
        <w:spacing w:after="40"/>
      </w:pPr>
      <w:r>
        <w:t>Audit trails shall capture status changes, decisions and approvals.</w:t>
      </w:r>
    </w:p>
    <w:p>
      <w:r>
        <w:br w:type="page"/>
      </w:r>
    </w:p>
    <w:p>
      <w:pPr>
        <w:pStyle w:val="Heading1"/>
      </w:pPr>
      <w:r>
        <w:t>21. Breaches, Escalation and Management Information</w:t>
      </w:r>
    </w:p>
    <w:p>
      <w:pPr>
        <w:spacing w:after="100"/>
      </w:pPr>
      <w:r>
        <w:t>Control breaches are reported based on severity and customer/risk impact, even if the underlying customer activity is ultimately legitimate.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Breach / indicator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Minimum escalation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Disbursement while mandatory AML hold open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Immediate Head AML Compliance + COO/CRO notification; control incident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Unauthorized sanctions clearance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Critical incident; restrict affected cases; investigation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Material monitoring scenario failure/data gap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Head AML Compliance; Enterprise Risk; remediation plan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Persistent aged high-risk alerts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Management escalation and capacity/control response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Repeated first-line failure to provide requested KYC/EDD evidence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Business Head + Compliance issue management</w:t>
            </w:r>
          </w:p>
        </w:tc>
      </w:tr>
    </w:tbl>
    <w:p>
      <w:r>
        <w:br w:type="page"/>
      </w:r>
    </w:p>
    <w:p>
      <w:pPr>
        <w:pStyle w:val="Heading1"/>
      </w:pPr>
      <w:r>
        <w:t>22. Historical and Transitional Treatment</w:t>
      </w:r>
    </w:p>
    <w:p>
      <w:pPr>
        <w:spacing w:after="100"/>
      </w:pPr>
      <w:r>
        <w:t>Historical parameter differences are retained so earlier alerts and risk-review dates can be interpreted correctly.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Historical rule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Transition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AML-003 v2.1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High-risk periodic review baseline up to 18 months.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v2.2 moves to 12 months. Existing v2.1 due dates must be brought forward so no High-risk review remains later than 31 Dec 2025.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Legacy PEP approval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Some v2.1 cases show Head Compliance approval only.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Do not reopen solely for missing Business Head acknowledgement unless current review/trigger requires it.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Legacy monitoring scenario references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Older alerts cite scenario IDs without version suffix.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 alert generation date and TMP-018 history to identify applicable parameters.</w:t>
            </w:r>
          </w:p>
        </w:tc>
      </w:tr>
    </w:tbl>
    <w:p>
      <w:r>
        <w:br w:type="page"/>
      </w:r>
    </w:p>
    <w:p>
      <w:pPr>
        <w:pStyle w:val="Heading1"/>
      </w:pPr>
      <w:r>
        <w:t>Appendix A. AML Customer Risk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Illustrative lower-risk factor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Illustrative higher-risk factor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Customer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Simple salaried profile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PEP/complex ownership/adverse internal history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Routine amortizing loan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High-liquidity/third-party funding features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Channel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Established branch/known customer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Non-face-to-face with anomalies/intermediary concentration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Geography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Domestic ordinary pattern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Unusual cross-border/internal high-risk location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Behavior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Stable expected activity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Rapid movement/unexplained third parties/structuring indicators</w:t>
            </w:r>
          </w:p>
        </w:tc>
      </w:tr>
    </w:tbl>
    <w:p>
      <w:r>
        <w:br w:type="page"/>
      </w:r>
    </w:p>
    <w:p>
      <w:pPr>
        <w:pStyle w:val="Heading1"/>
      </w:pPr>
      <w:r>
        <w:t>Appendix B. Internal Monitoring Trigger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Scenario family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Illustrative current internal trigger</w:t>
            </w:r>
          </w:p>
        </w:tc>
        <w:tc>
          <w:tcPr>
            <w:tcW w:type="dxa" w:w="3389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Rapid movement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≥₹5 lakh credits with ≥80% outbound within 48h; lower threshold for High risk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Analytic trigger only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Multiple third parties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≥8 distinct third-party credits totaling ≥₹4 lakh in 7 days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Profile/context review required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Cash concentration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≥₹7.5 lakh cash in 30 days where product permits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Not a legal reporting threshold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New relationship velocity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First 7-day turnover ≥3x expected and ≥₹3 lakh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Compare to expected activity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Cross-border unusual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≥₹10 lakh in 30 days plus geography/profile risk indicator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Can alert below threshold if behavior is otherwise unusual</w:t>
            </w:r>
          </w:p>
        </w:tc>
      </w:tr>
    </w:tbl>
    <w:p>
      <w:r>
        <w:br w:type="page"/>
      </w:r>
    </w:p>
    <w:p>
      <w:pPr>
        <w:pStyle w:val="Heading1"/>
      </w:pPr>
      <w:r>
        <w:t>Appendix C. Governance and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Authority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New AML Policy / material amendment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Board Risk Committee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Confirmed PEP new relationship risk acceptance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Head AML Compliance + Business Head acknowledgement; KYC approval also required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Critical sanctions disposition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Head AML Compliance / authorized sanctions authority + checker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Material scenario parameter change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Head AML Compliance or delegated governance forum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External reporting decision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Head AML Compliance/designated authorized role with Legal as required</w:t>
            </w:r>
          </w:p>
        </w:tc>
      </w:tr>
    </w:tbl>
    <w:p>
      <w:r>
        <w:br w:type="page"/>
      </w:r>
    </w:p>
    <w:p>
      <w:pPr>
        <w:pStyle w:val="Heading1"/>
      </w:pPr>
      <w:r>
        <w:t>Appendix D. Illustrative Investigative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Observed activity</w:t>
            </w:r>
          </w:p>
        </w:tc>
        <w:tc>
          <w:tcPr>
            <w:tcW w:type="dxa" w:w="5083"/>
            <w:shd w:fill="5A24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Possible outcome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Large third-party transfer supported by documented property sale and expected profile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Explainable; close with evidence, consider profile update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Rapid movement inconsistent with stated income and multiple unrelated counterparties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Escalate investigation / EDD; potential suspicious-activity referral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PEP customer receives expected salary and investment income within documented profile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Continue enhanced monitoring; no adverse conclusion solely due to PEP status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Potential sanctions alert cleared by DOB and entity identifier mismatch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shd w:fill="F2E2E2"/>
            <w:vAlign w:val="top"/>
          </w:tcPr>
          <w:p>
            <w:pPr>
              <w:spacing w:after="0"/>
            </w:pPr>
            <w:r>
              <w:rPr>
                <w:sz w:val="17"/>
              </w:rPr>
              <w:t>False positive; retain match analysis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Loan repaid early by unrelated third party with no clear relationship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Investigate source/rationale; possible AML/fraud referral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Northstar Financial — Synthetic Internal Document  |  </w:t>
    </w:r>
    <w:r>
      <w:fldChar w:fldCharType="begin"/>
      <w:instrText xml:space="preserve"> PAGE </w:instrText>
      <w:fldChar w:fldCharType="end"/>
    </w:r>
    <w:r>
      <w:rPr>
        <w:sz w:val="14"/>
      </w:rPr>
      <w:t xml:space="preserve">  |  AML-003 v2.2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A2424"/>
        <w:sz w:val="15"/>
      </w:rPr>
      <w:t>NORTHSTAR FINANCIAL  |  AML-003  |  v2.2  |  Internal —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A24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5A24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A242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5A242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