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b/>
          <w:sz w:val="40"/>
        </w:rPr>
        <w:t>NORTHSTAR FINANCIAL</w:t>
      </w:r>
    </w:p>
    <w:p>
      <w:pPr>
        <w:jc w:val="center"/>
      </w:pPr>
      <w:r>
        <w:rPr>
          <w:b/>
          <w:sz w:val="38"/>
        </w:rPr>
        <w:t>AML Transaction Monitoring Procedure</w:t>
      </w:r>
    </w:p>
    <w:p>
      <w:pPr>
        <w:jc w:val="center"/>
      </w:pPr>
      <w:r>
        <w:rPr>
          <w:b/>
          <w:sz w:val="24"/>
        </w:rPr>
        <w:t>ATM-031</w:t>
      </w:r>
    </w:p>
    <w:p>
      <w:pPr>
        <w:jc w:val="center"/>
      </w:pPr>
      <w:r>
        <w:rPr>
          <w:b/>
        </w:rPr>
        <w:t>Version 1.3  |  Effective 15 September 2025</w:t>
      </w:r>
    </w:p>
    <w:p>
      <w:pPr>
        <w:jc w:val="center"/>
      </w:pPr>
      <w:r>
        <w:rPr>
          <w:b/>
        </w:rPr>
        <w:t>Classification: INTERNAL — CONTROLLED</w:t>
      </w:r>
    </w:p>
    <w:p>
      <w:pPr>
        <w:spacing w:before="280"/>
        <w:jc w:val="center"/>
      </w:pPr>
      <w:r>
        <w:rPr>
          <w:i/>
          <w:sz w:val="17"/>
        </w:rPr>
        <w:t>Northstar Financial — Synthetic Internal Document. This document is fictional and created solely for educational and software-development purposes. It does not represent an actual financial institution, regulatory requirement, legal obligation, or financial advice.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Document ID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ATM-031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Document Title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AML Transaction Monitoring Procedure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1.3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Policy / Procedure Owner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Farah Qureshi — Head of AML Monitoring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Business Unit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AML Compliance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Approving Authority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Rohan Batra — Chief AML Officer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Effective Date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15 September 2025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Previous Version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1.2 — 1 October 2024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Review Frequency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Annual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Classification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INTERNAL — CONTROLLED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Approved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Supersedes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ATM-031 v1.2</w:t>
            </w:r>
          </w:p>
        </w:tc>
      </w:tr>
      <w:tr>
        <w:tc>
          <w:tcPr>
            <w:tcW w:type="dxa" w:w="302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Related Documents</w:t>
            </w:r>
          </w:p>
        </w:tc>
        <w:tc>
          <w:tcPr>
            <w:tcW w:type="dxa" w:w="691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AML-003 v2.2; KYC-004 v2.1; KEP-022 v1.1; CDD-005 (future); EDD-032 (future)</w:t>
            </w:r>
          </w:p>
        </w:tc>
      </w:tr>
    </w:tbl>
    <w:p>
      <w:pPr>
        <w:spacing w:after="20"/>
      </w:pPr>
    </w:p>
    <w:p>
      <w:pPr>
        <w:pStyle w:val="Heading2"/>
      </w:pPr>
      <w:r>
        <w:t>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Role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Name / Committee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Decision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Date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Approving Authority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Rohan Batra — Chief AML Officer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2 September 2025</w:t>
            </w:r>
          </w:p>
        </w:tc>
      </w:tr>
      <w:tr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Procedure Owner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Farah Qureshi — Head of AML Monitoring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Issued</w:t>
            </w:r>
          </w:p>
        </w:tc>
        <w:tc>
          <w:tcPr>
            <w:tcW w:type="dxa" w:w="2592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8 September 2025</w:t>
            </w:r>
          </w:p>
        </w:tc>
      </w:tr>
    </w:tbl>
    <w:p>
      <w:pPr>
        <w:spacing w:after="2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Version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Effective date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Change summary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1.0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 February 2023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Initial transaction-monitoring workflow.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1.2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 October 2024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Added risk-tier thresholds and linked-alert case management.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1.3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15 September 2025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Aligned thresholds to AML-003 v2.2; revised severity, triage, suppression and quality controls.</w:t>
            </w:r>
          </w:p>
        </w:tc>
      </w:tr>
    </w:tbl>
    <w:p>
      <w:pPr>
        <w:spacing w:after="20"/>
      </w:pPr>
    </w:p>
    <w:p>
      <w:pPr>
        <w:ind w:left="259" w:right="259"/>
      </w:pPr>
      <w:r>
        <w:rPr>
          <w:i/>
          <w:sz w:val="16"/>
        </w:rPr>
        <w:t>Controlled copies are maintained in the Northstar Financial policy repository. Printed or locally saved copies are uncontrolled unless explicitly marked otherwise.</w:t>
      </w:r>
    </w:p>
    <w:p>
      <w:pPr>
        <w:pStyle w:val="Heading1"/>
      </w:pPr>
      <w:r>
        <w:t>Contents</w:t>
      </w:r>
    </w:p>
    <w:p>
      <w:r>
        <w:t>1. Purpose and Scope</w:t>
      </w:r>
    </w:p>
    <w:p>
      <w:r>
        <w:t>2. Monitoring Roles</w:t>
      </w:r>
    </w:p>
    <w:p>
      <w:r>
        <w:t>3. Data Inputs and Daily Control</w:t>
      </w:r>
    </w:p>
    <w:p>
      <w:r>
        <w:t>4. Scenario Inventory and Ownership</w:t>
      </w:r>
    </w:p>
    <w:p>
      <w:r>
        <w:t>5. Alert Generation</w:t>
      </w:r>
    </w:p>
    <w:p>
      <w:r>
        <w:t>6. Risk-Based Thresholds</w:t>
      </w:r>
    </w:p>
    <w:p>
      <w:r>
        <w:t>7. Alert Severity and Queue Prioritization</w:t>
      </w:r>
    </w:p>
    <w:p>
      <w:r>
        <w:t>8. Triage Workflow</w:t>
      </w:r>
    </w:p>
    <w:p>
      <w:r>
        <w:t>9. High-Value Activity</w:t>
      </w:r>
    </w:p>
    <w:p>
      <w:r>
        <w:t>10. Structuring</w:t>
      </w:r>
    </w:p>
    <w:p>
      <w:r>
        <w:t>11. Rapid Movement of Funds</w:t>
      </w:r>
    </w:p>
    <w:p>
      <w:r>
        <w:t>12. Third-Party Transfers</w:t>
      </w:r>
    </w:p>
    <w:p>
      <w:r>
        <w:t>13. Cross-Border Activity</w:t>
      </w:r>
    </w:p>
    <w:p>
      <w:r>
        <w:t>14. Dormant and Newly Active Relationships</w:t>
      </w:r>
    </w:p>
    <w:p>
      <w:r>
        <w:t>15. Linked Alerts and Case Creation</w:t>
      </w:r>
    </w:p>
    <w:p>
      <w:r>
        <w:t>16. Customer Profile Review</w:t>
      </w:r>
    </w:p>
    <w:p>
      <w:r>
        <w:t>17. Customer Contact and Information Requests</w:t>
      </w:r>
    </w:p>
    <w:p>
      <w:r>
        <w:t>18. Investigation Analysis</w:t>
      </w:r>
    </w:p>
    <w:p>
      <w:r>
        <w:t>19. Disposition and Escalation</w:t>
      </w:r>
    </w:p>
    <w:p>
      <w:r>
        <w:t>20. False Positives and Suppression</w:t>
      </w:r>
    </w:p>
    <w:p>
      <w:r>
        <w:t>21. Scenario Tuning and Change Control</w:t>
      </w:r>
    </w:p>
    <w:p>
      <w:r>
        <w:t>22. Quality Assurance</w:t>
      </w:r>
    </w:p>
    <w:p>
      <w:r>
        <w:t>23. Backlogs, Aging and Escalation</w:t>
      </w:r>
    </w:p>
    <w:p>
      <w:r>
        <w:t>24. Records and Management Information</w:t>
      </w:r>
    </w:p>
    <w:p>
      <w:r>
        <w:t>25. Transition and Historical Processing</w:t>
      </w:r>
    </w:p>
    <w:p>
      <w:r>
        <w:t>Appendix A. Scenario Threshold Matrix</w:t>
      </w:r>
    </w:p>
    <w:p>
      <w:r>
        <w:t>Appendix B. Alert Triage Checklist</w:t>
      </w:r>
    </w:p>
    <w:p>
      <w:r>
        <w:t>Appendix C. Disposition Codes</w:t>
      </w:r>
    </w:p>
    <w:p>
      <w:r>
        <w:t>Appendix D. Quality Review Matrix</w:t>
      </w:r>
    </w:p>
    <w:p>
      <w:r>
        <w:t>Appendix E. Worked Monitoring Scenarios</w:t>
      </w:r>
    </w:p>
    <w:p>
      <w:pPr>
        <w:ind w:left="259" w:right="259"/>
      </w:pPr>
      <w:r>
        <w:rPr>
          <w:i/>
          <w:sz w:val="16"/>
        </w:rPr>
        <w:t>Section numbering in this document is authoritative. Cross-references are subject to the version and effective-date rules stated in the referenced document.</w:t>
      </w:r>
    </w:p>
    <w:p>
      <w:pPr>
        <w:pStyle w:val="Heading1"/>
      </w:pPr>
      <w:r>
        <w:t>1. Purpose and Scope</w:t>
      </w:r>
    </w:p>
    <w:p>
      <w:r>
        <w:t>This Procedure defines how AML transaction-monitoring alerts are generated, prioritized, reviewed, investigated, dispositioned and escalated. It operationalizes AML-003 and applies to monitoring scenarios designated as in scope by AML Compliance.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An alert is not proof of suspicious activity.</w:t>
      </w:r>
    </w:p>
    <w:p>
      <w:pPr>
        <w:ind w:left="259" w:hanging="202"/>
      </w:pPr>
      <w:r>
        <w:rPr>
          <w:b/>
        </w:rPr>
        <w:t xml:space="preserve">• </w:t>
      </w:r>
      <w:r>
        <w:t>Analysts shall use customer context and transaction evidence while maintaining independent judgement.</w:t>
      </w:r>
    </w:p>
    <w:p>
      <w:pPr>
        <w:ind w:left="259" w:hanging="202"/>
      </w:pPr>
      <w:r>
        <w:rPr>
          <w:b/>
        </w:rPr>
        <w:t xml:space="preserve">• </w:t>
      </w:r>
      <w:r>
        <w:t>Monitoring controls may differ by product, customer risk and data availability, provided AML governance has approved the design.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Scenario inventory, alert population, case-management record.</w:t>
      </w:r>
    </w:p>
    <w:p>
      <w:pPr>
        <w:pStyle w:val="Heading1"/>
      </w:pPr>
      <w:r>
        <w:t>2. Monitoring Roles</w:t>
      </w:r>
    </w:p>
    <w:p>
      <w:r>
        <w:t>AML Monitoring operates the alert workflow. Scenario owners maintain scenario logic; analysts perform triage and investigation; reviewers approve designated dispositions; AML leadership owns material escalation.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Analysts shall not approve their own High or Critical case escalation closure.</w:t>
      </w:r>
    </w:p>
    <w:p>
      <w:pPr>
        <w:ind w:left="259" w:hanging="202"/>
      </w:pPr>
      <w:r>
        <w:rPr>
          <w:b/>
        </w:rPr>
        <w:t xml:space="preserve">• </w:t>
      </w:r>
      <w:r>
        <w:t>Business relationship staff may explain activity but shall not direct AML disposition.</w:t>
      </w:r>
    </w:p>
    <w:p>
      <w:pPr>
        <w:ind w:left="259" w:hanging="202"/>
      </w:pPr>
      <w:r>
        <w:rPr>
          <w:b/>
        </w:rPr>
        <w:t xml:space="preserve">• </w:t>
      </w:r>
      <w:r>
        <w:t>Technology may implement rules but does not own AML threshold decisions.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Role matrix, queue entitlements, reviewer assignment.</w:t>
      </w:r>
    </w:p>
    <w:p>
      <w:pPr>
        <w:pStyle w:val="Heading1"/>
      </w:pPr>
      <w:r>
        <w:t>3. Data Inputs and Daily Control</w:t>
      </w:r>
    </w:p>
    <w:p>
      <w:r>
        <w:t>Monitoring depends on complete and timely transaction, customer, account, product and risk data. Daily controls shall identify missing or delayed feeds.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Feed reconciliation shall compare expected and received transaction counts and dates.</w:t>
      </w:r>
    </w:p>
    <w:p>
      <w:pPr>
        <w:ind w:left="259" w:hanging="202"/>
      </w:pPr>
      <w:r>
        <w:rPr>
          <w:b/>
        </w:rPr>
        <w:t xml:space="preserve">• </w:t>
      </w:r>
      <w:r>
        <w:t>Material data gaps shall be escalated before analysts are told that monitoring is complete for the affected period.</w:t>
      </w:r>
    </w:p>
    <w:p>
      <w:pPr>
        <w:ind w:left="259" w:hanging="202"/>
      </w:pPr>
      <w:r>
        <w:rPr>
          <w:b/>
        </w:rPr>
        <w:t xml:space="preserve">• </w:t>
      </w:r>
      <w:r>
        <w:t>Where a data gap is corrected later, back-processing shall be performed where feasible and risk-based retrospective review considered.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Feed control, reconciliation result, incident ticket, back-processing log.</w:t>
      </w:r>
    </w:p>
    <w:p>
      <w:pPr>
        <w:pStyle w:val="Heading1"/>
      </w:pPr>
      <w:r>
        <w:t>4. Scenario Inventory and Ownership</w:t>
      </w:r>
    </w:p>
    <w:p>
      <w:r>
        <w:t>Each active scenario shall have a unique identifier, documented risk objective, input data, thresholds, exclusions, owner and approval history.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Dormant or retired scenarios remain in the historical inventory with retirement date and reason.</w:t>
      </w:r>
    </w:p>
    <w:p>
      <w:pPr>
        <w:ind w:left="259" w:hanging="202"/>
      </w:pPr>
      <w:r>
        <w:rPr>
          <w:b/>
        </w:rPr>
        <w:t xml:space="preserve">• </w:t>
      </w:r>
      <w:r>
        <w:t>Temporary parameter changes require expiry or review date.</w:t>
      </w:r>
    </w:p>
    <w:p>
      <w:pPr>
        <w:ind w:left="259" w:hanging="202"/>
      </w:pPr>
      <w:r>
        <w:rPr>
          <w:b/>
        </w:rPr>
        <w:t xml:space="preserve">• </w:t>
      </w:r>
      <w:r>
        <w:t>Material logic changes require testing before production.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Scenario register, change history, owner attestation.</w:t>
      </w:r>
    </w:p>
    <w:p>
      <w:pPr>
        <w:pStyle w:val="Heading1"/>
      </w:pPr>
      <w:r>
        <w:t>5. Alert Generation</w:t>
      </w:r>
    </w:p>
    <w:p>
      <w:r>
        <w:t>Alerts are generated when scenario conditions are met using the production parameter set active for the transaction-processing date.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Alert ID shall be unique and linked to customer and relevant transactions.</w:t>
      </w:r>
    </w:p>
    <w:p>
      <w:pPr>
        <w:ind w:left="259" w:hanging="202"/>
      </w:pPr>
      <w:r>
        <w:rPr>
          <w:b/>
        </w:rPr>
        <w:t xml:space="preserve">• </w:t>
      </w:r>
      <w:r>
        <w:t>Suppressed alerts shall remain traceable in system logs.</w:t>
      </w:r>
    </w:p>
    <w:p>
      <w:pPr>
        <w:ind w:left="259" w:hanging="202"/>
      </w:pPr>
      <w:r>
        <w:rPr>
          <w:b/>
        </w:rPr>
        <w:t xml:space="preserve">• </w:t>
      </w:r>
      <w:r>
        <w:t>System failure resulting in missed alert generation shall be treated as an AML control incident.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Alert ID, triggering transactions, parameter version, generation timestamp.</w:t>
      </w:r>
    </w:p>
    <w:p>
      <w:pPr>
        <w:pStyle w:val="Heading1"/>
      </w:pPr>
      <w:r>
        <w:t>6. Risk-Based Thresholds</w:t>
      </w:r>
    </w:p>
    <w:p>
      <w:r>
        <w:t>Thresholds are calibrated to customer and product risk. The Procedure applies the AML-003 v2.2 retail high-value thresholds from 15 September 2025 and retains the prior values for historical alert interpretation.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Low/Medium retail single high-value trigger: ₹10 lakh from 15 September 2025.</w:t>
      </w:r>
    </w:p>
    <w:p>
      <w:pPr>
        <w:ind w:left="259" w:hanging="202"/>
      </w:pPr>
      <w:r>
        <w:rPr>
          <w:b/>
        </w:rPr>
        <w:t xml:space="preserve">• </w:t>
      </w:r>
      <w:r>
        <w:t>High-risk retail single high-value trigger: ₹5 lakh from 15 September 2025.</w:t>
      </w:r>
    </w:p>
    <w:p>
      <w:pPr>
        <w:ind w:left="259" w:hanging="202"/>
      </w:pPr>
      <w:r>
        <w:rPr>
          <w:b/>
        </w:rPr>
        <w:t xml:space="preserve">• </w:t>
      </w:r>
      <w:r>
        <w:t>SME/business thresholds are based on turnover and expected activity, with absolute guardrails defined in scenario configuration.</w:t>
      </w:r>
    </w:p>
    <w:p>
      <w:pPr>
        <w:ind w:left="259" w:hanging="202"/>
      </w:pPr>
      <w:r>
        <w:rPr>
          <w:b/>
        </w:rPr>
        <w:t xml:space="preserve">• </w:t>
      </w:r>
      <w:r>
        <w:t>Threshold crossing is a review trigger, not an automatic suspicious-activity conclusion.</w:t>
      </w:r>
    </w:p>
    <w:p>
      <w:pPr>
        <w:pStyle w:val="Heading2"/>
      </w:pPr>
      <w:r>
        <w:t>Key monitoring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Population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v1.2 threshold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v1.3 threshold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Low/Medium retail high value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₹12 lakh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₹10 lakh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High-risk retail high value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₹6 lakh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₹5 lakh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Cumulative structuring reference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₹10 lakh / 7 days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₹10 lakh / 7 days, plus pattern score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Rapid movement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70% within 48h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70% within 24h for High risk; 48h otherwise</w:t>
            </w:r>
          </w:p>
        </w:tc>
      </w:tr>
    </w:tbl>
    <w:p>
      <w:pPr>
        <w:spacing w:after="20"/>
      </w:pP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Parameter set, customer risk at generation, scenario version.</w:t>
      </w:r>
    </w:p>
    <w:p>
      <w:pPr>
        <w:pStyle w:val="Heading1"/>
      </w:pPr>
      <w:r>
        <w:t>7. Alert Severity and Queue Prioritization</w:t>
      </w:r>
    </w:p>
    <w:p>
      <w:r>
        <w:t>Alert severity is assigned using scenario type, customer risk, amount, screening/PEP flags and linked-alert history.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Critical alerts move ahead of lower-severity work except where a legal or system constraint prevents it.</w:t>
      </w:r>
    </w:p>
    <w:p>
      <w:pPr>
        <w:ind w:left="259" w:hanging="202"/>
      </w:pPr>
      <w:r>
        <w:rPr>
          <w:b/>
        </w:rPr>
        <w:t xml:space="preserve">• </w:t>
      </w:r>
      <w:r>
        <w:t>Severity may be increased by an analyst with recorded rationale.</w:t>
      </w:r>
    </w:p>
    <w:p>
      <w:pPr>
        <w:ind w:left="259" w:hanging="202"/>
      </w:pPr>
      <w:r>
        <w:rPr>
          <w:b/>
        </w:rPr>
        <w:t xml:space="preserve">• </w:t>
      </w:r>
      <w:r>
        <w:t>Severity reduction of a Critical alert requires reviewer approval.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Severity score, queue timestamp, override reason.</w:t>
      </w:r>
    </w:p>
    <w:p>
      <w:pPr>
        <w:pStyle w:val="Heading1"/>
      </w:pPr>
      <w:r>
        <w:t>8. Triage Workflow</w:t>
      </w:r>
    </w:p>
    <w:p>
      <w:r>
        <w:t>Triage determines whether an alert can be reasonably explained from existing information or requires a full investigation case.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Analyst shall review the trigger, customer profile, recent transaction history and prior related alerts.</w:t>
      </w:r>
    </w:p>
    <w:p>
      <w:pPr>
        <w:ind w:left="259" w:hanging="202"/>
      </w:pPr>
      <w:r>
        <w:rPr>
          <w:b/>
        </w:rPr>
        <w:t xml:space="preserve">• </w:t>
      </w:r>
      <w:r>
        <w:t>A prior false-positive disposition may be considered but shall not be copied without confirming the current activity is materially similar.</w:t>
      </w:r>
    </w:p>
    <w:p>
      <w:pPr>
        <w:ind w:left="259" w:hanging="202"/>
      </w:pPr>
      <w:r>
        <w:rPr>
          <w:b/>
        </w:rPr>
        <w:t xml:space="preserve">• </w:t>
      </w:r>
      <w:r>
        <w:t>Insufficient information leads to case creation or information request, not unsupported closure.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Triage checklist, prior alerts, customer profile snapshot, decision.</w:t>
      </w:r>
    </w:p>
    <w:p>
      <w:pPr>
        <w:pStyle w:val="Heading1"/>
      </w:pPr>
      <w:r>
        <w:t>9. High-Value Activity</w:t>
      </w:r>
    </w:p>
    <w:p>
      <w:r>
        <w:t>High-value alerts require assessment of amount, source, purpose, expected activity and customer profile.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For salaried retail customers, a large transaction inconsistent with salary and known assets warrants additional review even where the customer is Low risk.</w:t>
      </w:r>
    </w:p>
    <w:p>
      <w:pPr>
        <w:ind w:left="259" w:hanging="202"/>
      </w:pPr>
      <w:r>
        <w:rPr>
          <w:b/>
        </w:rPr>
        <w:t xml:space="preserve">• </w:t>
      </w:r>
      <w:r>
        <w:t>For business customers, transaction value should be compared with declared turnover and typical transaction size.</w:t>
      </w:r>
    </w:p>
    <w:p>
      <w:pPr>
        <w:ind w:left="259" w:hanging="202"/>
      </w:pPr>
      <w:r>
        <w:rPr>
          <w:b/>
        </w:rPr>
        <w:t xml:space="preserve">• </w:t>
      </w:r>
      <w:r>
        <w:t>Sale proceeds, maturity proceeds or documented asset transfers may be legitimate explanations where evidence is reliable.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Transaction detail, profile comparison, SoF evidence where requested.</w:t>
      </w:r>
    </w:p>
    <w:p>
      <w:pPr>
        <w:pStyle w:val="Heading1"/>
      </w:pPr>
      <w:r>
        <w:t>10. Structuring</w:t>
      </w:r>
    </w:p>
    <w:p>
      <w:r>
        <w:t>Structuring scenarios identify repeated transactions arranged around reference values or timing patterns that may indicate avoidance behavior.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The 7-day ₹10 lakh cumulative reference is an internal pattern threshold and is not by itself a suspicious-activity definition.</w:t>
      </w:r>
    </w:p>
    <w:p>
      <w:pPr>
        <w:ind w:left="259" w:hanging="202"/>
      </w:pPr>
      <w:r>
        <w:rPr>
          <w:b/>
        </w:rPr>
        <w:t xml:space="preserve">• </w:t>
      </w:r>
      <w:r>
        <w:t>Analysts shall assess number of transactions, spacing, channels, counterparties and customer explanation.</w:t>
      </w:r>
    </w:p>
    <w:p>
      <w:pPr>
        <w:ind w:left="259" w:hanging="202"/>
      </w:pPr>
      <w:r>
        <w:rPr>
          <w:b/>
        </w:rPr>
        <w:t xml:space="preserve">• </w:t>
      </w:r>
      <w:r>
        <w:t>Legitimate repeated payments should be documented where supported by business or personal context.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Linked transaction set, pattern analysis, customer context.</w:t>
      </w:r>
    </w:p>
    <w:p>
      <w:pPr>
        <w:pStyle w:val="Heading1"/>
      </w:pPr>
      <w:r>
        <w:t>11. Rapid Movement of Funds</w:t>
      </w:r>
    </w:p>
    <w:p>
      <w:r>
        <w:t>Rapid-movement scenarios identify funds entering and leaving the relationship over a short period without an expected retention or use pattern.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For High-risk customers, movement of 70% or more of qualifying incoming funds within 24 hours may generate a scenario alert.</w:t>
      </w:r>
    </w:p>
    <w:p>
      <w:pPr>
        <w:ind w:left="259" w:hanging="202"/>
      </w:pPr>
      <w:r>
        <w:rPr>
          <w:b/>
        </w:rPr>
        <w:t xml:space="preserve">• </w:t>
      </w:r>
      <w:r>
        <w:t>For Low/Medium customers, the equivalent default window remains 48 hours.</w:t>
      </w:r>
    </w:p>
    <w:p>
      <w:pPr>
        <w:ind w:left="259" w:hanging="202"/>
      </w:pPr>
      <w:r>
        <w:rPr>
          <w:b/>
        </w:rPr>
        <w:t xml:space="preserve">• </w:t>
      </w:r>
      <w:r>
        <w:t>Internal loan disbursement immediately followed by an expected merchant payment may be excluded where the product design supports it.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Incoming/outgoing links, timing analysis, product exclusions.</w:t>
      </w:r>
    </w:p>
    <w:p>
      <w:pPr>
        <w:pStyle w:val="Heading1"/>
      </w:pPr>
      <w:r>
        <w:t>12. Third-Party Transfers</w:t>
      </w:r>
    </w:p>
    <w:p>
      <w:r>
        <w:t>Third-party monitoring considers frequency, amount, relationship and reason for transfers involving parties not reasonably connected to the customer.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Repeated unrelated credits followed by onward transfers may indicate mule or pass-through behavior.</w:t>
      </w:r>
    </w:p>
    <w:p>
      <w:pPr>
        <w:ind w:left="259" w:hanging="202"/>
      </w:pPr>
      <w:r>
        <w:rPr>
          <w:b/>
        </w:rPr>
        <w:t xml:space="preserve">• </w:t>
      </w:r>
      <w:r>
        <w:t>Known payroll, marketplace or family patterns may be legitimate where supported by profile.</w:t>
      </w:r>
    </w:p>
    <w:p>
      <w:pPr>
        <w:ind w:left="259" w:hanging="202"/>
      </w:pPr>
      <w:r>
        <w:rPr>
          <w:b/>
        </w:rPr>
        <w:t xml:space="preserve">• </w:t>
      </w:r>
      <w:r>
        <w:t>Analysts shall not infer relationship solely from common surname.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Counterparty analysis, relationship evidence, flow summary.</w:t>
      </w:r>
    </w:p>
    <w:p>
      <w:pPr>
        <w:pStyle w:val="Heading1"/>
      </w:pPr>
      <w:r>
        <w:t>13. Cross-Border Activity</w:t>
      </w:r>
    </w:p>
    <w:p>
      <w:r>
        <w:t>Cross-border alerts require consideration of origin/destination, customer profile, purpose, counterparty and geographic risk.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Unexpected cross-border activity by a domestic retail customer may warrant CDD refresh.</w:t>
      </w:r>
    </w:p>
    <w:p>
      <w:pPr>
        <w:ind w:left="259" w:hanging="202"/>
      </w:pPr>
      <w:r>
        <w:rPr>
          <w:b/>
        </w:rPr>
        <w:t xml:space="preserve">• </w:t>
      </w:r>
      <w:r>
        <w:t>Business customers with documented international trade require comparison with stated markets and turnover.</w:t>
      </w:r>
    </w:p>
    <w:p>
      <w:pPr>
        <w:ind w:left="259" w:hanging="202"/>
      </w:pPr>
      <w:r>
        <w:rPr>
          <w:b/>
        </w:rPr>
        <w:t xml:space="preserve">• </w:t>
      </w:r>
      <w:r>
        <w:t>Geographic risk lists are controlled by AML Compliance and may change independently from this Procedure.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Country data, purpose, counterparty, customer profile.</w:t>
      </w:r>
    </w:p>
    <w:p>
      <w:pPr>
        <w:pStyle w:val="Heading1"/>
      </w:pPr>
      <w:r>
        <w:t>14. Dormant and Newly Active Relationships</w:t>
      </w:r>
    </w:p>
    <w:p>
      <w:r>
        <w:t>Sudden activity after dormancy or immediately after onboarding can create heightened risk and shall be reviewed in context.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Dormant reactivation with high-value third-party credits should consider whether KYC remains current.</w:t>
      </w:r>
    </w:p>
    <w:p>
      <w:pPr>
        <w:ind w:left="259" w:hanging="202"/>
      </w:pPr>
      <w:r>
        <w:rPr>
          <w:b/>
        </w:rPr>
        <w:t xml:space="preserve">• </w:t>
      </w:r>
      <w:r>
        <w:t>New customers with rapid movement and unrelated counterparties may require early enhanced review.</w:t>
      </w:r>
    </w:p>
    <w:p>
      <w:pPr>
        <w:ind w:left="259" w:hanging="202"/>
      </w:pPr>
      <w:r>
        <w:rPr>
          <w:b/>
        </w:rPr>
        <w:t xml:space="preserve">• </w:t>
      </w:r>
      <w:r>
        <w:t>KYC trigger-event referral shall use KEP-022 where customer information appears stale or inconsistent.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Dormancy period, KYC review date, alert analysis, KYC referral.</w:t>
      </w:r>
    </w:p>
    <w:p>
      <w:pPr>
        <w:pStyle w:val="Heading1"/>
      </w:pPr>
      <w:r>
        <w:t>15. Linked Alerts and Case Creation</w:t>
      </w:r>
    </w:p>
    <w:p>
      <w:r>
        <w:t>Multiple alerts may be grouped into one investigation case where they relate to the same customer, behavior and review period.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Grouping shall preserve each source alert and triggering transactions.</w:t>
      </w:r>
    </w:p>
    <w:p>
      <w:pPr>
        <w:ind w:left="259" w:hanging="202"/>
      </w:pPr>
      <w:r>
        <w:rPr>
          <w:b/>
        </w:rPr>
        <w:t xml:space="preserve">• </w:t>
      </w:r>
      <w:r>
        <w:t>Alerts shall not be grouped merely to reduce workload where separate behaviors require distinct analysis.</w:t>
      </w:r>
    </w:p>
    <w:p>
      <w:pPr>
        <w:ind w:left="259" w:hanging="202"/>
      </w:pPr>
      <w:r>
        <w:rPr>
          <w:b/>
        </w:rPr>
        <w:t xml:space="preserve">• </w:t>
      </w:r>
      <w:r>
        <w:t>A case shall be created when cumulative activity materially changes the risk picture even if individual alerts appear explainable.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Case ID, linked alert IDs, grouping rationale.</w:t>
      </w:r>
    </w:p>
    <w:p>
      <w:pPr>
        <w:pStyle w:val="Heading1"/>
      </w:pPr>
      <w:r>
        <w:t>16. Customer Profile Review</w:t>
      </w:r>
    </w:p>
    <w:p>
      <w:r>
        <w:t>Investigation shall compare observed activity with known occupation/business, income/turnover, products, geography, ownership and expected use.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Credit application income may inform the profile but shall not be assumed current indefinitely.</w:t>
      </w:r>
    </w:p>
    <w:p>
      <w:pPr>
        <w:ind w:left="259" w:hanging="202"/>
      </w:pPr>
      <w:r>
        <w:rPr>
          <w:b/>
        </w:rPr>
        <w:t xml:space="preserve">• </w:t>
      </w:r>
      <w:r>
        <w:t>Where credit and KYC information conflict, the analyst shall identify the inconsistency and route for clarification.</w:t>
      </w:r>
    </w:p>
    <w:p>
      <w:pPr>
        <w:ind w:left="259" w:hanging="202"/>
      </w:pPr>
      <w:r>
        <w:rPr>
          <w:b/>
        </w:rPr>
        <w:t xml:space="preserve">• </w:t>
      </w:r>
      <w:r>
        <w:t>High-risk customers require a broader lookback where reasonably available.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Profile snapshot, source systems, discrepancy referral.</w:t>
      </w:r>
    </w:p>
    <w:p>
      <w:pPr>
        <w:pStyle w:val="Heading1"/>
      </w:pPr>
      <w:r>
        <w:t>17. Customer Contact and Information Requests</w:t>
      </w:r>
    </w:p>
    <w:p>
      <w:r>
        <w:t>Customer contact may be used where additional facts or documents are needed, subject to confidentiality controls.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Requests should seek factual explanation and supporting evidence without disclosing internal suspicion logic.</w:t>
      </w:r>
    </w:p>
    <w:p>
      <w:pPr>
        <w:ind w:left="259" w:hanging="202"/>
      </w:pPr>
      <w:r>
        <w:rPr>
          <w:b/>
        </w:rPr>
        <w:t xml:space="preserve">• </w:t>
      </w:r>
      <w:r>
        <w:t>Failure to respond is a risk factor but not automatically proof of suspicious activity.</w:t>
      </w:r>
    </w:p>
    <w:p>
      <w:pPr>
        <w:ind w:left="259" w:hanging="202"/>
      </w:pPr>
      <w:r>
        <w:rPr>
          <w:b/>
        </w:rPr>
        <w:t xml:space="preserve">• </w:t>
      </w:r>
      <w:r>
        <w:t>Relationship managers may facilitate contact but shall not edit analyst conclusions.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Request, response, documents, contact log.</w:t>
      </w:r>
    </w:p>
    <w:p>
      <w:pPr>
        <w:pStyle w:val="Heading1"/>
      </w:pPr>
      <w:r>
        <w:t>18. Investigation Analysis</w:t>
      </w:r>
    </w:p>
    <w:p>
      <w:r>
        <w:t>A full investigation shall document the behavior, relevant history, customer profile, linked parties, explanations and analyst assessment.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Analysts shall identify both risk indicators and reasonable mitigating facts.</w:t>
      </w:r>
    </w:p>
    <w:p>
      <w:pPr>
        <w:ind w:left="259" w:hanging="202"/>
      </w:pPr>
      <w:r>
        <w:rPr>
          <w:b/>
        </w:rPr>
        <w:t xml:space="preserve">• </w:t>
      </w:r>
      <w:r>
        <w:t>Analysis should avoid boilerplate such as “activity is consistent” without describing why.</w:t>
      </w:r>
    </w:p>
    <w:p>
      <w:pPr>
        <w:ind w:left="259" w:hanging="202"/>
      </w:pPr>
      <w:r>
        <w:rPr>
          <w:b/>
        </w:rPr>
        <w:t xml:space="preserve">• </w:t>
      </w:r>
      <w:r>
        <w:t>Material unresolved questions shall be stated explicitly before disposition.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Investigation narrative, transaction analysis, evidence index.</w:t>
      </w:r>
    </w:p>
    <w:p>
      <w:pPr>
        <w:pStyle w:val="Heading1"/>
      </w:pPr>
      <w:r>
        <w:t>19. Disposition and Escalation</w:t>
      </w:r>
    </w:p>
    <w:p>
      <w:r>
        <w:t>Available dispositions include close-no-concern, close-with-monitoring, refer-for-CDD, escalate-to-AML-reporting, refer-to-sanctions, and refer-to-fraud.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High and Critical investigations require reviewer approval before final closure.</w:t>
      </w:r>
    </w:p>
    <w:p>
      <w:pPr>
        <w:ind w:left="259" w:hanging="202"/>
      </w:pPr>
      <w:r>
        <w:rPr>
          <w:b/>
        </w:rPr>
        <w:t xml:space="preserve">• </w:t>
      </w:r>
      <w:r>
        <w:t>Escalation to internal suspicious-activity reporting follows AML-003.</w:t>
      </w:r>
    </w:p>
    <w:p>
      <w:pPr>
        <w:ind w:left="259" w:hanging="202"/>
      </w:pPr>
      <w:r>
        <w:rPr>
          <w:b/>
        </w:rPr>
        <w:t xml:space="preserve">• </w:t>
      </w:r>
      <w:r>
        <w:t>Customer restriction is applied only where authorized by the relevant AML, KYC, Fraud or sanctions process.</w:t>
      </w:r>
    </w:p>
    <w:p>
      <w:pPr>
        <w:pStyle w:val="Heading2"/>
      </w:pPr>
      <w:r>
        <w:t>Disposition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Code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Meaning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CNC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Closed — no material AML concern identified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CWM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Closed — monitor / no immediate escalation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CDD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Refer for customer due diligence refresh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SAR-I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Escalated to internal suspicious-activity reporting process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SAN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Referred to sanctions specialist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Referred to Fraud Risk</w:t>
            </w:r>
          </w:p>
        </w:tc>
      </w:tr>
    </w:tbl>
    <w:p>
      <w:pPr>
        <w:spacing w:after="20"/>
      </w:pP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Disposition code, reviewer, escalation ID, restriction decision.</w:t>
      </w:r>
    </w:p>
    <w:p>
      <w:pPr>
        <w:pStyle w:val="Heading1"/>
      </w:pPr>
      <w:r>
        <w:t>20. False Positives and Suppression</w:t>
      </w:r>
    </w:p>
    <w:p>
      <w:r>
        <w:t>Recurring false positives may be addressed through controlled suppression or scenario adjustment where the underlying risk remains acceptably covered.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Customer-specific suppression requires rationale, approver and review/expiry date.</w:t>
      </w:r>
    </w:p>
    <w:p>
      <w:pPr>
        <w:ind w:left="259" w:hanging="202"/>
      </w:pPr>
      <w:r>
        <w:rPr>
          <w:b/>
        </w:rPr>
        <w:t xml:space="preserve">• </w:t>
      </w:r>
      <w:r>
        <w:t>Suppression shall not be applied to potential sanctions alerts through this Procedure.</w:t>
      </w:r>
    </w:p>
    <w:p>
      <w:pPr>
        <w:ind w:left="259" w:hanging="202"/>
      </w:pPr>
      <w:r>
        <w:rPr>
          <w:b/>
        </w:rPr>
        <w:t xml:space="preserve">• </w:t>
      </w:r>
      <w:r>
        <w:t>Analysts may propose tuning but may not change production thresholds directly.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Suppression record, approval, expiry, residual-risk note.</w:t>
      </w:r>
    </w:p>
    <w:p>
      <w:pPr>
        <w:pStyle w:val="Heading1"/>
      </w:pPr>
      <w:r>
        <w:t>21. Scenario Tuning and Change Control</w:t>
      </w:r>
    </w:p>
    <w:p>
      <w:r>
        <w:t>Scenario performance shall be reviewed using alert volumes, conversion to cases, escalations, false-positive themes and known risk coverage.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Parameter changes require documented test results and AML approval.</w:t>
      </w:r>
    </w:p>
    <w:p>
      <w:pPr>
        <w:ind w:left="259" w:hanging="202"/>
      </w:pPr>
      <w:r>
        <w:rPr>
          <w:b/>
        </w:rPr>
        <w:t xml:space="preserve">• </w:t>
      </w:r>
      <w:r>
        <w:t>Material changes that reduce coverage require senior governance review.</w:t>
      </w:r>
    </w:p>
    <w:p>
      <w:pPr>
        <w:ind w:left="259" w:hanging="202"/>
      </w:pPr>
      <w:r>
        <w:rPr>
          <w:b/>
        </w:rPr>
        <w:t xml:space="preserve">• </w:t>
      </w:r>
      <w:r>
        <w:t>Post-implementation review shall confirm that expected alert behavior occurred.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Change request, test pack, approval, post-implementation review.</w:t>
      </w:r>
    </w:p>
    <w:p>
      <w:pPr>
        <w:pStyle w:val="Heading1"/>
      </w:pPr>
      <w:r>
        <w:t>22. Quality Assurance</w:t>
      </w:r>
    </w:p>
    <w:p>
      <w:r>
        <w:t>AML QA shall review a sample of alert and case decisions for completeness, reasoning, evidence and adherence to authority requirements.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Critical errors include unsupported closure of sanctions-related activity, failure to escalate clear material concerns, or fabricated evidence.</w:t>
      </w:r>
    </w:p>
    <w:p>
      <w:pPr>
        <w:ind w:left="259" w:hanging="202"/>
      </w:pPr>
      <w:r>
        <w:rPr>
          <w:b/>
        </w:rPr>
        <w:t xml:space="preserve">• </w:t>
      </w:r>
      <w:r>
        <w:t>Material errors require case correction and may trigger lookback.</w:t>
      </w:r>
    </w:p>
    <w:p>
      <w:pPr>
        <w:ind w:left="259" w:hanging="202"/>
      </w:pPr>
      <w:r>
        <w:rPr>
          <w:b/>
        </w:rPr>
        <w:t xml:space="preserve">• </w:t>
      </w:r>
      <w:r>
        <w:t>Analyst quality results shall feed coaching and accreditation.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QA sample, defect classification, remediation, training record.</w:t>
      </w:r>
    </w:p>
    <w:p>
      <w:pPr>
        <w:pStyle w:val="Heading1"/>
      </w:pPr>
      <w:r>
        <w:t>23. Backlogs, Aging and Escalation</w:t>
      </w:r>
    </w:p>
    <w:p>
      <w:r>
        <w:t>Queue aging shall be monitored by severity. Backlog management shall not lower review standards.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Critical alerts should receive initial review on the same business day where feasible.</w:t>
      </w:r>
    </w:p>
    <w:p>
      <w:pPr>
        <w:ind w:left="259" w:hanging="202"/>
      </w:pPr>
      <w:r>
        <w:rPr>
          <w:b/>
        </w:rPr>
        <w:t xml:space="preserve">• </w:t>
      </w:r>
      <w:r>
        <w:t>High alerts target one business day; Standard alerts target two business days for initial review.</w:t>
      </w:r>
    </w:p>
    <w:p>
      <w:pPr>
        <w:ind w:left="259" w:hanging="202"/>
      </w:pPr>
      <w:r>
        <w:rPr>
          <w:b/>
        </w:rPr>
        <w:t xml:space="preserve">• </w:t>
      </w:r>
      <w:r>
        <w:t>Material backlog beyond approved tolerance requires AML leadership escalation and documented recovery plan.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Aging report, backlog plan, staffing action, escalation.</w:t>
      </w:r>
    </w:p>
    <w:p>
      <w:pPr>
        <w:pStyle w:val="Heading1"/>
      </w:pPr>
      <w:r>
        <w:t>24. Records and Management Information</w:t>
      </w:r>
    </w:p>
    <w:p>
      <w:r>
        <w:t>Monitoring records shall support reconstruction of the alert from triggering data through final disposition.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MI shall include volumes, severities, aging, case conversion, disposition, escalation, suppression and QA results.</w:t>
      </w:r>
    </w:p>
    <w:p>
      <w:pPr>
        <w:ind w:left="259" w:hanging="202"/>
      </w:pPr>
      <w:r>
        <w:rPr>
          <w:b/>
        </w:rPr>
        <w:t xml:space="preserve">• </w:t>
      </w:r>
      <w:r>
        <w:t>Historical threshold versions shall be retained with each alert or be reconstructable from configuration records.</w:t>
      </w:r>
    </w:p>
    <w:p>
      <w:pPr>
        <w:ind w:left="259" w:hanging="202"/>
      </w:pPr>
      <w:r>
        <w:rPr>
          <w:b/>
        </w:rPr>
        <w:t xml:space="preserve">• </w:t>
      </w:r>
      <w:r>
        <w:t>Sensitive case information shall be access-controlled.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Alert/case register, scenario version, MI dashboard, access logs.</w:t>
      </w:r>
    </w:p>
    <w:p>
      <w:pPr>
        <w:pStyle w:val="Heading1"/>
      </w:pPr>
      <w:r>
        <w:t>25. Transition and Historical Processing</w:t>
      </w:r>
    </w:p>
    <w:p>
      <w:r>
        <w:t>Version 1.3 applies to alerts generated on or after 15 September 2025. Alerts generated from 1–14 September 2025 use AML-003 v2.2 policy interpretation but may have been created under v1.2 parameters.</w:t>
      </w:r>
    </w:p>
    <w:p>
      <w:r>
        <w:rPr>
          <w:b/>
        </w:rPr>
        <w:t>Control requirements</w:t>
      </w:r>
    </w:p>
    <w:p>
      <w:pPr>
        <w:ind w:left="259" w:hanging="202"/>
      </w:pPr>
      <w:r>
        <w:rPr>
          <w:b/>
        </w:rPr>
        <w:t xml:space="preserve">• </w:t>
      </w:r>
      <w:r>
        <w:t>Open v1.2 alerts are not automatically regenerated under v1.3 thresholds.</w:t>
      </w:r>
    </w:p>
    <w:p>
      <w:pPr>
        <w:ind w:left="259" w:hanging="202"/>
      </w:pPr>
      <w:r>
        <w:rPr>
          <w:b/>
        </w:rPr>
        <w:t xml:space="preserve">• </w:t>
      </w:r>
      <w:r>
        <w:t>Where a v1.2 alert is converted to a full case after 15 September, the investigator shall use current v1.3 review standards.</w:t>
      </w:r>
    </w:p>
    <w:p>
      <w:pPr>
        <w:ind w:left="259" w:hanging="202"/>
      </w:pPr>
      <w:r>
        <w:rPr>
          <w:b/>
        </w:rPr>
        <w:t xml:space="preserve">• </w:t>
      </w:r>
      <w:r>
        <w:t>AML may direct targeted back-testing of the reduced high-value thresholds; such back-testing is a separate control activity.</w:t>
      </w:r>
    </w:p>
    <w:p>
      <w:pPr>
        <w:pStyle w:val="Heading2"/>
      </w:pPr>
      <w:r>
        <w:t>Records and control evidence</w:t>
      </w:r>
    </w:p>
    <w:p>
      <w:pPr>
        <w:ind w:left="259" w:hanging="202"/>
      </w:pPr>
      <w:r>
        <w:rPr>
          <w:b/>
        </w:rPr>
        <w:t xml:space="preserve">• </w:t>
      </w:r>
      <w:r>
        <w:t>Alert generation date, parameter version, case conversion date, back-test record.</w:t>
      </w:r>
    </w:p>
    <w:p>
      <w:r>
        <w:br w:type="page"/>
      </w:r>
    </w:p>
    <w:p>
      <w:pPr>
        <w:pStyle w:val="Heading1"/>
      </w:pPr>
      <w:r>
        <w:t>Appendix A. Scenario Threshold Matrix</w:t>
      </w:r>
    </w:p>
    <w:p>
      <w:r>
        <w:t>Core v1.3 parameters. Production configuration may include additional exclusions and segmentation.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Scenario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Low/Medium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High risk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High Value — retail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₹10 lakh single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₹5 lakh single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Structuring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₹10 lakh cumulative / 7 days + pattern score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Lower pattern-score threshold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Rapid Movement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70% within 48h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70% within 24h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Dormant Reactivation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Risk-based value + dormancy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Lower value sensitivity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Cross Border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Profile/geography based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Enhanced sensitivity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B. Alert Triage Checklist</w:t>
      </w:r>
    </w:p>
    <w:p>
      <w:r>
        <w:t>Minimum triage actions.</w:t>
      </w:r>
    </w:p>
    <w:p>
      <w:pPr>
        <w:ind w:left="259" w:hanging="202"/>
      </w:pPr>
      <w:r>
        <w:rPr>
          <w:b/>
        </w:rPr>
        <w:t xml:space="preserve">• </w:t>
      </w:r>
      <w:r>
        <w:t>Confirm scenario, threshold and triggering transactions.</w:t>
      </w:r>
    </w:p>
    <w:p>
      <w:pPr>
        <w:ind w:left="259" w:hanging="202"/>
      </w:pPr>
      <w:r>
        <w:rPr>
          <w:b/>
        </w:rPr>
        <w:t xml:space="preserve">• </w:t>
      </w:r>
      <w:r>
        <w:t>Review customer risk, KYC review date, occupation/business and expected activity.</w:t>
      </w:r>
    </w:p>
    <w:p>
      <w:pPr>
        <w:ind w:left="259" w:hanging="202"/>
      </w:pPr>
      <w:r>
        <w:rPr>
          <w:b/>
        </w:rPr>
        <w:t xml:space="preserve">• </w:t>
      </w:r>
      <w:r>
        <w:t>Review prior alerts and cases for similar behavior.</w:t>
      </w:r>
    </w:p>
    <w:p>
      <w:pPr>
        <w:ind w:left="259" w:hanging="202"/>
      </w:pPr>
      <w:r>
        <w:rPr>
          <w:b/>
        </w:rPr>
        <w:t xml:space="preserve">• </w:t>
      </w:r>
      <w:r>
        <w:t>Assess obvious product/system explanations and exclusions.</w:t>
      </w:r>
    </w:p>
    <w:p>
      <w:pPr>
        <w:ind w:left="259" w:hanging="202"/>
      </w:pPr>
      <w:r>
        <w:rPr>
          <w:b/>
        </w:rPr>
        <w:t xml:space="preserve">• </w:t>
      </w:r>
      <w:r>
        <w:t>Decide close, request information, create case or specialist referral.</w:t>
      </w:r>
    </w:p>
    <w:p>
      <w:r>
        <w:br w:type="page"/>
      </w:r>
    </w:p>
    <w:p>
      <w:pPr>
        <w:pStyle w:val="Heading1"/>
      </w:pPr>
      <w:r>
        <w:t>Appendix C. Disposition Codes</w:t>
      </w:r>
    </w:p>
    <w:p>
      <w:r>
        <w:t>Codes support consistent reporting.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Code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Use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CNC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Reasonably explained; no material concern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CWM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Explained but retain enhanced observation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CDD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Customer information requires refresh or enhanced review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SAR-I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Internal suspicious-activity escalation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SAN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Sanctions specialist review</w:t>
            </w:r>
          </w:p>
        </w:tc>
      </w:tr>
      <w:tr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FRD</w:t>
            </w:r>
          </w:p>
        </w:tc>
        <w:tc>
          <w:tcPr>
            <w:tcW w:type="dxa" w:w="518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Fraud Risk referral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D. Quality Review Matrix</w:t>
      </w:r>
    </w:p>
    <w:p>
      <w:r>
        <w:t>QA assigns defects based on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Defect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Example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before="0"/>
            </w:pPr>
            <w:r>
              <w:rPr>
                <w:b/>
                <w:sz w:val="16"/>
                <w:color w:val="FFFFFF"/>
              </w:rPr>
              <w:t>Treatment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Critical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Potential sanctions activity closed without specialist review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Immediate correction + leadership escalation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Major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Material unexplained flow closed with weak analysis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Reopen + coaching / lookback assessment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Moderate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Evidence referenced but not attached/linked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Correct record</w:t>
            </w:r>
          </w:p>
        </w:tc>
      </w:tr>
      <w:tr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Minor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Formatting or non-material documentation issue</w:t>
            </w:r>
          </w:p>
        </w:tc>
        <w:tc>
          <w:tcPr>
            <w:tcW w:type="dxa" w:w="345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before="0"/>
            </w:pPr>
            <w:r>
              <w:rPr>
                <w:sz w:val="16"/>
              </w:rPr>
              <w:t>Coaching / trend monitoring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E. Worked Monitoring Scenarios</w:t>
      </w:r>
    </w:p>
    <w:p>
      <w:r>
        <w:t>These examples illustrate reasoning, not automatic outcomes.</w:t>
      </w:r>
    </w:p>
    <w:p>
      <w:pPr>
        <w:ind w:left="259" w:hanging="202"/>
      </w:pPr>
      <w:r>
        <w:rPr>
          <w:b/>
        </w:rPr>
        <w:t xml:space="preserve">• </w:t>
      </w:r>
      <w:r>
        <w:t>Salaried customer receives ₹14 lakh from a property sale and provides sale documentation; activity may be closed where profile and evidence are consistent.</w:t>
      </w:r>
    </w:p>
    <w:p>
      <w:pPr>
        <w:ind w:left="259" w:hanging="202"/>
      </w:pPr>
      <w:r>
        <w:rPr>
          <w:b/>
        </w:rPr>
        <w:t xml:space="preserve">• </w:t>
      </w:r>
      <w:r>
        <w:t>High-risk customer receives ₹6 lakh from an unrelated third party and transfers 90% onward within six hours; create a case and assess SoF, counterparty relationship and rapid-movement risk.</w:t>
      </w:r>
    </w:p>
    <w:p>
      <w:pPr>
        <w:ind w:left="259" w:hanging="202"/>
      </w:pPr>
      <w:r>
        <w:rPr>
          <w:b/>
        </w:rPr>
        <w:t xml:space="preserve">• </w:t>
      </w:r>
      <w:r>
        <w:t>SME receives many customer payments just below ₹1 lakh as part of documented retail sales; pattern may be legitimate, but compare to turnover and historical activity.</w:t>
      </w:r>
    </w:p>
    <w:p>
      <w:pPr>
        <w:ind w:left="259" w:hanging="202"/>
      </w:pPr>
      <w:r>
        <w:rPr>
          <w:b/>
        </w:rPr>
        <w:t xml:space="preserve">• </w:t>
      </w:r>
      <w:r>
        <w:t>Dormant account reactivates with ₹9 lakh cross-border credit followed by cash-equivalent transfers; escalate for full investigation and KYC trigger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35" w:left="936" w:header="317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Northstar Financial — Synthetic Internal Document  |  INTERNAL — CONTROLLED  |  Page 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sz w:val="15"/>
      </w:rPr>
      <w:t>NORTHSTAR FINANCIAL  |  ATM-031  |  AML Transaction Monitoring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