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Business Continuity Procedure</w:t>
      </w:r>
    </w:p>
    <w:p>
      <w:pPr>
        <w:jc w:val="center"/>
      </w:pPr>
      <w:r>
        <w:rPr>
          <w:sz w:val="20"/>
        </w:rPr>
        <w:t>BCP-061  |  Version 1.4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BCP-061</w:t>
            </w:r>
          </w:p>
        </w:tc>
      </w:tr>
      <w:tr>
        <w:tc>
          <w:tcPr>
            <w:tcW w:type="dxa" w:w="5170"/>
            <w:vAlign w:val="center"/>
            <w:shd w:fill="D9EAF7"/>
          </w:tcPr>
          <w:p>
            <w:r/>
            <w:r>
              <w:rPr>
                <w:b/>
                <w:color w:val="17365D"/>
                <w:sz w:val="16"/>
              </w:rPr>
              <w:t>Document Title</w:t>
            </w:r>
          </w:p>
        </w:tc>
        <w:tc>
          <w:tcPr>
            <w:tcW w:type="dxa" w:w="5170"/>
            <w:vAlign w:val="center"/>
          </w:tcPr>
          <w:p>
            <w:r/>
            <w:r>
              <w:rPr>
                <w:b w:val="0"/>
                <w:sz w:val="16"/>
              </w:rPr>
              <w:t>Business Continuity Procedure</w:t>
            </w:r>
          </w:p>
        </w:tc>
      </w:tr>
      <w:tr>
        <w:tc>
          <w:tcPr>
            <w:tcW w:type="dxa" w:w="5170"/>
            <w:vAlign w:val="center"/>
            <w:shd w:fill="D9EAF7"/>
          </w:tcPr>
          <w:p>
            <w:r/>
            <w:r>
              <w:rPr>
                <w:b/>
                <w:color w:val="17365D"/>
                <w:sz w:val="16"/>
              </w:rPr>
              <w:t>Version</w:t>
            </w:r>
          </w:p>
        </w:tc>
        <w:tc>
          <w:tcPr>
            <w:tcW w:type="dxa" w:w="5170"/>
            <w:vAlign w:val="center"/>
          </w:tcPr>
          <w:p>
            <w:r/>
            <w:r>
              <w:rPr>
                <w:b w:val="0"/>
                <w:sz w:val="16"/>
              </w:rPr>
              <w:t>1.4</w:t>
            </w:r>
          </w:p>
        </w:tc>
      </w:tr>
      <w:tr>
        <w:tc>
          <w:tcPr>
            <w:tcW w:type="dxa" w:w="5170"/>
            <w:vAlign w:val="center"/>
            <w:shd w:fill="D9EAF7"/>
          </w:tcPr>
          <w:p>
            <w:r/>
            <w:r>
              <w:rPr>
                <w:b/>
                <w:color w:val="17365D"/>
                <w:sz w:val="16"/>
              </w:rPr>
              <w:t>Policy Owner</w:t>
            </w:r>
          </w:p>
        </w:tc>
        <w:tc>
          <w:tcPr>
            <w:tcW w:type="dxa" w:w="5170"/>
            <w:vAlign w:val="center"/>
          </w:tcPr>
          <w:p>
            <w:r/>
            <w:r>
              <w:rPr>
                <w:b w:val="0"/>
                <w:sz w:val="16"/>
              </w:rPr>
              <w:t>Karan Sethi — Head of Business Resilience</w:t>
            </w:r>
          </w:p>
        </w:tc>
      </w:tr>
      <w:tr>
        <w:tc>
          <w:tcPr>
            <w:tcW w:type="dxa" w:w="5170"/>
            <w:vAlign w:val="center"/>
            <w:shd w:fill="D9EAF7"/>
          </w:tcPr>
          <w:p>
            <w:r/>
            <w:r>
              <w:rPr>
                <w:b/>
                <w:color w:val="17365D"/>
                <w:sz w:val="16"/>
              </w:rPr>
              <w:t>Business Unit</w:t>
            </w:r>
          </w:p>
        </w:tc>
        <w:tc>
          <w:tcPr>
            <w:tcW w:type="dxa" w:w="5170"/>
            <w:vAlign w:val="center"/>
          </w:tcPr>
          <w:p>
            <w:r/>
            <w:r>
              <w:rPr>
                <w:b w:val="0"/>
                <w:sz w:val="16"/>
              </w:rPr>
              <w:t>Enterprise Risk / Operations / Technology</w:t>
            </w:r>
          </w:p>
        </w:tc>
      </w:tr>
      <w:tr>
        <w:tc>
          <w:tcPr>
            <w:tcW w:type="dxa" w:w="5170"/>
            <w:vAlign w:val="center"/>
            <w:shd w:fill="D9EAF7"/>
          </w:tcPr>
          <w:p>
            <w:r/>
            <w:r>
              <w:rPr>
                <w:b/>
                <w:color w:val="17365D"/>
                <w:sz w:val="16"/>
              </w:rPr>
              <w:t>Approving Authority</w:t>
            </w:r>
          </w:p>
        </w:tc>
        <w:tc>
          <w:tcPr>
            <w:tcW w:type="dxa" w:w="5170"/>
            <w:vAlign w:val="center"/>
          </w:tcPr>
          <w:p>
            <w:r/>
            <w:r>
              <w:rPr>
                <w:b w:val="0"/>
                <w:sz w:val="16"/>
              </w:rPr>
              <w:t>Operational Risk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15 June 2026</w:t>
            </w:r>
          </w:p>
        </w:tc>
      </w:tr>
      <w:tr>
        <w:tc>
          <w:tcPr>
            <w:tcW w:type="dxa" w:w="5170"/>
            <w:vAlign w:val="center"/>
            <w:shd w:fill="D9EAF7"/>
          </w:tcPr>
          <w:p>
            <w:r/>
            <w:r>
              <w:rPr>
                <w:b/>
                <w:color w:val="17365D"/>
                <w:sz w:val="16"/>
              </w:rPr>
              <w:t>Previous Version</w:t>
            </w:r>
          </w:p>
        </w:tc>
        <w:tc>
          <w:tcPr>
            <w:tcW w:type="dxa" w:w="5170"/>
            <w:vAlign w:val="center"/>
          </w:tcPr>
          <w:p>
            <w:r/>
            <w:r>
              <w:rPr>
                <w:b w:val="0"/>
                <w:sz w:val="16"/>
              </w:rPr>
              <w:t>1.3</w:t>
            </w:r>
          </w:p>
        </w:tc>
      </w:tr>
      <w:tr>
        <w:tc>
          <w:tcPr>
            <w:tcW w:type="dxa" w:w="5170"/>
            <w:vAlign w:val="center"/>
            <w:shd w:fill="D9EAF7"/>
          </w:tcPr>
          <w:p>
            <w:r/>
            <w:r>
              <w:rPr>
                <w:b/>
                <w:color w:val="17365D"/>
                <w:sz w:val="16"/>
              </w:rPr>
              <w:t>Review Frequency</w:t>
            </w:r>
          </w:p>
        </w:tc>
        <w:tc>
          <w:tcPr>
            <w:tcW w:type="dxa" w:w="5170"/>
            <w:vAlign w:val="center"/>
          </w:tcPr>
          <w:p>
            <w:r/>
            <w:r>
              <w:rPr>
                <w:b w:val="0"/>
                <w:sz w:val="16"/>
              </w:rPr>
              <w:t>Annual / after material disruption</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BCP-061 v1.3</w:t>
            </w:r>
          </w:p>
        </w:tc>
      </w:tr>
      <w:tr>
        <w:tc>
          <w:tcPr>
            <w:tcW w:type="dxa" w:w="5170"/>
            <w:vAlign w:val="center"/>
            <w:shd w:fill="D9EAF7"/>
          </w:tcPr>
          <w:p>
            <w:r/>
            <w:r>
              <w:rPr>
                <w:b/>
                <w:color w:val="17365D"/>
                <w:sz w:val="16"/>
              </w:rPr>
              <w:t>Related Documents</w:t>
            </w:r>
          </w:p>
        </w:tc>
        <w:tc>
          <w:tcPr>
            <w:tcW w:type="dxa" w:w="5170"/>
            <w:vAlign w:val="center"/>
          </w:tcPr>
          <w:p>
            <w:r/>
            <w:r>
              <w:rPr>
                <w:b w:val="0"/>
                <w:sz w:val="16"/>
              </w:rPr>
              <w:t>RMF-008; RAS-009; ISP-014; SIR-052; VRP-053; EOM-020; ORI-064</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1.1</w:t>
            </w:r>
          </w:p>
        </w:tc>
        <w:tc>
          <w:tcPr>
            <w:tcW w:type="dxa" w:w="2585"/>
            <w:vAlign w:val="center"/>
          </w:tcPr>
          <w:p>
            <w:r/>
            <w:r>
              <w:rPr>
                <w:b w:val="0"/>
                <w:sz w:val="14"/>
              </w:rPr>
              <w:t>1 Oct 2024</w:t>
            </w:r>
          </w:p>
        </w:tc>
        <w:tc>
          <w:tcPr>
            <w:tcW w:type="dxa" w:w="2585"/>
            <w:vAlign w:val="center"/>
          </w:tcPr>
          <w:p>
            <w:r/>
            <w:r>
              <w:rPr>
                <w:b w:val="0"/>
                <w:sz w:val="14"/>
              </w:rPr>
              <w:t>Standardized branch and central-office continuity plans.</w:t>
            </w:r>
          </w:p>
        </w:tc>
        <w:tc>
          <w:tcPr>
            <w:tcW w:type="dxa" w:w="2585"/>
            <w:vAlign w:val="center"/>
          </w:tcPr>
          <w:p>
            <w:r/>
            <w:r>
              <w:rPr>
                <w:b w:val="0"/>
                <w:sz w:val="14"/>
              </w:rPr>
              <w:t>Chief Operating Officer</w:t>
            </w:r>
          </w:p>
        </w:tc>
      </w:tr>
      <w:tr>
        <w:tc>
          <w:tcPr>
            <w:tcW w:type="dxa" w:w="2585"/>
            <w:vAlign w:val="center"/>
          </w:tcPr>
          <w:p>
            <w:r/>
            <w:r>
              <w:rPr>
                <w:b w:val="0"/>
                <w:sz w:val="14"/>
              </w:rPr>
              <w:t>1.3</w:t>
            </w:r>
          </w:p>
        </w:tc>
        <w:tc>
          <w:tcPr>
            <w:tcW w:type="dxa" w:w="2585"/>
            <w:vAlign w:val="center"/>
          </w:tcPr>
          <w:p>
            <w:r/>
            <w:r>
              <w:rPr>
                <w:b w:val="0"/>
                <w:sz w:val="14"/>
              </w:rPr>
              <w:t>1 Jul 2025</w:t>
            </w:r>
          </w:p>
        </w:tc>
        <w:tc>
          <w:tcPr>
            <w:tcW w:type="dxa" w:w="2585"/>
            <w:vAlign w:val="center"/>
          </w:tcPr>
          <w:p>
            <w:r/>
            <w:r>
              <w:rPr>
                <w:b w:val="0"/>
                <w:sz w:val="14"/>
              </w:rPr>
              <w:t>Added critical-vendor and alternate-site testing requirements.</w:t>
            </w:r>
          </w:p>
        </w:tc>
        <w:tc>
          <w:tcPr>
            <w:tcW w:type="dxa" w:w="2585"/>
            <w:vAlign w:val="center"/>
          </w:tcPr>
          <w:p>
            <w:r/>
            <w:r>
              <w:rPr>
                <w:b w:val="0"/>
                <w:sz w:val="14"/>
              </w:rPr>
              <w:t>Operational Risk Committee</w:t>
            </w:r>
          </w:p>
        </w:tc>
      </w:tr>
      <w:tr>
        <w:tc>
          <w:tcPr>
            <w:tcW w:type="dxa" w:w="2585"/>
            <w:vAlign w:val="center"/>
          </w:tcPr>
          <w:p>
            <w:r/>
            <w:r>
              <w:rPr>
                <w:b w:val="0"/>
                <w:sz w:val="14"/>
              </w:rPr>
              <w:t>1.4</w:t>
            </w:r>
          </w:p>
        </w:tc>
        <w:tc>
          <w:tcPr>
            <w:tcW w:type="dxa" w:w="2585"/>
            <w:vAlign w:val="center"/>
          </w:tcPr>
          <w:p>
            <w:r/>
            <w:r>
              <w:rPr>
                <w:b w:val="0"/>
                <w:sz w:val="14"/>
              </w:rPr>
              <w:t>15 Jun 2026</w:t>
            </w:r>
          </w:p>
        </w:tc>
        <w:tc>
          <w:tcPr>
            <w:tcW w:type="dxa" w:w="2585"/>
            <w:vAlign w:val="center"/>
          </w:tcPr>
          <w:p>
            <w:r/>
            <w:r>
              <w:rPr>
                <w:b w:val="0"/>
                <w:sz w:val="14"/>
              </w:rPr>
              <w:t>Aligned recovery governance to ISP-014, SIR-052, VRP-053 and updated critical-process tiers.</w:t>
            </w:r>
          </w:p>
        </w:tc>
        <w:tc>
          <w:tcPr>
            <w:tcW w:type="dxa" w:w="2585"/>
            <w:vAlign w:val="center"/>
          </w:tcPr>
          <w:p>
            <w:r/>
            <w:r>
              <w:rPr>
                <w:b w:val="0"/>
                <w:sz w:val="14"/>
              </w:rPr>
              <w:t>Operational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Northstar prepares for, responds to and recovers from business disruptions while protecting customers, employees, information and critical financial-services operations.</w:t>
      </w:r>
    </w:p>
    <w:p>
      <w:pPr>
        <w:pStyle w:val="Heading1"/>
      </w:pPr>
      <w:r>
        <w:t>2. Scope</w:t>
      </w:r>
    </w:p>
    <w:p>
      <w:r>
        <w:t>The Procedure applies to branches, central operations, technology, customer service, lending operations, KYC/AML, investment/treasury, compliance, critical vendors and corporate functions.</w:t>
      </w:r>
    </w:p>
    <w:p>
      <w:pPr>
        <w:pStyle w:val="ListBullet"/>
      </w:pPr>
      <w:r>
        <w:t>Site outage or loss of workplace.</w:t>
      </w:r>
    </w:p>
    <w:p>
      <w:pPr>
        <w:pStyle w:val="ListBullet"/>
      </w:pPr>
      <w:r>
        <w:t>Technology/application outage.</w:t>
      </w:r>
    </w:p>
    <w:p>
      <w:pPr>
        <w:pStyle w:val="ListBullet"/>
      </w:pPr>
      <w:r>
        <w:t>Telecommunications or power failure.</w:t>
      </w:r>
    </w:p>
    <w:p>
      <w:pPr>
        <w:pStyle w:val="ListBullet"/>
      </w:pPr>
      <w:r>
        <w:t>Critical vendor or market-infrastructure failure.</w:t>
      </w:r>
    </w:p>
    <w:p>
      <w:pPr>
        <w:pStyle w:val="ListBullet"/>
      </w:pPr>
      <w:r>
        <w:t>Staff unavailability.</w:t>
      </w:r>
    </w:p>
    <w:p>
      <w:pPr>
        <w:pStyle w:val="ListBullet"/>
      </w:pPr>
      <w:r>
        <w:t>Cyber/security incident with continuity impact.</w:t>
      </w:r>
    </w:p>
    <w:p>
      <w:pPr>
        <w:pStyle w:val="ListBullet"/>
      </w:pPr>
      <w:r>
        <w:t>Local disaster, civil disruption or transport constraints.</w:t>
      </w:r>
    </w:p>
    <w:p>
      <w:pPr>
        <w:pStyle w:val="ListBullet"/>
      </w:pPr>
      <w:r>
        <w:t>Data-processing or facilities event.</w:t>
      </w:r>
    </w:p>
    <w:p>
      <w:pPr>
        <w:pStyle w:val="Heading1"/>
      </w:pPr>
      <w:r>
        <w:t>3. Continuity Principles</w:t>
      </w:r>
    </w:p>
    <w:p>
      <w:r>
        <w:t>Safety, customer protection, controlled decision-making and recoverability take priority over normal productivity.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Principle</w:t>
            </w:r>
          </w:p>
        </w:tc>
        <w:tc>
          <w:tcPr>
            <w:tcW w:type="dxa" w:w="5170"/>
            <w:vAlign w:val="center"/>
            <w:shd w:fill="17365D"/>
          </w:tcPr>
          <w:p>
            <w:r/>
            <w:r>
              <w:rPr>
                <w:b/>
                <w:color w:val="FFFFFF"/>
                <w:sz w:val="15"/>
              </w:rPr>
              <w:t>Treatment</w:t>
            </w:r>
          </w:p>
        </w:tc>
      </w:tr>
      <w:tr>
        <w:tc>
          <w:tcPr>
            <w:tcW w:type="dxa" w:w="5170"/>
            <w:vAlign w:val="center"/>
          </w:tcPr>
          <w:p>
            <w:r/>
            <w:r>
              <w:rPr>
                <w:b w:val="0"/>
                <w:sz w:val="14"/>
              </w:rPr>
              <w:t>Life safety</w:t>
            </w:r>
          </w:p>
        </w:tc>
        <w:tc>
          <w:tcPr>
            <w:tcW w:type="dxa" w:w="5170"/>
            <w:vAlign w:val="center"/>
          </w:tcPr>
          <w:p>
            <w:r/>
            <w:r>
              <w:rPr>
                <w:b w:val="0"/>
                <w:sz w:val="14"/>
              </w:rPr>
              <w:t>Protect employees and customers before recovery targets.</w:t>
            </w:r>
          </w:p>
        </w:tc>
      </w:tr>
      <w:tr>
        <w:tc>
          <w:tcPr>
            <w:tcW w:type="dxa" w:w="5170"/>
            <w:vAlign w:val="center"/>
          </w:tcPr>
          <w:p>
            <w:r/>
            <w:r>
              <w:rPr>
                <w:b w:val="0"/>
                <w:sz w:val="14"/>
              </w:rPr>
              <w:t>Criticality</w:t>
            </w:r>
          </w:p>
        </w:tc>
        <w:tc>
          <w:tcPr>
            <w:tcW w:type="dxa" w:w="5170"/>
            <w:vAlign w:val="center"/>
          </w:tcPr>
          <w:p>
            <w:r/>
            <w:r>
              <w:rPr>
                <w:b w:val="0"/>
                <w:sz w:val="14"/>
              </w:rPr>
              <w:t>Recover higher-tier processes first.</w:t>
            </w:r>
          </w:p>
        </w:tc>
      </w:tr>
      <w:tr>
        <w:tc>
          <w:tcPr>
            <w:tcW w:type="dxa" w:w="5170"/>
            <w:vAlign w:val="center"/>
          </w:tcPr>
          <w:p>
            <w:r/>
            <w:r>
              <w:rPr>
                <w:b w:val="0"/>
                <w:sz w:val="14"/>
              </w:rPr>
              <w:t>Control preservation</w:t>
            </w:r>
          </w:p>
        </w:tc>
        <w:tc>
          <w:tcPr>
            <w:tcW w:type="dxa" w:w="5170"/>
            <w:vAlign w:val="center"/>
          </w:tcPr>
          <w:p>
            <w:r/>
            <w:r>
              <w:rPr>
                <w:b w:val="0"/>
                <w:sz w:val="14"/>
              </w:rPr>
              <w:t>Manual workarounds shall retain maker-checker, authority and access controls where practicable.</w:t>
            </w:r>
          </w:p>
        </w:tc>
      </w:tr>
      <w:tr>
        <w:tc>
          <w:tcPr>
            <w:tcW w:type="dxa" w:w="5170"/>
            <w:vAlign w:val="center"/>
          </w:tcPr>
          <w:p>
            <w:r/>
            <w:r>
              <w:rPr>
                <w:b w:val="0"/>
                <w:sz w:val="14"/>
              </w:rPr>
              <w:t>Data integrity</w:t>
            </w:r>
          </w:p>
        </w:tc>
        <w:tc>
          <w:tcPr>
            <w:tcW w:type="dxa" w:w="5170"/>
            <w:vAlign w:val="center"/>
          </w:tcPr>
          <w:p>
            <w:r/>
            <w:r>
              <w:rPr>
                <w:b w:val="0"/>
                <w:sz w:val="14"/>
              </w:rPr>
              <w:t>Do not restore service using unverified or materially stale data without documented risk decision.</w:t>
            </w:r>
          </w:p>
        </w:tc>
      </w:tr>
      <w:tr>
        <w:tc>
          <w:tcPr>
            <w:tcW w:type="dxa" w:w="5170"/>
            <w:vAlign w:val="center"/>
          </w:tcPr>
          <w:p>
            <w:r/>
            <w:r>
              <w:rPr>
                <w:b w:val="0"/>
                <w:sz w:val="14"/>
              </w:rPr>
              <w:t>Communication</w:t>
            </w:r>
          </w:p>
        </w:tc>
        <w:tc>
          <w:tcPr>
            <w:tcW w:type="dxa" w:w="5170"/>
            <w:vAlign w:val="center"/>
          </w:tcPr>
          <w:p>
            <w:r/>
            <w:r>
              <w:rPr>
                <w:b w:val="0"/>
                <w:sz w:val="14"/>
              </w:rPr>
              <w:t>Use controlled internal and customer communication channels.</w:t>
            </w:r>
          </w:p>
        </w:tc>
      </w:tr>
      <w:tr>
        <w:tc>
          <w:tcPr>
            <w:tcW w:type="dxa" w:w="5170"/>
            <w:vAlign w:val="center"/>
          </w:tcPr>
          <w:p>
            <w:r/>
            <w:r>
              <w:rPr>
                <w:b w:val="0"/>
                <w:sz w:val="14"/>
              </w:rPr>
              <w:t>Evidence</w:t>
            </w:r>
          </w:p>
        </w:tc>
        <w:tc>
          <w:tcPr>
            <w:tcW w:type="dxa" w:w="5170"/>
            <w:vAlign w:val="center"/>
          </w:tcPr>
          <w:p>
            <w:r/>
            <w:r>
              <w:rPr>
                <w:b w:val="0"/>
                <w:sz w:val="14"/>
              </w:rPr>
              <w:t>Record decisions, disruptions, workarounds and recovery validation.</w:t>
            </w:r>
          </w:p>
        </w:tc>
      </w:tr>
    </w:tbl>
    <w:p/>
    <w:p>
      <w:pPr>
        <w:pStyle w:val="Heading1"/>
      </w:pPr>
      <w:r>
        <w:t>4. Governance</w:t>
      </w:r>
    </w:p>
    <w:p>
      <w:r>
        <w:t>Business Resilience coordinates continuity planning. Incident command may be led by Technology, Security, Operations or another function depending on cause and impact.</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Role</w:t>
            </w:r>
          </w:p>
        </w:tc>
        <w:tc>
          <w:tcPr>
            <w:tcW w:type="dxa" w:w="5170"/>
            <w:vAlign w:val="center"/>
            <w:shd w:fill="17365D"/>
          </w:tcPr>
          <w:p>
            <w:r/>
            <w:r>
              <w:rPr>
                <w:b/>
                <w:color w:val="FFFFFF"/>
                <w:sz w:val="15"/>
              </w:rPr>
              <w:t>Responsibility</w:t>
            </w:r>
          </w:p>
        </w:tc>
      </w:tr>
      <w:tr>
        <w:tc>
          <w:tcPr>
            <w:tcW w:type="dxa" w:w="5170"/>
            <w:vAlign w:val="center"/>
          </w:tcPr>
          <w:p>
            <w:r/>
            <w:r>
              <w:rPr>
                <w:b w:val="0"/>
                <w:sz w:val="14"/>
              </w:rPr>
              <w:t>Crisis Management Team</w:t>
            </w:r>
          </w:p>
        </w:tc>
        <w:tc>
          <w:tcPr>
            <w:tcW w:type="dxa" w:w="5170"/>
            <w:vAlign w:val="center"/>
          </w:tcPr>
          <w:p>
            <w:r/>
            <w:r>
              <w:rPr>
                <w:b w:val="0"/>
                <w:sz w:val="14"/>
              </w:rPr>
              <w:t>Enterprise prioritization and executive decisions for severe disruption.</w:t>
            </w:r>
          </w:p>
        </w:tc>
      </w:tr>
      <w:tr>
        <w:tc>
          <w:tcPr>
            <w:tcW w:type="dxa" w:w="5170"/>
            <w:vAlign w:val="center"/>
          </w:tcPr>
          <w:p>
            <w:r/>
            <w:r>
              <w:rPr>
                <w:b w:val="0"/>
                <w:sz w:val="14"/>
              </w:rPr>
              <w:t>Head of Business Resilience</w:t>
            </w:r>
          </w:p>
        </w:tc>
        <w:tc>
          <w:tcPr>
            <w:tcW w:type="dxa" w:w="5170"/>
            <w:vAlign w:val="center"/>
          </w:tcPr>
          <w:p>
            <w:r/>
            <w:r>
              <w:rPr>
                <w:b w:val="0"/>
                <w:sz w:val="14"/>
              </w:rPr>
              <w:t>Procedure owner; readiness, testing and coordination.</w:t>
            </w:r>
          </w:p>
        </w:tc>
      </w:tr>
      <w:tr>
        <w:tc>
          <w:tcPr>
            <w:tcW w:type="dxa" w:w="5170"/>
            <w:vAlign w:val="center"/>
          </w:tcPr>
          <w:p>
            <w:r/>
            <w:r>
              <w:rPr>
                <w:b w:val="0"/>
                <w:sz w:val="14"/>
              </w:rPr>
              <w:t>Business Process Owner</w:t>
            </w:r>
          </w:p>
        </w:tc>
        <w:tc>
          <w:tcPr>
            <w:tcW w:type="dxa" w:w="5170"/>
            <w:vAlign w:val="center"/>
          </w:tcPr>
          <w:p>
            <w:r/>
            <w:r>
              <w:rPr>
                <w:b w:val="0"/>
                <w:sz w:val="14"/>
              </w:rPr>
              <w:t>Maintain BIA, recovery plan, alternate process and contact lists.</w:t>
            </w:r>
          </w:p>
        </w:tc>
      </w:tr>
      <w:tr>
        <w:tc>
          <w:tcPr>
            <w:tcW w:type="dxa" w:w="5170"/>
            <w:vAlign w:val="center"/>
          </w:tcPr>
          <w:p>
            <w:r/>
            <w:r>
              <w:rPr>
                <w:b w:val="0"/>
                <w:sz w:val="14"/>
              </w:rPr>
              <w:t>Technology</w:t>
            </w:r>
          </w:p>
        </w:tc>
        <w:tc>
          <w:tcPr>
            <w:tcW w:type="dxa" w:w="5170"/>
            <w:vAlign w:val="center"/>
          </w:tcPr>
          <w:p>
            <w:r/>
            <w:r>
              <w:rPr>
                <w:b w:val="0"/>
                <w:sz w:val="14"/>
              </w:rPr>
              <w:t>Technology recovery, infrastructure and application restoration.</w:t>
            </w:r>
          </w:p>
        </w:tc>
      </w:tr>
      <w:tr>
        <w:tc>
          <w:tcPr>
            <w:tcW w:type="dxa" w:w="5170"/>
            <w:vAlign w:val="center"/>
          </w:tcPr>
          <w:p>
            <w:r/>
            <w:r>
              <w:rPr>
                <w:b w:val="0"/>
                <w:sz w:val="14"/>
              </w:rPr>
              <w:t>Information Security</w:t>
            </w:r>
          </w:p>
        </w:tc>
        <w:tc>
          <w:tcPr>
            <w:tcW w:type="dxa" w:w="5170"/>
            <w:vAlign w:val="center"/>
          </w:tcPr>
          <w:p>
            <w:r/>
            <w:r>
              <w:rPr>
                <w:b w:val="0"/>
                <w:sz w:val="14"/>
              </w:rPr>
              <w:t>Security containment/evidence where cyber event.</w:t>
            </w:r>
          </w:p>
        </w:tc>
      </w:tr>
      <w:tr>
        <w:tc>
          <w:tcPr>
            <w:tcW w:type="dxa" w:w="5170"/>
            <w:vAlign w:val="center"/>
          </w:tcPr>
          <w:p>
            <w:r/>
            <w:r>
              <w:rPr>
                <w:b w:val="0"/>
                <w:sz w:val="14"/>
              </w:rPr>
              <w:t>Vendor Manager</w:t>
            </w:r>
          </w:p>
        </w:tc>
        <w:tc>
          <w:tcPr>
            <w:tcW w:type="dxa" w:w="5170"/>
            <w:vAlign w:val="center"/>
          </w:tcPr>
          <w:p>
            <w:r/>
            <w:r>
              <w:rPr>
                <w:b w:val="0"/>
                <w:sz w:val="14"/>
              </w:rPr>
              <w:t>Coordinate critical third parties under VRP-053.</w:t>
            </w:r>
          </w:p>
        </w:tc>
      </w:tr>
      <w:tr>
        <w:tc>
          <w:tcPr>
            <w:tcW w:type="dxa" w:w="5170"/>
            <w:vAlign w:val="center"/>
          </w:tcPr>
          <w:p>
            <w:r/>
            <w:r>
              <w:rPr>
                <w:b w:val="0"/>
                <w:sz w:val="14"/>
              </w:rPr>
              <w:t>Operational Risk</w:t>
            </w:r>
          </w:p>
        </w:tc>
        <w:tc>
          <w:tcPr>
            <w:tcW w:type="dxa" w:w="5170"/>
            <w:vAlign w:val="center"/>
          </w:tcPr>
          <w:p>
            <w:r/>
            <w:r>
              <w:rPr>
                <w:b w:val="0"/>
                <w:sz w:val="14"/>
              </w:rPr>
              <w:t>Capture disruption as risk incident where threshold met.</w:t>
            </w:r>
          </w:p>
        </w:tc>
      </w:tr>
    </w:tbl>
    <w:p/>
    <w:p>
      <w:pPr>
        <w:pStyle w:val="Heading1"/>
      </w:pPr>
      <w:r>
        <w:t>5. Business Impact Analysis</w:t>
      </w:r>
    </w:p>
    <w:p>
      <w:r>
        <w:t>Each material process shall have a documented BIA identifying customer/service impact, dependencies, workarounds, recovery objectives and minimum staffing.</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BIA Element</w:t>
            </w:r>
          </w:p>
        </w:tc>
        <w:tc>
          <w:tcPr>
            <w:tcW w:type="dxa" w:w="5170"/>
            <w:vAlign w:val="center"/>
            <w:shd w:fill="17365D"/>
          </w:tcPr>
          <w:p>
            <w:r/>
            <w:r>
              <w:rPr>
                <w:b/>
                <w:color w:val="FFFFFF"/>
                <w:sz w:val="15"/>
              </w:rPr>
              <w:t>Required Detail</w:t>
            </w:r>
          </w:p>
        </w:tc>
      </w:tr>
      <w:tr>
        <w:tc>
          <w:tcPr>
            <w:tcW w:type="dxa" w:w="5170"/>
            <w:vAlign w:val="center"/>
          </w:tcPr>
          <w:p>
            <w:r/>
            <w:r>
              <w:rPr>
                <w:b w:val="0"/>
                <w:sz w:val="14"/>
              </w:rPr>
              <w:t>Process</w:t>
            </w:r>
          </w:p>
        </w:tc>
        <w:tc>
          <w:tcPr>
            <w:tcW w:type="dxa" w:w="5170"/>
            <w:vAlign w:val="center"/>
          </w:tcPr>
          <w:p>
            <w:r/>
            <w:r>
              <w:rPr>
                <w:b w:val="0"/>
                <w:sz w:val="14"/>
              </w:rPr>
              <w:t>Defined service/process boundary.</w:t>
            </w:r>
          </w:p>
        </w:tc>
      </w:tr>
      <w:tr>
        <w:tc>
          <w:tcPr>
            <w:tcW w:type="dxa" w:w="5170"/>
            <w:vAlign w:val="center"/>
          </w:tcPr>
          <w:p>
            <w:r/>
            <w:r>
              <w:rPr>
                <w:b w:val="0"/>
                <w:sz w:val="14"/>
              </w:rPr>
              <w:t>Criticality tier</w:t>
            </w:r>
          </w:p>
        </w:tc>
        <w:tc>
          <w:tcPr>
            <w:tcW w:type="dxa" w:w="5170"/>
            <w:vAlign w:val="center"/>
          </w:tcPr>
          <w:p>
            <w:r/>
            <w:r>
              <w:rPr>
                <w:b w:val="0"/>
                <w:sz w:val="14"/>
              </w:rPr>
              <w:t>C1–C4 continuity tier.</w:t>
            </w:r>
          </w:p>
        </w:tc>
      </w:tr>
      <w:tr>
        <w:tc>
          <w:tcPr>
            <w:tcW w:type="dxa" w:w="5170"/>
            <w:vAlign w:val="center"/>
          </w:tcPr>
          <w:p>
            <w:r/>
            <w:r>
              <w:rPr>
                <w:b w:val="0"/>
                <w:sz w:val="14"/>
              </w:rPr>
              <w:t>MTPD</w:t>
            </w:r>
          </w:p>
        </w:tc>
        <w:tc>
          <w:tcPr>
            <w:tcW w:type="dxa" w:w="5170"/>
            <w:vAlign w:val="center"/>
          </w:tcPr>
          <w:p>
            <w:r/>
            <w:r>
              <w:rPr>
                <w:b w:val="0"/>
                <w:sz w:val="14"/>
              </w:rPr>
              <w:t>Maximum tolerable period of disruption.</w:t>
            </w:r>
          </w:p>
        </w:tc>
      </w:tr>
      <w:tr>
        <w:tc>
          <w:tcPr>
            <w:tcW w:type="dxa" w:w="5170"/>
            <w:vAlign w:val="center"/>
          </w:tcPr>
          <w:p>
            <w:r/>
            <w:r>
              <w:rPr>
                <w:b w:val="0"/>
                <w:sz w:val="14"/>
              </w:rPr>
              <w:t>RTO</w:t>
            </w:r>
          </w:p>
        </w:tc>
        <w:tc>
          <w:tcPr>
            <w:tcW w:type="dxa" w:w="5170"/>
            <w:vAlign w:val="center"/>
          </w:tcPr>
          <w:p>
            <w:r/>
            <w:r>
              <w:rPr>
                <w:b w:val="0"/>
                <w:sz w:val="14"/>
              </w:rPr>
              <w:t>Target time to restore minimum acceptable service.</w:t>
            </w:r>
          </w:p>
        </w:tc>
      </w:tr>
      <w:tr>
        <w:tc>
          <w:tcPr>
            <w:tcW w:type="dxa" w:w="5170"/>
            <w:vAlign w:val="center"/>
          </w:tcPr>
          <w:p>
            <w:r/>
            <w:r>
              <w:rPr>
                <w:b w:val="0"/>
                <w:sz w:val="14"/>
              </w:rPr>
              <w:t>RPO</w:t>
            </w:r>
          </w:p>
        </w:tc>
        <w:tc>
          <w:tcPr>
            <w:tcW w:type="dxa" w:w="5170"/>
            <w:vAlign w:val="center"/>
          </w:tcPr>
          <w:p>
            <w:r/>
            <w:r>
              <w:rPr>
                <w:b w:val="0"/>
                <w:sz w:val="14"/>
              </w:rPr>
              <w:t>Target acceptable data-loss point where relevant.</w:t>
            </w:r>
          </w:p>
        </w:tc>
      </w:tr>
      <w:tr>
        <w:tc>
          <w:tcPr>
            <w:tcW w:type="dxa" w:w="5170"/>
            <w:vAlign w:val="center"/>
          </w:tcPr>
          <w:p>
            <w:r/>
            <w:r>
              <w:rPr>
                <w:b w:val="0"/>
                <w:sz w:val="14"/>
              </w:rPr>
              <w:t>Dependencies</w:t>
            </w:r>
          </w:p>
        </w:tc>
        <w:tc>
          <w:tcPr>
            <w:tcW w:type="dxa" w:w="5170"/>
            <w:vAlign w:val="center"/>
          </w:tcPr>
          <w:p>
            <w:r/>
            <w:r>
              <w:rPr>
                <w:b w:val="0"/>
                <w:sz w:val="14"/>
              </w:rPr>
              <w:t>Systems, data, people, sites, vendors, telecoms.</w:t>
            </w:r>
          </w:p>
        </w:tc>
      </w:tr>
      <w:tr>
        <w:tc>
          <w:tcPr>
            <w:tcW w:type="dxa" w:w="5170"/>
            <w:vAlign w:val="center"/>
          </w:tcPr>
          <w:p>
            <w:r/>
            <w:r>
              <w:rPr>
                <w:b w:val="0"/>
                <w:sz w:val="14"/>
              </w:rPr>
              <w:t>Minimum resources</w:t>
            </w:r>
          </w:p>
        </w:tc>
        <w:tc>
          <w:tcPr>
            <w:tcW w:type="dxa" w:w="5170"/>
            <w:vAlign w:val="center"/>
          </w:tcPr>
          <w:p>
            <w:r/>
            <w:r>
              <w:rPr>
                <w:b w:val="0"/>
                <w:sz w:val="14"/>
              </w:rPr>
              <w:t>Staff, roles, devices and access.</w:t>
            </w:r>
          </w:p>
        </w:tc>
      </w:tr>
      <w:tr>
        <w:tc>
          <w:tcPr>
            <w:tcW w:type="dxa" w:w="5170"/>
            <w:vAlign w:val="center"/>
          </w:tcPr>
          <w:p>
            <w:r/>
            <w:r>
              <w:rPr>
                <w:b w:val="0"/>
                <w:sz w:val="14"/>
              </w:rPr>
              <w:t>Manual workaround</w:t>
            </w:r>
          </w:p>
        </w:tc>
        <w:tc>
          <w:tcPr>
            <w:tcW w:type="dxa" w:w="5170"/>
            <w:vAlign w:val="center"/>
          </w:tcPr>
          <w:p>
            <w:r/>
            <w:r>
              <w:rPr>
                <w:b w:val="0"/>
                <w:sz w:val="14"/>
              </w:rPr>
              <w:t>Controlled fallback, limits and duration.</w:t>
            </w:r>
          </w:p>
        </w:tc>
      </w:tr>
    </w:tbl>
    <w:p/>
    <w:p>
      <w:pPr>
        <w:pStyle w:val="Heading1"/>
      </w:pPr>
      <w:r>
        <w:t>6. Continuity Criticality Tiers</w:t>
      </w:r>
    </w:p>
    <w:p>
      <w:r>
        <w:t>Northstar uses internal continuity tiers to prioritize recovery.</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Tier</w:t>
            </w:r>
          </w:p>
        </w:tc>
        <w:tc>
          <w:tcPr>
            <w:tcW w:type="dxa" w:w="3447"/>
            <w:vAlign w:val="center"/>
            <w:shd w:fill="17365D"/>
          </w:tcPr>
          <w:p>
            <w:r/>
            <w:r>
              <w:rPr>
                <w:b/>
                <w:color w:val="FFFFFF"/>
                <w:sz w:val="15"/>
              </w:rPr>
              <w:t>Typical Maximum Disruption Target</w:t>
            </w:r>
          </w:p>
        </w:tc>
        <w:tc>
          <w:tcPr>
            <w:tcW w:type="dxa" w:w="3447"/>
            <w:vAlign w:val="center"/>
            <w:shd w:fill="17365D"/>
          </w:tcPr>
          <w:p>
            <w:r/>
            <w:r>
              <w:rPr>
                <w:b/>
                <w:color w:val="FFFFFF"/>
                <w:sz w:val="15"/>
              </w:rPr>
              <w:t>Examples</w:t>
            </w:r>
          </w:p>
        </w:tc>
      </w:tr>
      <w:tr>
        <w:tc>
          <w:tcPr>
            <w:tcW w:type="dxa" w:w="3447"/>
            <w:vAlign w:val="center"/>
          </w:tcPr>
          <w:p>
            <w:r/>
            <w:r>
              <w:rPr>
                <w:b w:val="0"/>
                <w:sz w:val="14"/>
              </w:rPr>
              <w:t>C1 Critical</w:t>
            </w:r>
          </w:p>
        </w:tc>
        <w:tc>
          <w:tcPr>
            <w:tcW w:type="dxa" w:w="3447"/>
            <w:vAlign w:val="center"/>
          </w:tcPr>
          <w:p>
            <w:r/>
            <w:r>
              <w:rPr>
                <w:b w:val="0"/>
                <w:sz w:val="14"/>
              </w:rPr>
              <w:t>Target recovery within 4 hours</w:t>
            </w:r>
          </w:p>
        </w:tc>
        <w:tc>
          <w:tcPr>
            <w:tcW w:type="dxa" w:w="3447"/>
            <w:vAlign w:val="center"/>
          </w:tcPr>
          <w:p>
            <w:r/>
            <w:r>
              <w:rPr>
                <w:b w:val="0"/>
                <w:sz w:val="14"/>
              </w:rPr>
              <w:t>Core payment/disbursement controls, critical customer authentication, security monitoring, key treasury/market controls.</w:t>
            </w:r>
          </w:p>
        </w:tc>
      </w:tr>
      <w:tr>
        <w:tc>
          <w:tcPr>
            <w:tcW w:type="dxa" w:w="3447"/>
            <w:vAlign w:val="center"/>
          </w:tcPr>
          <w:p>
            <w:r/>
            <w:r>
              <w:rPr>
                <w:b w:val="0"/>
                <w:sz w:val="14"/>
              </w:rPr>
              <w:t>C2 High</w:t>
            </w:r>
          </w:p>
        </w:tc>
        <w:tc>
          <w:tcPr>
            <w:tcW w:type="dxa" w:w="3447"/>
            <w:vAlign w:val="center"/>
          </w:tcPr>
          <w:p>
            <w:r/>
            <w:r>
              <w:rPr>
                <w:b w:val="0"/>
                <w:sz w:val="14"/>
              </w:rPr>
              <w:t>Target recovery within 12 hours</w:t>
            </w:r>
          </w:p>
        </w:tc>
        <w:tc>
          <w:tcPr>
            <w:tcW w:type="dxa" w:w="3447"/>
            <w:vAlign w:val="center"/>
          </w:tcPr>
          <w:p>
            <w:r/>
            <w:r>
              <w:rPr>
                <w:b w:val="0"/>
                <w:sz w:val="14"/>
              </w:rPr>
              <w:t>KYC/AML case operations, customer service, loan servicing, investment monitoring.</w:t>
            </w:r>
          </w:p>
        </w:tc>
      </w:tr>
      <w:tr>
        <w:tc>
          <w:tcPr>
            <w:tcW w:type="dxa" w:w="3447"/>
            <w:vAlign w:val="center"/>
          </w:tcPr>
          <w:p>
            <w:r/>
            <w:r>
              <w:rPr>
                <w:b w:val="0"/>
                <w:sz w:val="14"/>
              </w:rPr>
              <w:t>C3 Moderate</w:t>
            </w:r>
          </w:p>
        </w:tc>
        <w:tc>
          <w:tcPr>
            <w:tcW w:type="dxa" w:w="3447"/>
            <w:vAlign w:val="center"/>
          </w:tcPr>
          <w:p>
            <w:r/>
            <w:r>
              <w:rPr>
                <w:b w:val="0"/>
                <w:sz w:val="14"/>
              </w:rPr>
              <w:t>Target recovery within 2 business days</w:t>
            </w:r>
          </w:p>
        </w:tc>
        <w:tc>
          <w:tcPr>
            <w:tcW w:type="dxa" w:w="3447"/>
            <w:vAlign w:val="center"/>
          </w:tcPr>
          <w:p>
            <w:r/>
            <w:r>
              <w:rPr>
                <w:b w:val="0"/>
                <w:sz w:val="14"/>
              </w:rPr>
              <w:t>Management reporting, non-critical back-office processing.</w:t>
            </w:r>
          </w:p>
        </w:tc>
      </w:tr>
      <w:tr>
        <w:tc>
          <w:tcPr>
            <w:tcW w:type="dxa" w:w="3447"/>
            <w:vAlign w:val="center"/>
          </w:tcPr>
          <w:p>
            <w:r/>
            <w:r>
              <w:rPr>
                <w:b w:val="0"/>
                <w:sz w:val="14"/>
              </w:rPr>
              <w:t>C4 Low</w:t>
            </w:r>
          </w:p>
        </w:tc>
        <w:tc>
          <w:tcPr>
            <w:tcW w:type="dxa" w:w="3447"/>
            <w:vAlign w:val="center"/>
          </w:tcPr>
          <w:p>
            <w:r/>
            <w:r>
              <w:rPr>
                <w:b w:val="0"/>
                <w:sz w:val="14"/>
              </w:rPr>
              <w:t>Target recovery within 5 business days</w:t>
            </w:r>
          </w:p>
        </w:tc>
        <w:tc>
          <w:tcPr>
            <w:tcW w:type="dxa" w:w="3447"/>
            <w:vAlign w:val="center"/>
          </w:tcPr>
          <w:p>
            <w:r/>
            <w:r>
              <w:rPr>
                <w:b w:val="0"/>
                <w:sz w:val="14"/>
              </w:rPr>
              <w:t>Deferrable support/administrative activity.</w:t>
            </w:r>
          </w:p>
        </w:tc>
      </w:tr>
    </w:tbl>
    <w:p/>
    <w:p>
      <w:pPr>
        <w:pStyle w:val="Heading1"/>
      </w:pPr>
      <w:r>
        <w:t>7. Recovery Objectives</w:t>
      </w:r>
    </w:p>
    <w:p>
      <w:r>
        <w:t>RTO/RPO values are internal resilience targets and not external legal statements. Process owners may set stricter targets based on customer, risk or contract requirements.</w:t>
      </w:r>
    </w:p>
    <w:p>
      <w:r>
        <w:t>A missed target is not automatically a compliance breach; severity depends on impact, cause, control failure and any mapped obligation. ORI-064 and CBP-043 govern parallel classification.</w:t>
      </w:r>
    </w:p>
    <w:p>
      <w:pPr>
        <w:pStyle w:val="Heading1"/>
      </w:pPr>
      <w:r>
        <w:t>8. Plan Content</w:t>
      </w:r>
    </w:p>
    <w:p>
      <w:r>
        <w:t>Each C1/C2 process requires a controlled continuity plan containing contacts, triggers, alternate location/process, minimum staffing, system dependencies, vendor dependencies, communications and restoration validation.</w:t>
      </w:r>
    </w:p>
    <w:p>
      <w:pPr>
        <w:pStyle w:val="Heading1"/>
      </w:pPr>
      <w:r>
        <w:t>9. Activation</w:t>
      </w:r>
    </w:p>
    <w:p>
      <w:r>
        <w:t>A continuity plan may be activated when disruption is expected to exceed ordinary incident-management capability or materially threaten a recovery objective.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Activation Level</w:t>
            </w:r>
          </w:p>
        </w:tc>
        <w:tc>
          <w:tcPr>
            <w:tcW w:type="dxa" w:w="5170"/>
            <w:vAlign w:val="center"/>
            <w:shd w:fill="17365D"/>
          </w:tcPr>
          <w:p>
            <w:r/>
            <w:r>
              <w:rPr>
                <w:b/>
                <w:color w:val="FFFFFF"/>
                <w:sz w:val="15"/>
              </w:rPr>
              <w:t>Indicative Authority</w:t>
            </w:r>
          </w:p>
        </w:tc>
      </w:tr>
      <w:tr>
        <w:tc>
          <w:tcPr>
            <w:tcW w:type="dxa" w:w="5170"/>
            <w:vAlign w:val="center"/>
          </w:tcPr>
          <w:p>
            <w:r/>
            <w:r>
              <w:rPr>
                <w:b w:val="0"/>
                <w:sz w:val="14"/>
              </w:rPr>
              <w:t>Local</w:t>
            </w:r>
          </w:p>
        </w:tc>
        <w:tc>
          <w:tcPr>
            <w:tcW w:type="dxa" w:w="5170"/>
            <w:vAlign w:val="center"/>
          </w:tcPr>
          <w:p>
            <w:r/>
            <w:r>
              <w:rPr>
                <w:b w:val="0"/>
                <w:sz w:val="14"/>
              </w:rPr>
              <w:t>Process owner / site manager for limited disruption.</w:t>
            </w:r>
          </w:p>
        </w:tc>
      </w:tr>
      <w:tr>
        <w:tc>
          <w:tcPr>
            <w:tcW w:type="dxa" w:w="5170"/>
            <w:vAlign w:val="center"/>
          </w:tcPr>
          <w:p>
            <w:r/>
            <w:r>
              <w:rPr>
                <w:b w:val="0"/>
                <w:sz w:val="14"/>
              </w:rPr>
              <w:t>Functional</w:t>
            </w:r>
          </w:p>
        </w:tc>
        <w:tc>
          <w:tcPr>
            <w:tcW w:type="dxa" w:w="5170"/>
            <w:vAlign w:val="center"/>
          </w:tcPr>
          <w:p>
            <w:r/>
            <w:r>
              <w:rPr>
                <w:b w:val="0"/>
                <w:sz w:val="14"/>
              </w:rPr>
              <w:t>Business/function head for multi-team or extended issue.</w:t>
            </w:r>
          </w:p>
        </w:tc>
      </w:tr>
      <w:tr>
        <w:tc>
          <w:tcPr>
            <w:tcW w:type="dxa" w:w="5170"/>
            <w:vAlign w:val="center"/>
          </w:tcPr>
          <w:p>
            <w:r/>
            <w:r>
              <w:rPr>
                <w:b w:val="0"/>
                <w:sz w:val="14"/>
              </w:rPr>
              <w:t>Enterprise</w:t>
            </w:r>
          </w:p>
        </w:tc>
        <w:tc>
          <w:tcPr>
            <w:tcW w:type="dxa" w:w="5170"/>
            <w:vAlign w:val="center"/>
          </w:tcPr>
          <w:p>
            <w:r/>
            <w:r>
              <w:rPr>
                <w:b w:val="0"/>
                <w:sz w:val="14"/>
              </w:rPr>
              <w:t>Crisis Management Team for severe multi-function, customer or market impact.</w:t>
            </w:r>
          </w:p>
        </w:tc>
      </w:tr>
    </w:tbl>
    <w:p/>
    <w:p>
      <w:pPr>
        <w:pStyle w:val="Heading1"/>
      </w:pPr>
      <w:r>
        <w:t>10. Incident Command Interface</w:t>
      </w:r>
    </w:p>
    <w:p>
      <w:r>
        <w:t>SIR-052 governs security incident command where information-security events are involved. BCP activation focuses on service continuity and may operate in parallel.</w:t>
      </w:r>
    </w:p>
    <w:p>
      <w:r>
        <w:t>A SEV-1 security incident can trigger continuity activation, but the two classifications are not interchangeable.</w:t>
      </w:r>
    </w:p>
    <w:p>
      <w:pPr>
        <w:pStyle w:val="Heading1"/>
      </w:pPr>
      <w:r>
        <w:t>11. Crisis Management Team</w:t>
      </w:r>
    </w:p>
    <w:p>
      <w:r>
        <w:t>The Crisis Management Team coordinates enterprise priorities, stakeholder communication, resource conflicts and major risk acceptance during severe disruption.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Standing Member</w:t>
            </w:r>
          </w:p>
        </w:tc>
        <w:tc>
          <w:tcPr>
            <w:tcW w:type="dxa" w:w="5170"/>
            <w:vAlign w:val="center"/>
            <w:shd w:fill="17365D"/>
          </w:tcPr>
          <w:p>
            <w:r/>
            <w:r>
              <w:rPr>
                <w:b/>
                <w:color w:val="FFFFFF"/>
                <w:sz w:val="15"/>
              </w:rPr>
              <w:t>Role</w:t>
            </w:r>
          </w:p>
        </w:tc>
      </w:tr>
      <w:tr>
        <w:tc>
          <w:tcPr>
            <w:tcW w:type="dxa" w:w="5170"/>
            <w:vAlign w:val="center"/>
          </w:tcPr>
          <w:p>
            <w:r/>
            <w:r>
              <w:rPr>
                <w:b w:val="0"/>
                <w:sz w:val="14"/>
              </w:rPr>
              <w:t>COO</w:t>
            </w:r>
          </w:p>
        </w:tc>
        <w:tc>
          <w:tcPr>
            <w:tcW w:type="dxa" w:w="5170"/>
            <w:vAlign w:val="center"/>
          </w:tcPr>
          <w:p>
            <w:r/>
            <w:r>
              <w:rPr>
                <w:b w:val="0"/>
                <w:sz w:val="14"/>
              </w:rPr>
              <w:t>Crisis executive lead unless otherwise designated.</w:t>
            </w:r>
          </w:p>
        </w:tc>
      </w:tr>
      <w:tr>
        <w:tc>
          <w:tcPr>
            <w:tcW w:type="dxa" w:w="5170"/>
            <w:vAlign w:val="center"/>
          </w:tcPr>
          <w:p>
            <w:r/>
            <w:r>
              <w:rPr>
                <w:b w:val="0"/>
                <w:sz w:val="14"/>
              </w:rPr>
              <w:t>CRO</w:t>
            </w:r>
          </w:p>
        </w:tc>
        <w:tc>
          <w:tcPr>
            <w:tcW w:type="dxa" w:w="5170"/>
            <w:vAlign w:val="center"/>
          </w:tcPr>
          <w:p>
            <w:r/>
            <w:r>
              <w:rPr>
                <w:b w:val="0"/>
                <w:sz w:val="14"/>
              </w:rPr>
              <w:t>Risk challenge and acceptance governance.</w:t>
            </w:r>
          </w:p>
        </w:tc>
      </w:tr>
      <w:tr>
        <w:tc>
          <w:tcPr>
            <w:tcW w:type="dxa" w:w="5170"/>
            <w:vAlign w:val="center"/>
          </w:tcPr>
          <w:p>
            <w:r/>
            <w:r>
              <w:rPr>
                <w:b w:val="0"/>
                <w:sz w:val="14"/>
              </w:rPr>
              <w:t>CTO</w:t>
            </w:r>
          </w:p>
        </w:tc>
        <w:tc>
          <w:tcPr>
            <w:tcW w:type="dxa" w:w="5170"/>
            <w:vAlign w:val="center"/>
          </w:tcPr>
          <w:p>
            <w:r/>
            <w:r>
              <w:rPr>
                <w:b w:val="0"/>
                <w:sz w:val="14"/>
              </w:rPr>
              <w:t>Technology recovery.</w:t>
            </w:r>
          </w:p>
        </w:tc>
      </w:tr>
      <w:tr>
        <w:tc>
          <w:tcPr>
            <w:tcW w:type="dxa" w:w="5170"/>
            <w:vAlign w:val="center"/>
          </w:tcPr>
          <w:p>
            <w:r/>
            <w:r>
              <w:rPr>
                <w:b w:val="0"/>
                <w:sz w:val="14"/>
              </w:rPr>
              <w:t>CISO</w:t>
            </w:r>
          </w:p>
        </w:tc>
        <w:tc>
          <w:tcPr>
            <w:tcW w:type="dxa" w:w="5170"/>
            <w:vAlign w:val="center"/>
          </w:tcPr>
          <w:p>
            <w:r/>
            <w:r>
              <w:rPr>
                <w:b w:val="0"/>
                <w:sz w:val="14"/>
              </w:rPr>
              <w:t>Security impact and containment.</w:t>
            </w:r>
          </w:p>
        </w:tc>
      </w:tr>
      <w:tr>
        <w:tc>
          <w:tcPr>
            <w:tcW w:type="dxa" w:w="5170"/>
            <w:vAlign w:val="center"/>
          </w:tcPr>
          <w:p>
            <w:r/>
            <w:r>
              <w:rPr>
                <w:b w:val="0"/>
                <w:sz w:val="14"/>
              </w:rPr>
              <w:t>CCO</w:t>
            </w:r>
          </w:p>
        </w:tc>
        <w:tc>
          <w:tcPr>
            <w:tcW w:type="dxa" w:w="5170"/>
            <w:vAlign w:val="center"/>
          </w:tcPr>
          <w:p>
            <w:r/>
            <w:r>
              <w:rPr>
                <w:b w:val="0"/>
                <w:sz w:val="14"/>
              </w:rPr>
              <w:t>Compliance/customer/regulatory implications.</w:t>
            </w:r>
          </w:p>
        </w:tc>
      </w:tr>
      <w:tr>
        <w:tc>
          <w:tcPr>
            <w:tcW w:type="dxa" w:w="5170"/>
            <w:vAlign w:val="center"/>
          </w:tcPr>
          <w:p>
            <w:r/>
            <w:r>
              <w:rPr>
                <w:b w:val="0"/>
                <w:sz w:val="14"/>
              </w:rPr>
              <w:t>CHRO</w:t>
            </w:r>
          </w:p>
        </w:tc>
        <w:tc>
          <w:tcPr>
            <w:tcW w:type="dxa" w:w="5170"/>
            <w:vAlign w:val="center"/>
          </w:tcPr>
          <w:p>
            <w:r/>
            <w:r>
              <w:rPr>
                <w:b w:val="0"/>
                <w:sz w:val="14"/>
              </w:rPr>
              <w:t>Employee safety and workforce continuity.</w:t>
            </w:r>
          </w:p>
        </w:tc>
      </w:tr>
      <w:tr>
        <w:tc>
          <w:tcPr>
            <w:tcW w:type="dxa" w:w="5170"/>
            <w:vAlign w:val="center"/>
          </w:tcPr>
          <w:p>
            <w:r/>
            <w:r>
              <w:rPr>
                <w:b w:val="0"/>
                <w:sz w:val="14"/>
              </w:rPr>
              <w:t>Business Heads</w:t>
            </w:r>
          </w:p>
        </w:tc>
        <w:tc>
          <w:tcPr>
            <w:tcW w:type="dxa" w:w="5170"/>
            <w:vAlign w:val="center"/>
          </w:tcPr>
          <w:p>
            <w:r/>
            <w:r>
              <w:rPr>
                <w:b w:val="0"/>
                <w:sz w:val="14"/>
              </w:rPr>
              <w:t>Critical-service priorities and customer impact.</w:t>
            </w:r>
          </w:p>
        </w:tc>
      </w:tr>
    </w:tbl>
    <w:p/>
    <w:p>
      <w:pPr>
        <w:pStyle w:val="Heading1"/>
      </w:pPr>
      <w:r>
        <w:t>12. Communication</w:t>
      </w:r>
    </w:p>
    <w:p>
      <w:r>
        <w:t>Communications shall be factual, approved and proportionate to uncertainty.</w:t>
      </w:r>
    </w:p>
    <w:p>
      <w:pPr>
        <w:pStyle w:val="ListBullet"/>
      </w:pPr>
      <w:r>
        <w:t>Employees receive operational instructions through approved channels.</w:t>
      </w:r>
    </w:p>
    <w:p>
      <w:pPr>
        <w:pStyle w:val="ListBullet"/>
      </w:pPr>
      <w:r>
        <w:t>Customer-facing statements shall avoid unsupported restoration promises.</w:t>
      </w:r>
    </w:p>
    <w:p>
      <w:pPr>
        <w:pStyle w:val="ListBullet"/>
      </w:pPr>
      <w:r>
        <w:t>Media/public statements require designated Communications approval.</w:t>
      </w:r>
    </w:p>
    <w:p>
      <w:pPr>
        <w:pStyle w:val="ListBullet"/>
      </w:pPr>
      <w:r>
        <w:t>Compliance/Legal coordinates any external reporting obligation.</w:t>
      </w:r>
    </w:p>
    <w:p>
      <w:pPr>
        <w:pStyle w:val="ListBullet"/>
      </w:pPr>
      <w:r>
        <w:t>Incident responders shall preserve a record of material messages and decisions.</w:t>
      </w:r>
    </w:p>
    <w:p>
      <w:pPr>
        <w:pStyle w:val="Heading1"/>
      </w:pPr>
      <w:r>
        <w:t>13. Alternate Work Arrangements</w:t>
      </w:r>
    </w:p>
    <w:p>
      <w:r>
        <w:t>Alternate sites, remote work, split teams or manual processes may be used where security, access and data controls remain acceptable.</w:t>
      </w:r>
    </w:p>
    <w:p>
      <w:r>
        <w:t>Emergency remote work does not authorize employees to store Restricted data on unmanaged personal devices or share credentials.</w:t>
      </w:r>
    </w:p>
    <w:p>
      <w:pPr>
        <w:pStyle w:val="Heading1"/>
      </w:pPr>
      <w:r>
        <w:t>14. Manual Workarounds</w:t>
      </w:r>
    </w:p>
    <w:p>
      <w:r>
        <w:t>Manual workarounds must preserve key approvals and prevent uncontrolled backlog or duplicate processing.</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Control Area</w:t>
            </w:r>
          </w:p>
        </w:tc>
        <w:tc>
          <w:tcPr>
            <w:tcW w:type="dxa" w:w="5170"/>
            <w:vAlign w:val="center"/>
            <w:shd w:fill="17365D"/>
          </w:tcPr>
          <w:p>
            <w:r/>
            <w:r>
              <w:rPr>
                <w:b/>
                <w:color w:val="FFFFFF"/>
                <w:sz w:val="15"/>
              </w:rPr>
              <w:t>Manual Requirement</w:t>
            </w:r>
          </w:p>
        </w:tc>
      </w:tr>
      <w:tr>
        <w:tc>
          <w:tcPr>
            <w:tcW w:type="dxa" w:w="5170"/>
            <w:vAlign w:val="center"/>
          </w:tcPr>
          <w:p>
            <w:r/>
            <w:r>
              <w:rPr>
                <w:b w:val="0"/>
                <w:sz w:val="14"/>
              </w:rPr>
              <w:t>Credit approval</w:t>
            </w:r>
          </w:p>
        </w:tc>
        <w:tc>
          <w:tcPr>
            <w:tcW w:type="dxa" w:w="5170"/>
            <w:vAlign w:val="center"/>
          </w:tcPr>
          <w:p>
            <w:r/>
            <w:r>
              <w:rPr>
                <w:b w:val="0"/>
                <w:sz w:val="14"/>
              </w:rPr>
              <w:t>Delegated authority remains under CDAS-007.</w:t>
            </w:r>
          </w:p>
        </w:tc>
      </w:tr>
      <w:tr>
        <w:tc>
          <w:tcPr>
            <w:tcW w:type="dxa" w:w="5170"/>
            <w:vAlign w:val="center"/>
          </w:tcPr>
          <w:p>
            <w:r/>
            <w:r>
              <w:rPr>
                <w:b w:val="0"/>
                <w:sz w:val="14"/>
              </w:rPr>
              <w:t>Investment dealing</w:t>
            </w:r>
          </w:p>
        </w:tc>
        <w:tc>
          <w:tcPr>
            <w:tcW w:type="dxa" w:w="5170"/>
            <w:vAlign w:val="center"/>
          </w:tcPr>
          <w:p>
            <w:r/>
            <w:r>
              <w:rPr>
                <w:b w:val="0"/>
                <w:sz w:val="14"/>
              </w:rPr>
              <w:t>IA1–IA5 authority remains under IDS-042.</w:t>
            </w:r>
          </w:p>
        </w:tc>
      </w:tr>
      <w:tr>
        <w:tc>
          <w:tcPr>
            <w:tcW w:type="dxa" w:w="5170"/>
            <w:vAlign w:val="center"/>
          </w:tcPr>
          <w:p>
            <w:r/>
            <w:r>
              <w:rPr>
                <w:b w:val="0"/>
                <w:sz w:val="14"/>
              </w:rPr>
              <w:t>KYC/AML</w:t>
            </w:r>
          </w:p>
        </w:tc>
        <w:tc>
          <w:tcPr>
            <w:tcW w:type="dxa" w:w="5170"/>
            <w:vAlign w:val="center"/>
          </w:tcPr>
          <w:p>
            <w:r/>
            <w:r>
              <w:rPr>
                <w:b w:val="0"/>
                <w:sz w:val="14"/>
              </w:rPr>
              <w:t>Restrictions and specialist decisions remain in force.</w:t>
            </w:r>
          </w:p>
        </w:tc>
      </w:tr>
      <w:tr>
        <w:tc>
          <w:tcPr>
            <w:tcW w:type="dxa" w:w="5170"/>
            <w:vAlign w:val="center"/>
          </w:tcPr>
          <w:p>
            <w:r/>
            <w:r>
              <w:rPr>
                <w:b w:val="0"/>
                <w:sz w:val="14"/>
              </w:rPr>
              <w:t>Payments/disbursement</w:t>
            </w:r>
          </w:p>
        </w:tc>
        <w:tc>
          <w:tcPr>
            <w:tcW w:type="dxa" w:w="5170"/>
            <w:vAlign w:val="center"/>
          </w:tcPr>
          <w:p>
            <w:r/>
            <w:r>
              <w:rPr>
                <w:b w:val="0"/>
                <w:sz w:val="14"/>
              </w:rPr>
              <w:t>Maker-checker and beneficiary validation retained.</w:t>
            </w:r>
          </w:p>
        </w:tc>
      </w:tr>
      <w:tr>
        <w:tc>
          <w:tcPr>
            <w:tcW w:type="dxa" w:w="5170"/>
            <w:vAlign w:val="center"/>
          </w:tcPr>
          <w:p>
            <w:r/>
            <w:r>
              <w:rPr>
                <w:b w:val="0"/>
                <w:sz w:val="14"/>
              </w:rPr>
              <w:t>Access</w:t>
            </w:r>
          </w:p>
        </w:tc>
        <w:tc>
          <w:tcPr>
            <w:tcW w:type="dxa" w:w="5170"/>
            <w:vAlign w:val="center"/>
          </w:tcPr>
          <w:p>
            <w:r/>
            <w:r>
              <w:rPr>
                <w:b w:val="0"/>
                <w:sz w:val="14"/>
              </w:rPr>
              <w:t>Emergency access under ACS-051 break-glass controls.</w:t>
            </w:r>
          </w:p>
        </w:tc>
      </w:tr>
      <w:tr>
        <w:tc>
          <w:tcPr>
            <w:tcW w:type="dxa" w:w="5170"/>
            <w:vAlign w:val="center"/>
          </w:tcPr>
          <w:p>
            <w:r/>
            <w:r>
              <w:rPr>
                <w:b w:val="0"/>
                <w:sz w:val="14"/>
              </w:rPr>
              <w:t>Records</w:t>
            </w:r>
          </w:p>
        </w:tc>
        <w:tc>
          <w:tcPr>
            <w:tcW w:type="dxa" w:w="5170"/>
            <w:vAlign w:val="center"/>
          </w:tcPr>
          <w:p>
            <w:r/>
            <w:r>
              <w:rPr>
                <w:b w:val="0"/>
                <w:sz w:val="14"/>
              </w:rPr>
              <w:t>Backlog log maintained for later system reconciliation.</w:t>
            </w:r>
          </w:p>
        </w:tc>
      </w:tr>
    </w:tbl>
    <w:p/>
    <w:p>
      <w:pPr>
        <w:pStyle w:val="Heading1"/>
      </w:pPr>
      <w:r>
        <w:t>15. Data and Record Continuity</w:t>
      </w:r>
    </w:p>
    <w:p>
      <w:r>
        <w:t>Backup and restoration follow ISP-014. Business units shall identify critical records that need accessible copies or recoverable sources during disruption.</w:t>
      </w:r>
    </w:p>
    <w:p>
      <w:pPr>
        <w:pStyle w:val="Heading1"/>
      </w:pPr>
      <w:r>
        <w:t>16. Technology Recovery</w:t>
      </w:r>
    </w:p>
    <w:p>
      <w:r>
        <w:t>Technology teams shall prioritize service restoration by approved recovery tier and validate functionality, data integrity, security controls and interfaces before declaring stable recovery.</w:t>
      </w:r>
    </w:p>
    <w:p>
      <w:pPr>
        <w:pStyle w:val="Heading1"/>
      </w:pPr>
      <w:r>
        <w:t>17. Vendor Continuity</w:t>
      </w:r>
    </w:p>
    <w:p>
      <w:r>
        <w:t>Critical vendor dependencies are managed through VRP-053.</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Vendor Event</w:t>
            </w:r>
          </w:p>
        </w:tc>
        <w:tc>
          <w:tcPr>
            <w:tcW w:type="dxa" w:w="5170"/>
            <w:vAlign w:val="center"/>
            <w:shd w:fill="17365D"/>
          </w:tcPr>
          <w:p>
            <w:r/>
            <w:r>
              <w:rPr>
                <w:b/>
                <w:color w:val="FFFFFF"/>
                <w:sz w:val="15"/>
              </w:rPr>
              <w:t>Continuity Treatment</w:t>
            </w:r>
          </w:p>
        </w:tc>
      </w:tr>
      <w:tr>
        <w:tc>
          <w:tcPr>
            <w:tcW w:type="dxa" w:w="5170"/>
            <w:vAlign w:val="center"/>
          </w:tcPr>
          <w:p>
            <w:r/>
            <w:r>
              <w:rPr>
                <w:b w:val="0"/>
                <w:sz w:val="14"/>
              </w:rPr>
              <w:t>Vendor outage</w:t>
            </w:r>
          </w:p>
        </w:tc>
        <w:tc>
          <w:tcPr>
            <w:tcW w:type="dxa" w:w="5170"/>
            <w:vAlign w:val="center"/>
          </w:tcPr>
          <w:p>
            <w:r/>
            <w:r>
              <w:rPr>
                <w:b w:val="0"/>
                <w:sz w:val="14"/>
              </w:rPr>
              <w:t>Assess service impact, alternate provider/manual route and data/access implications.</w:t>
            </w:r>
          </w:p>
        </w:tc>
      </w:tr>
      <w:tr>
        <w:tc>
          <w:tcPr>
            <w:tcW w:type="dxa" w:w="5170"/>
            <w:vAlign w:val="center"/>
          </w:tcPr>
          <w:p>
            <w:r/>
            <w:r>
              <w:rPr>
                <w:b w:val="0"/>
                <w:sz w:val="14"/>
              </w:rPr>
              <w:t>Cloud region failure</w:t>
            </w:r>
          </w:p>
        </w:tc>
        <w:tc>
          <w:tcPr>
            <w:tcW w:type="dxa" w:w="5170"/>
            <w:vAlign w:val="center"/>
          </w:tcPr>
          <w:p>
            <w:r/>
            <w:r>
              <w:rPr>
                <w:b w:val="0"/>
                <w:sz w:val="14"/>
              </w:rPr>
              <w:t>Use approved failover where available; validate data/security before recovery.</w:t>
            </w:r>
          </w:p>
        </w:tc>
      </w:tr>
      <w:tr>
        <w:tc>
          <w:tcPr>
            <w:tcW w:type="dxa" w:w="5170"/>
            <w:vAlign w:val="center"/>
          </w:tcPr>
          <w:p>
            <w:r/>
            <w:r>
              <w:rPr>
                <w:b w:val="0"/>
                <w:sz w:val="14"/>
              </w:rPr>
              <w:t>Telecom failure</w:t>
            </w:r>
          </w:p>
        </w:tc>
        <w:tc>
          <w:tcPr>
            <w:tcW w:type="dxa" w:w="5170"/>
            <w:vAlign w:val="center"/>
          </w:tcPr>
          <w:p>
            <w:r/>
            <w:r>
              <w:rPr>
                <w:b w:val="0"/>
                <w:sz w:val="14"/>
              </w:rPr>
              <w:t>Invoke secondary connectivity if approved.</w:t>
            </w:r>
          </w:p>
        </w:tc>
      </w:tr>
      <w:tr>
        <w:tc>
          <w:tcPr>
            <w:tcW w:type="dxa" w:w="5170"/>
            <w:vAlign w:val="center"/>
          </w:tcPr>
          <w:p>
            <w:r/>
            <w:r>
              <w:rPr>
                <w:b w:val="0"/>
                <w:sz w:val="14"/>
              </w:rPr>
              <w:t>Critical subprocessor failure</w:t>
            </w:r>
          </w:p>
        </w:tc>
        <w:tc>
          <w:tcPr>
            <w:tcW w:type="dxa" w:w="5170"/>
            <w:vAlign w:val="center"/>
          </w:tcPr>
          <w:p>
            <w:r/>
            <w:r>
              <w:rPr>
                <w:b w:val="0"/>
                <w:sz w:val="14"/>
              </w:rPr>
              <w:t>Require vendor plan and assess Northstar alternative.</w:t>
            </w:r>
          </w:p>
        </w:tc>
      </w:tr>
      <w:tr>
        <w:tc>
          <w:tcPr>
            <w:tcW w:type="dxa" w:w="5170"/>
            <w:vAlign w:val="center"/>
          </w:tcPr>
          <w:p>
            <w:r/>
            <w:r>
              <w:rPr>
                <w:b w:val="0"/>
                <w:sz w:val="14"/>
              </w:rPr>
              <w:t>Vendor staff shortage</w:t>
            </w:r>
          </w:p>
        </w:tc>
        <w:tc>
          <w:tcPr>
            <w:tcW w:type="dxa" w:w="5170"/>
            <w:vAlign w:val="center"/>
          </w:tcPr>
          <w:p>
            <w:r/>
            <w:r>
              <w:rPr>
                <w:b w:val="0"/>
                <w:sz w:val="14"/>
              </w:rPr>
              <w:t>Prioritize essential service and monitor SLA/control degradation.</w:t>
            </w:r>
          </w:p>
        </w:tc>
      </w:tr>
    </w:tbl>
    <w:p/>
    <w:p>
      <w:pPr>
        <w:pStyle w:val="Heading1"/>
      </w:pPr>
      <w:r>
        <w:t>18. Branch and Site Disruption</w:t>
      </w:r>
    </w:p>
    <w:p>
      <w:r>
        <w:t>Sites shall maintain evacuation/contact procedures and alternate service routing. Customer records shall not be moved to uncontrolled personal locations.</w:t>
      </w:r>
    </w:p>
    <w:p>
      <w:pPr>
        <w:pStyle w:val="Heading1"/>
      </w:pPr>
      <w:r>
        <w:t>19. Workforce Unavailability</w:t>
      </w:r>
    </w:p>
    <w:p>
      <w:r>
        <w:t>Cross-training and minimum staffing plans shall identify critical maker/checker, specialist and decision roles.</w:t>
      </w:r>
    </w:p>
    <w:p>
      <w:r>
        <w:t>An employee temporarily covering another role receives only approved access and authority; role coverage does not automatically expand delegated authority.</w:t>
      </w:r>
    </w:p>
    <w:p>
      <w:pPr>
        <w:pStyle w:val="Heading1"/>
      </w:pPr>
      <w:r>
        <w:t>20. Customer Prioritization</w:t>
      </w:r>
    </w:p>
    <w:p>
      <w:r>
        <w:t>During constrained capacity, operations shall prioritize safety, vulnerable/customer-harm risks, critical payment/service needs, complaint escalations and time-sensitive control obligations based on approved plans.</w:t>
      </w:r>
    </w:p>
    <w:p>
      <w:pPr>
        <w:pStyle w:val="Heading1"/>
      </w:pPr>
      <w:r>
        <w:t>21. Backlog Management</w:t>
      </w:r>
    </w:p>
    <w:p>
      <w:r>
        <w:t>Backlogs created during disruption shall be measured, prioritized and reconciled after restoration.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Backlog Field</w:t>
            </w:r>
          </w:p>
        </w:tc>
        <w:tc>
          <w:tcPr>
            <w:tcW w:type="dxa" w:w="5170"/>
            <w:vAlign w:val="center"/>
            <w:shd w:fill="17365D"/>
          </w:tcPr>
          <w:p>
            <w:r/>
            <w:r>
              <w:rPr>
                <w:b/>
                <w:color w:val="FFFFFF"/>
                <w:sz w:val="15"/>
              </w:rPr>
              <w:t>Minimum Record</w:t>
            </w:r>
          </w:p>
        </w:tc>
      </w:tr>
      <w:tr>
        <w:tc>
          <w:tcPr>
            <w:tcW w:type="dxa" w:w="5170"/>
            <w:vAlign w:val="center"/>
          </w:tcPr>
          <w:p>
            <w:r/>
            <w:r>
              <w:rPr>
                <w:b w:val="0"/>
                <w:sz w:val="14"/>
              </w:rPr>
              <w:t>Item/reference</w:t>
            </w:r>
          </w:p>
        </w:tc>
        <w:tc>
          <w:tcPr>
            <w:tcW w:type="dxa" w:w="5170"/>
            <w:vAlign w:val="center"/>
          </w:tcPr>
          <w:p>
            <w:r/>
            <w:r>
              <w:rPr>
                <w:b w:val="0"/>
                <w:sz w:val="14"/>
              </w:rPr>
              <w:t>Unique case/transaction/customer reference.</w:t>
            </w:r>
          </w:p>
        </w:tc>
      </w:tr>
      <w:tr>
        <w:tc>
          <w:tcPr>
            <w:tcW w:type="dxa" w:w="5170"/>
            <w:vAlign w:val="center"/>
          </w:tcPr>
          <w:p>
            <w:r/>
            <w:r>
              <w:rPr>
                <w:b w:val="0"/>
                <w:sz w:val="14"/>
              </w:rPr>
              <w:t>Created</w:t>
            </w:r>
          </w:p>
        </w:tc>
        <w:tc>
          <w:tcPr>
            <w:tcW w:type="dxa" w:w="5170"/>
            <w:vAlign w:val="center"/>
          </w:tcPr>
          <w:p>
            <w:r/>
            <w:r>
              <w:rPr>
                <w:b w:val="0"/>
                <w:sz w:val="14"/>
              </w:rPr>
              <w:t>Date/time.</w:t>
            </w:r>
          </w:p>
        </w:tc>
      </w:tr>
      <w:tr>
        <w:tc>
          <w:tcPr>
            <w:tcW w:type="dxa" w:w="5170"/>
            <w:vAlign w:val="center"/>
          </w:tcPr>
          <w:p>
            <w:r/>
            <w:r>
              <w:rPr>
                <w:b w:val="0"/>
                <w:sz w:val="14"/>
              </w:rPr>
              <w:t>Reason</w:t>
            </w:r>
          </w:p>
        </w:tc>
        <w:tc>
          <w:tcPr>
            <w:tcW w:type="dxa" w:w="5170"/>
            <w:vAlign w:val="center"/>
          </w:tcPr>
          <w:p>
            <w:r/>
            <w:r>
              <w:rPr>
                <w:b w:val="0"/>
                <w:sz w:val="14"/>
              </w:rPr>
              <w:t>Disruption/workaround cause.</w:t>
            </w:r>
          </w:p>
        </w:tc>
      </w:tr>
      <w:tr>
        <w:tc>
          <w:tcPr>
            <w:tcW w:type="dxa" w:w="5170"/>
            <w:vAlign w:val="center"/>
          </w:tcPr>
          <w:p>
            <w:r/>
            <w:r>
              <w:rPr>
                <w:b w:val="0"/>
                <w:sz w:val="14"/>
              </w:rPr>
              <w:t>Priority</w:t>
            </w:r>
          </w:p>
        </w:tc>
        <w:tc>
          <w:tcPr>
            <w:tcW w:type="dxa" w:w="5170"/>
            <w:vAlign w:val="center"/>
          </w:tcPr>
          <w:p>
            <w:r/>
            <w:r>
              <w:rPr>
                <w:b w:val="0"/>
                <w:sz w:val="14"/>
              </w:rPr>
              <w:t>Critical/high/normal.</w:t>
            </w:r>
          </w:p>
        </w:tc>
      </w:tr>
      <w:tr>
        <w:tc>
          <w:tcPr>
            <w:tcW w:type="dxa" w:w="5170"/>
            <w:vAlign w:val="center"/>
          </w:tcPr>
          <w:p>
            <w:r/>
            <w:r>
              <w:rPr>
                <w:b w:val="0"/>
                <w:sz w:val="14"/>
              </w:rPr>
              <w:t>Manual action</w:t>
            </w:r>
          </w:p>
        </w:tc>
        <w:tc>
          <w:tcPr>
            <w:tcW w:type="dxa" w:w="5170"/>
            <w:vAlign w:val="center"/>
          </w:tcPr>
          <w:p>
            <w:r/>
            <w:r>
              <w:rPr>
                <w:b w:val="0"/>
                <w:sz w:val="14"/>
              </w:rPr>
              <w:t>What was performed during outage.</w:t>
            </w:r>
          </w:p>
        </w:tc>
      </w:tr>
      <w:tr>
        <w:tc>
          <w:tcPr>
            <w:tcW w:type="dxa" w:w="5170"/>
            <w:vAlign w:val="center"/>
          </w:tcPr>
          <w:p>
            <w:r/>
            <w:r>
              <w:rPr>
                <w:b w:val="0"/>
                <w:sz w:val="14"/>
              </w:rPr>
              <w:t>System catch-up</w:t>
            </w:r>
          </w:p>
        </w:tc>
        <w:tc>
          <w:tcPr>
            <w:tcW w:type="dxa" w:w="5170"/>
            <w:vAlign w:val="center"/>
          </w:tcPr>
          <w:p>
            <w:r/>
            <w:r>
              <w:rPr>
                <w:b w:val="0"/>
                <w:sz w:val="14"/>
              </w:rPr>
              <w:t>Required post-recovery update.</w:t>
            </w:r>
          </w:p>
        </w:tc>
      </w:tr>
      <w:tr>
        <w:tc>
          <w:tcPr>
            <w:tcW w:type="dxa" w:w="5170"/>
            <w:vAlign w:val="center"/>
          </w:tcPr>
          <w:p>
            <w:r/>
            <w:r>
              <w:rPr>
                <w:b w:val="0"/>
                <w:sz w:val="14"/>
              </w:rPr>
              <w:t>Checker</w:t>
            </w:r>
          </w:p>
        </w:tc>
        <w:tc>
          <w:tcPr>
            <w:tcW w:type="dxa" w:w="5170"/>
            <w:vAlign w:val="center"/>
          </w:tcPr>
          <w:p>
            <w:r/>
            <w:r>
              <w:rPr>
                <w:b w:val="0"/>
                <w:sz w:val="14"/>
              </w:rPr>
              <w:t>Independent verification where needed.</w:t>
            </w:r>
          </w:p>
        </w:tc>
      </w:tr>
      <w:tr>
        <w:tc>
          <w:tcPr>
            <w:tcW w:type="dxa" w:w="5170"/>
            <w:vAlign w:val="center"/>
          </w:tcPr>
          <w:p>
            <w:r/>
            <w:r>
              <w:rPr>
                <w:b w:val="0"/>
                <w:sz w:val="14"/>
              </w:rPr>
              <w:t>Closed</w:t>
            </w:r>
          </w:p>
        </w:tc>
        <w:tc>
          <w:tcPr>
            <w:tcW w:type="dxa" w:w="5170"/>
            <w:vAlign w:val="center"/>
          </w:tcPr>
          <w:p>
            <w:r/>
            <w:r>
              <w:rPr>
                <w:b w:val="0"/>
                <w:sz w:val="14"/>
              </w:rPr>
              <w:t>Date and evidence.</w:t>
            </w:r>
          </w:p>
        </w:tc>
      </w:tr>
    </w:tbl>
    <w:p/>
    <w:p>
      <w:pPr>
        <w:pStyle w:val="Heading1"/>
      </w:pPr>
      <w:r>
        <w:t>22. Return to Normal Operations</w:t>
      </w:r>
    </w:p>
    <w:p>
      <w:r>
        <w:t>Return to BAU requires confirmation that critical systems/processes are stable, security concerns are controlled, data/backlogs are reconciled and emergency access/workarounds are withdrawn.</w:t>
      </w:r>
    </w:p>
    <w:p>
      <w:pPr>
        <w:pStyle w:val="Heading1"/>
      </w:pPr>
      <w:r>
        <w:t>23. Testing Programme</w:t>
      </w:r>
    </w:p>
    <w:p>
      <w:r>
        <w:t>C1/C2 continuity plans shall be exercised periodically using scenarios that test more than document availability.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Test</w:t>
            </w:r>
          </w:p>
        </w:tc>
        <w:tc>
          <w:tcPr>
            <w:tcW w:type="dxa" w:w="5170"/>
            <w:vAlign w:val="center"/>
            <w:shd w:fill="17365D"/>
          </w:tcPr>
          <w:p>
            <w:r/>
            <w:r>
              <w:rPr>
                <w:b/>
                <w:color w:val="FFFFFF"/>
                <w:sz w:val="15"/>
              </w:rPr>
              <w:t>Indicative Frequency</w:t>
            </w:r>
          </w:p>
        </w:tc>
      </w:tr>
      <w:tr>
        <w:tc>
          <w:tcPr>
            <w:tcW w:type="dxa" w:w="5170"/>
            <w:vAlign w:val="center"/>
          </w:tcPr>
          <w:p>
            <w:r/>
            <w:r>
              <w:rPr>
                <w:b w:val="0"/>
                <w:sz w:val="14"/>
              </w:rPr>
              <w:t>Contact-tree / notification test</w:t>
            </w:r>
          </w:p>
        </w:tc>
        <w:tc>
          <w:tcPr>
            <w:tcW w:type="dxa" w:w="5170"/>
            <w:vAlign w:val="center"/>
          </w:tcPr>
          <w:p>
            <w:r/>
            <w:r>
              <w:rPr>
                <w:b w:val="0"/>
                <w:sz w:val="14"/>
              </w:rPr>
              <w:t>At least semiannual for C1/C2.</w:t>
            </w:r>
          </w:p>
        </w:tc>
      </w:tr>
      <w:tr>
        <w:tc>
          <w:tcPr>
            <w:tcW w:type="dxa" w:w="5170"/>
            <w:vAlign w:val="center"/>
          </w:tcPr>
          <w:p>
            <w:r/>
            <w:r>
              <w:rPr>
                <w:b w:val="0"/>
                <w:sz w:val="14"/>
              </w:rPr>
              <w:t>Desktop exercise</w:t>
            </w:r>
          </w:p>
        </w:tc>
        <w:tc>
          <w:tcPr>
            <w:tcW w:type="dxa" w:w="5170"/>
            <w:vAlign w:val="center"/>
          </w:tcPr>
          <w:p>
            <w:r/>
            <w:r>
              <w:rPr>
                <w:b w:val="0"/>
                <w:sz w:val="14"/>
              </w:rPr>
              <w:t>At least annual.</w:t>
            </w:r>
          </w:p>
        </w:tc>
      </w:tr>
      <w:tr>
        <w:tc>
          <w:tcPr>
            <w:tcW w:type="dxa" w:w="5170"/>
            <w:vAlign w:val="center"/>
          </w:tcPr>
          <w:p>
            <w:r/>
            <w:r>
              <w:rPr>
                <w:b w:val="0"/>
                <w:sz w:val="14"/>
              </w:rPr>
              <w:t>Technology recovery / failover</w:t>
            </w:r>
          </w:p>
        </w:tc>
        <w:tc>
          <w:tcPr>
            <w:tcW w:type="dxa" w:w="5170"/>
            <w:vAlign w:val="center"/>
          </w:tcPr>
          <w:p>
            <w:r/>
            <w:r>
              <w:rPr>
                <w:b w:val="0"/>
                <w:sz w:val="14"/>
              </w:rPr>
              <w:t>Per system criticality, at least annual for selected C1.</w:t>
            </w:r>
          </w:p>
        </w:tc>
      </w:tr>
      <w:tr>
        <w:tc>
          <w:tcPr>
            <w:tcW w:type="dxa" w:w="5170"/>
            <w:vAlign w:val="center"/>
          </w:tcPr>
          <w:p>
            <w:r/>
            <w:r>
              <w:rPr>
                <w:b w:val="0"/>
                <w:sz w:val="14"/>
              </w:rPr>
              <w:t>Vendor continuity evidence/test</w:t>
            </w:r>
          </w:p>
        </w:tc>
        <w:tc>
          <w:tcPr>
            <w:tcW w:type="dxa" w:w="5170"/>
            <w:vAlign w:val="center"/>
          </w:tcPr>
          <w:p>
            <w:r/>
            <w:r>
              <w:rPr>
                <w:b w:val="0"/>
                <w:sz w:val="14"/>
              </w:rPr>
              <w:t>Annual for critical T1 dependencies where practical.</w:t>
            </w:r>
          </w:p>
        </w:tc>
      </w:tr>
      <w:tr>
        <w:tc>
          <w:tcPr>
            <w:tcW w:type="dxa" w:w="5170"/>
            <w:vAlign w:val="center"/>
          </w:tcPr>
          <w:p>
            <w:r/>
            <w:r>
              <w:rPr>
                <w:b w:val="0"/>
                <w:sz w:val="14"/>
              </w:rPr>
              <w:t>Alternate-site/remote operating test</w:t>
            </w:r>
          </w:p>
        </w:tc>
        <w:tc>
          <w:tcPr>
            <w:tcW w:type="dxa" w:w="5170"/>
            <w:vAlign w:val="center"/>
          </w:tcPr>
          <w:p>
            <w:r/>
            <w:r>
              <w:rPr>
                <w:b w:val="0"/>
                <w:sz w:val="14"/>
              </w:rPr>
              <w:t>At least annual for selected critical teams.</w:t>
            </w:r>
          </w:p>
        </w:tc>
      </w:tr>
    </w:tbl>
    <w:p/>
    <w:p>
      <w:pPr>
        <w:pStyle w:val="Heading1"/>
      </w:pPr>
      <w:r>
        <w:t>24. Test Defects</w:t>
      </w:r>
    </w:p>
    <w:p>
      <w:r>
        <w:t>Failed steps, unachievable RTOs, inaccessible records, stale contacts and control breakdowns shall be logged as actions with owners and dates. Material failures may require ORI-064 risk incident recording.</w:t>
      </w:r>
    </w:p>
    <w:p>
      <w:pPr>
        <w:pStyle w:val="Heading1"/>
      </w:pPr>
      <w:r>
        <w:t>25. Operational Risk and Loss Capture</w:t>
      </w:r>
    </w:p>
    <w:p>
      <w:r>
        <w:t>Material business disruptions, losses, control failures or repeated near misses shall be captured under ORI-064. BCP testing defects are not automatically incidents unless threshold or materiality warrants it.</w:t>
      </w:r>
    </w:p>
    <w:p>
      <w:pPr>
        <w:pStyle w:val="Heading1"/>
      </w:pPr>
      <w:r>
        <w:t>26. Compliance and Customer Impact</w:t>
      </w:r>
    </w:p>
    <w:p>
      <w:r>
        <w:t>Where disruption causes missed obligations, customer detriment or control failure, CBP-043 and Complaints Handling procedures may apply in parallel.</w:t>
      </w:r>
    </w:p>
    <w:p>
      <w:pPr>
        <w:pStyle w:val="Heading1"/>
      </w:pPr>
      <w:r>
        <w:t>27. Training</w:t>
      </w:r>
    </w:p>
    <w:p>
      <w:r>
        <w:t>Process owners and alternates shall understand plan activation, contacts, manual controls and restoration responsibilities.</w:t>
      </w:r>
    </w:p>
    <w:p>
      <w:pPr>
        <w:pStyle w:val="Heading1"/>
      </w:pPr>
      <w:r>
        <w:t>28. Records</w:t>
      </w:r>
    </w:p>
    <w:p>
      <w:r>
        <w:t>Business Resilience retains BIAs, plans, test evidence, actions, activation logs and material crisis records. Process owners retain operational backlog/reconciliation evidence.</w:t>
      </w:r>
    </w:p>
    <w:p>
      <w:pPr>
        <w:pStyle w:val="Heading1"/>
      </w:pPr>
      <w:r>
        <w:t>29. Historical and Transitional Provisions</w:t>
      </w:r>
    </w:p>
    <w:p>
      <w:r>
        <w:t>Version 1.4 updates continuity tiering and aligns security/vendor dependencies with Batch 5 controls.</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Topic</w:t>
            </w:r>
          </w:p>
        </w:tc>
        <w:tc>
          <w:tcPr>
            <w:tcW w:type="dxa" w:w="2585"/>
            <w:vAlign w:val="center"/>
            <w:shd w:fill="17365D"/>
          </w:tcPr>
          <w:p>
            <w:r/>
            <w:r>
              <w:rPr>
                <w:b/>
                <w:color w:val="FFFFFF"/>
                <w:sz w:val="15"/>
              </w:rPr>
              <w:t>v1.3</w:t>
            </w:r>
          </w:p>
        </w:tc>
        <w:tc>
          <w:tcPr>
            <w:tcW w:type="dxa" w:w="2585"/>
            <w:vAlign w:val="center"/>
            <w:shd w:fill="17365D"/>
          </w:tcPr>
          <w:p>
            <w:r/>
            <w:r>
              <w:rPr>
                <w:b/>
                <w:color w:val="FFFFFF"/>
                <w:sz w:val="15"/>
              </w:rPr>
              <w:t>v1.4</w:t>
            </w:r>
          </w:p>
        </w:tc>
        <w:tc>
          <w:tcPr>
            <w:tcW w:type="dxa" w:w="2585"/>
            <w:vAlign w:val="center"/>
            <w:shd w:fill="17365D"/>
          </w:tcPr>
          <w:p>
            <w:r/>
            <w:r>
              <w:rPr>
                <w:b/>
                <w:color w:val="FFFFFF"/>
                <w:sz w:val="15"/>
              </w:rPr>
              <w:t>Transition</w:t>
            </w:r>
          </w:p>
        </w:tc>
      </w:tr>
      <w:tr>
        <w:tc>
          <w:tcPr>
            <w:tcW w:type="dxa" w:w="2585"/>
            <w:vAlign w:val="center"/>
          </w:tcPr>
          <w:p>
            <w:r/>
            <w:r>
              <w:rPr>
                <w:b w:val="0"/>
                <w:sz w:val="14"/>
              </w:rPr>
              <w:t>Critical tiers</w:t>
            </w:r>
          </w:p>
        </w:tc>
        <w:tc>
          <w:tcPr>
            <w:tcW w:type="dxa" w:w="2585"/>
            <w:vAlign w:val="center"/>
          </w:tcPr>
          <w:p>
            <w:r/>
            <w:r>
              <w:rPr>
                <w:b w:val="0"/>
                <w:sz w:val="14"/>
              </w:rPr>
              <w:t>Critical / Essential / Other</w:t>
            </w:r>
          </w:p>
        </w:tc>
        <w:tc>
          <w:tcPr>
            <w:tcW w:type="dxa" w:w="2585"/>
            <w:vAlign w:val="center"/>
          </w:tcPr>
          <w:p>
            <w:r/>
            <w:r>
              <w:rPr>
                <w:b w:val="0"/>
                <w:sz w:val="14"/>
              </w:rPr>
              <w:t>C1–C4 continuity tiers</w:t>
            </w:r>
          </w:p>
        </w:tc>
        <w:tc>
          <w:tcPr>
            <w:tcW w:type="dxa" w:w="2585"/>
            <w:vAlign w:val="center"/>
          </w:tcPr>
          <w:p>
            <w:r/>
            <w:r>
              <w:rPr>
                <w:b w:val="0"/>
                <w:sz w:val="14"/>
              </w:rPr>
              <w:t>Existing plans mapped by 31 Aug 2026.</w:t>
            </w:r>
          </w:p>
        </w:tc>
      </w:tr>
      <w:tr>
        <w:tc>
          <w:tcPr>
            <w:tcW w:type="dxa" w:w="2585"/>
            <w:vAlign w:val="center"/>
          </w:tcPr>
          <w:p>
            <w:r/>
            <w:r>
              <w:rPr>
                <w:b w:val="0"/>
                <w:sz w:val="14"/>
              </w:rPr>
              <w:t>Security incidents</w:t>
            </w:r>
          </w:p>
        </w:tc>
        <w:tc>
          <w:tcPr>
            <w:tcW w:type="dxa" w:w="2585"/>
            <w:vAlign w:val="center"/>
          </w:tcPr>
          <w:p>
            <w:r/>
            <w:r>
              <w:rPr>
                <w:b w:val="0"/>
                <w:sz w:val="14"/>
              </w:rPr>
              <w:t>Technology continuity reference</w:t>
            </w:r>
          </w:p>
        </w:tc>
        <w:tc>
          <w:tcPr>
            <w:tcW w:type="dxa" w:w="2585"/>
            <w:vAlign w:val="center"/>
          </w:tcPr>
          <w:p>
            <w:r/>
            <w:r>
              <w:rPr>
                <w:b w:val="0"/>
                <w:sz w:val="14"/>
              </w:rPr>
              <w:t>Explicit SIR-052 parallel command</w:t>
            </w:r>
          </w:p>
        </w:tc>
        <w:tc>
          <w:tcPr>
            <w:tcW w:type="dxa" w:w="2585"/>
            <w:vAlign w:val="center"/>
          </w:tcPr>
          <w:p>
            <w:r/>
            <w:r>
              <w:rPr>
                <w:b w:val="0"/>
                <w:sz w:val="14"/>
              </w:rPr>
              <w:t>New events use current interface.</w:t>
            </w:r>
          </w:p>
        </w:tc>
      </w:tr>
      <w:tr>
        <w:tc>
          <w:tcPr>
            <w:tcW w:type="dxa" w:w="2585"/>
            <w:vAlign w:val="center"/>
          </w:tcPr>
          <w:p>
            <w:r/>
            <w:r>
              <w:rPr>
                <w:b w:val="0"/>
                <w:sz w:val="14"/>
              </w:rPr>
              <w:t>Critical vendors</w:t>
            </w:r>
          </w:p>
        </w:tc>
        <w:tc>
          <w:tcPr>
            <w:tcW w:type="dxa" w:w="2585"/>
            <w:vAlign w:val="center"/>
          </w:tcPr>
          <w:p>
            <w:r/>
            <w:r>
              <w:rPr>
                <w:b w:val="0"/>
                <w:sz w:val="14"/>
              </w:rPr>
              <w:t>Annual questionnaire emphasis</w:t>
            </w:r>
          </w:p>
        </w:tc>
        <w:tc>
          <w:tcPr>
            <w:tcW w:type="dxa" w:w="2585"/>
            <w:vAlign w:val="center"/>
          </w:tcPr>
          <w:p>
            <w:r/>
            <w:r>
              <w:rPr>
                <w:b w:val="0"/>
                <w:sz w:val="14"/>
              </w:rPr>
              <w:t>T1/T2 risk tier and exit/incident integration</w:t>
            </w:r>
          </w:p>
        </w:tc>
        <w:tc>
          <w:tcPr>
            <w:tcW w:type="dxa" w:w="2585"/>
            <w:vAlign w:val="center"/>
          </w:tcPr>
          <w:p>
            <w:r/>
            <w:r>
              <w:rPr>
                <w:b w:val="0"/>
                <w:sz w:val="14"/>
              </w:rPr>
              <w:t>Critical vendor plans refreshed by next annual review.</w:t>
            </w:r>
          </w:p>
        </w:tc>
      </w:tr>
    </w:tbl>
    <w:p/>
    <w:p>
      <w:pPr>
        <w:pStyle w:val="Heading1"/>
      </w:pPr>
      <w:r>
        <w:t>30. Management Information</w:t>
      </w:r>
    </w:p>
    <w:p>
      <w:r>
        <w:t>Monthly/quarterly resilience MI shall include C1/C2 plan currency, overdue tests/actions, critical vendor dependencies, failed exercises, incidents invoking BCP, recovery-target misses and material backlog events.</w:t>
      </w:r>
    </w:p>
    <w:p>
      <w:r>
        <w:br w:type="page"/>
      </w:r>
    </w:p>
    <w:p>
      <w:pPr>
        <w:pStyle w:val="Heading1"/>
      </w:pPr>
      <w:r>
        <w:t>Appendix A — Sample Business Impact Analysis</w:t>
      </w:r>
    </w:p>
    <w:p>
      <w:r>
        <w:t>Illustrative internal fields for a critical process.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Example</w:t>
            </w:r>
          </w:p>
        </w:tc>
      </w:tr>
      <w:tr>
        <w:tc>
          <w:tcPr>
            <w:tcW w:type="dxa" w:w="5170"/>
            <w:vAlign w:val="center"/>
          </w:tcPr>
          <w:p>
            <w:r/>
            <w:r>
              <w:rPr>
                <w:b w:val="0"/>
                <w:sz w:val="14"/>
              </w:rPr>
              <w:t>Process</w:t>
            </w:r>
          </w:p>
        </w:tc>
        <w:tc>
          <w:tcPr>
            <w:tcW w:type="dxa" w:w="5170"/>
            <w:vAlign w:val="center"/>
          </w:tcPr>
          <w:p>
            <w:r/>
            <w:r>
              <w:rPr>
                <w:b w:val="0"/>
                <w:sz w:val="14"/>
              </w:rPr>
              <w:t>Retail loan disbursement release</w:t>
            </w:r>
          </w:p>
        </w:tc>
      </w:tr>
      <w:tr>
        <w:tc>
          <w:tcPr>
            <w:tcW w:type="dxa" w:w="5170"/>
            <w:vAlign w:val="center"/>
          </w:tcPr>
          <w:p>
            <w:r/>
            <w:r>
              <w:rPr>
                <w:b w:val="0"/>
                <w:sz w:val="14"/>
              </w:rPr>
              <w:t>Tier</w:t>
            </w:r>
          </w:p>
        </w:tc>
        <w:tc>
          <w:tcPr>
            <w:tcW w:type="dxa" w:w="5170"/>
            <w:vAlign w:val="center"/>
          </w:tcPr>
          <w:p>
            <w:r/>
            <w:r>
              <w:rPr>
                <w:b w:val="0"/>
                <w:sz w:val="14"/>
              </w:rPr>
              <w:t>C1 Critical</w:t>
            </w:r>
          </w:p>
        </w:tc>
      </w:tr>
      <w:tr>
        <w:tc>
          <w:tcPr>
            <w:tcW w:type="dxa" w:w="5170"/>
            <w:vAlign w:val="center"/>
          </w:tcPr>
          <w:p>
            <w:r/>
            <w:r>
              <w:rPr>
                <w:b w:val="0"/>
                <w:sz w:val="14"/>
              </w:rPr>
              <w:t>RTO</w:t>
            </w:r>
          </w:p>
        </w:tc>
        <w:tc>
          <w:tcPr>
            <w:tcW w:type="dxa" w:w="5170"/>
            <w:vAlign w:val="center"/>
          </w:tcPr>
          <w:p>
            <w:r/>
            <w:r>
              <w:rPr>
                <w:b w:val="0"/>
                <w:sz w:val="14"/>
              </w:rPr>
              <w:t>4 hours</w:t>
            </w:r>
          </w:p>
        </w:tc>
      </w:tr>
      <w:tr>
        <w:tc>
          <w:tcPr>
            <w:tcW w:type="dxa" w:w="5170"/>
            <w:vAlign w:val="center"/>
          </w:tcPr>
          <w:p>
            <w:r/>
            <w:r>
              <w:rPr>
                <w:b w:val="0"/>
                <w:sz w:val="14"/>
              </w:rPr>
              <w:t>RPO</w:t>
            </w:r>
          </w:p>
        </w:tc>
        <w:tc>
          <w:tcPr>
            <w:tcW w:type="dxa" w:w="5170"/>
            <w:vAlign w:val="center"/>
          </w:tcPr>
          <w:p>
            <w:r/>
            <w:r>
              <w:rPr>
                <w:b w:val="0"/>
                <w:sz w:val="14"/>
              </w:rPr>
              <w:t>15 minutes for payment queue state where supported</w:t>
            </w:r>
          </w:p>
        </w:tc>
      </w:tr>
      <w:tr>
        <w:tc>
          <w:tcPr>
            <w:tcW w:type="dxa" w:w="5170"/>
            <w:vAlign w:val="center"/>
          </w:tcPr>
          <w:p>
            <w:r/>
            <w:r>
              <w:rPr>
                <w:b w:val="0"/>
                <w:sz w:val="14"/>
              </w:rPr>
              <w:t>Key systems</w:t>
            </w:r>
          </w:p>
        </w:tc>
        <w:tc>
          <w:tcPr>
            <w:tcW w:type="dxa" w:w="5170"/>
            <w:vAlign w:val="center"/>
          </w:tcPr>
          <w:p>
            <w:r/>
            <w:r>
              <w:rPr>
                <w:b w:val="0"/>
                <w:sz w:val="14"/>
              </w:rPr>
              <w:t>Loan origination, payment interface, identity/access, sanctions status feed</w:t>
            </w:r>
          </w:p>
        </w:tc>
      </w:tr>
      <w:tr>
        <w:tc>
          <w:tcPr>
            <w:tcW w:type="dxa" w:w="5170"/>
            <w:vAlign w:val="center"/>
          </w:tcPr>
          <w:p>
            <w:r/>
            <w:r>
              <w:rPr>
                <w:b w:val="0"/>
                <w:sz w:val="14"/>
              </w:rPr>
              <w:t>Minimum roles</w:t>
            </w:r>
          </w:p>
        </w:tc>
        <w:tc>
          <w:tcPr>
            <w:tcW w:type="dxa" w:w="5170"/>
            <w:vAlign w:val="center"/>
          </w:tcPr>
          <w:p>
            <w:r/>
            <w:r>
              <w:rPr>
                <w:b w:val="0"/>
                <w:sz w:val="14"/>
              </w:rPr>
              <w:t>Disbursement maker, checker, operations lead</w:t>
            </w:r>
          </w:p>
        </w:tc>
      </w:tr>
      <w:tr>
        <w:tc>
          <w:tcPr>
            <w:tcW w:type="dxa" w:w="5170"/>
            <w:vAlign w:val="center"/>
          </w:tcPr>
          <w:p>
            <w:r/>
            <w:r>
              <w:rPr>
                <w:b w:val="0"/>
                <w:sz w:val="14"/>
              </w:rPr>
              <w:t>Manual workaround</w:t>
            </w:r>
          </w:p>
        </w:tc>
        <w:tc>
          <w:tcPr>
            <w:tcW w:type="dxa" w:w="5170"/>
            <w:vAlign w:val="center"/>
          </w:tcPr>
          <w:p>
            <w:r/>
            <w:r>
              <w:rPr>
                <w:b w:val="0"/>
                <w:sz w:val="14"/>
              </w:rPr>
              <w:t>Restricted emergency queue with dual approval; no uncontrolled spreadsheet payment instruction</w:t>
            </w:r>
          </w:p>
        </w:tc>
      </w:tr>
      <w:tr>
        <w:tc>
          <w:tcPr>
            <w:tcW w:type="dxa" w:w="5170"/>
            <w:vAlign w:val="center"/>
          </w:tcPr>
          <w:p>
            <w:r/>
            <w:r>
              <w:rPr>
                <w:b w:val="0"/>
                <w:sz w:val="14"/>
              </w:rPr>
              <w:t>Dependencies</w:t>
            </w:r>
          </w:p>
        </w:tc>
        <w:tc>
          <w:tcPr>
            <w:tcW w:type="dxa" w:w="5170"/>
            <w:vAlign w:val="center"/>
          </w:tcPr>
          <w:p>
            <w:r/>
            <w:r>
              <w:rPr>
                <w:b w:val="0"/>
                <w:sz w:val="14"/>
              </w:rPr>
              <w:t>Banking/payment rail, identity service, network, beneficiary verification</w:t>
            </w:r>
          </w:p>
        </w:tc>
      </w:tr>
    </w:tbl>
    <w:p/>
    <w:p>
      <w:r>
        <w:br w:type="page"/>
      </w:r>
    </w:p>
    <w:p>
      <w:pPr>
        <w:pStyle w:val="Heading1"/>
      </w:pPr>
      <w:r>
        <w:t>Appendix B — Recovery Validation Checklist</w:t>
      </w:r>
    </w:p>
    <w:p>
      <w:r>
        <w:t>Do not declare recovery solely because a screen is available.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Area</w:t>
            </w:r>
          </w:p>
        </w:tc>
        <w:tc>
          <w:tcPr>
            <w:tcW w:type="dxa" w:w="5170"/>
            <w:vAlign w:val="center"/>
            <w:shd w:fill="17365D"/>
          </w:tcPr>
          <w:p>
            <w:r/>
            <w:r>
              <w:rPr>
                <w:b/>
                <w:color w:val="FFFFFF"/>
                <w:sz w:val="15"/>
              </w:rPr>
              <w:t>Validation</w:t>
            </w:r>
          </w:p>
        </w:tc>
      </w:tr>
      <w:tr>
        <w:tc>
          <w:tcPr>
            <w:tcW w:type="dxa" w:w="5170"/>
            <w:vAlign w:val="center"/>
          </w:tcPr>
          <w:p>
            <w:r/>
            <w:r>
              <w:rPr>
                <w:b w:val="0"/>
                <w:sz w:val="14"/>
              </w:rPr>
              <w:t>Availability</w:t>
            </w:r>
          </w:p>
        </w:tc>
        <w:tc>
          <w:tcPr>
            <w:tcW w:type="dxa" w:w="5170"/>
            <w:vAlign w:val="center"/>
          </w:tcPr>
          <w:p>
            <w:r/>
            <w:r>
              <w:rPr>
                <w:b w:val="0"/>
                <w:sz w:val="14"/>
              </w:rPr>
              <w:t>Users can access required functions.</w:t>
            </w:r>
          </w:p>
        </w:tc>
      </w:tr>
      <w:tr>
        <w:tc>
          <w:tcPr>
            <w:tcW w:type="dxa" w:w="5170"/>
            <w:vAlign w:val="center"/>
          </w:tcPr>
          <w:p>
            <w:r/>
            <w:r>
              <w:rPr>
                <w:b w:val="0"/>
                <w:sz w:val="14"/>
              </w:rPr>
              <w:t>Data</w:t>
            </w:r>
          </w:p>
        </w:tc>
        <w:tc>
          <w:tcPr>
            <w:tcW w:type="dxa" w:w="5170"/>
            <w:vAlign w:val="center"/>
          </w:tcPr>
          <w:p>
            <w:r/>
            <w:r>
              <w:rPr>
                <w:b w:val="0"/>
                <w:sz w:val="14"/>
              </w:rPr>
              <w:t>Balances/case states reconcile to expected point.</w:t>
            </w:r>
          </w:p>
        </w:tc>
      </w:tr>
      <w:tr>
        <w:tc>
          <w:tcPr>
            <w:tcW w:type="dxa" w:w="5170"/>
            <w:vAlign w:val="center"/>
          </w:tcPr>
          <w:p>
            <w:r/>
            <w:r>
              <w:rPr>
                <w:b w:val="0"/>
                <w:sz w:val="14"/>
              </w:rPr>
              <w:t>Security</w:t>
            </w:r>
          </w:p>
        </w:tc>
        <w:tc>
          <w:tcPr>
            <w:tcW w:type="dxa" w:w="5170"/>
            <w:vAlign w:val="center"/>
          </w:tcPr>
          <w:p>
            <w:r/>
            <w:r>
              <w:rPr>
                <w:b w:val="0"/>
                <w:sz w:val="14"/>
              </w:rPr>
              <w:t>Authentication, logging and access controls are working.</w:t>
            </w:r>
          </w:p>
        </w:tc>
      </w:tr>
      <w:tr>
        <w:tc>
          <w:tcPr>
            <w:tcW w:type="dxa" w:w="5170"/>
            <w:vAlign w:val="center"/>
          </w:tcPr>
          <w:p>
            <w:r/>
            <w:r>
              <w:rPr>
                <w:b w:val="0"/>
                <w:sz w:val="14"/>
              </w:rPr>
              <w:t>Interfaces</w:t>
            </w:r>
          </w:p>
        </w:tc>
        <w:tc>
          <w:tcPr>
            <w:tcW w:type="dxa" w:w="5170"/>
            <w:vAlign w:val="center"/>
          </w:tcPr>
          <w:p>
            <w:r/>
            <w:r>
              <w:rPr>
                <w:b w:val="0"/>
                <w:sz w:val="14"/>
              </w:rPr>
              <w:t>Upstream/downstream feeds are current.</w:t>
            </w:r>
          </w:p>
        </w:tc>
      </w:tr>
      <w:tr>
        <w:tc>
          <w:tcPr>
            <w:tcW w:type="dxa" w:w="5170"/>
            <w:vAlign w:val="center"/>
          </w:tcPr>
          <w:p>
            <w:r/>
            <w:r>
              <w:rPr>
                <w:b w:val="0"/>
                <w:sz w:val="14"/>
              </w:rPr>
              <w:t>Transactions</w:t>
            </w:r>
          </w:p>
        </w:tc>
        <w:tc>
          <w:tcPr>
            <w:tcW w:type="dxa" w:w="5170"/>
            <w:vAlign w:val="center"/>
          </w:tcPr>
          <w:p>
            <w:r/>
            <w:r>
              <w:rPr>
                <w:b w:val="0"/>
                <w:sz w:val="14"/>
              </w:rPr>
              <w:t>No duplicate/lost processing in test sample.</w:t>
            </w:r>
          </w:p>
        </w:tc>
      </w:tr>
      <w:tr>
        <w:tc>
          <w:tcPr>
            <w:tcW w:type="dxa" w:w="5170"/>
            <w:vAlign w:val="center"/>
          </w:tcPr>
          <w:p>
            <w:r/>
            <w:r>
              <w:rPr>
                <w:b w:val="0"/>
                <w:sz w:val="14"/>
              </w:rPr>
              <w:t>Backlog</w:t>
            </w:r>
          </w:p>
        </w:tc>
        <w:tc>
          <w:tcPr>
            <w:tcW w:type="dxa" w:w="5170"/>
            <w:vAlign w:val="center"/>
          </w:tcPr>
          <w:p>
            <w:r/>
            <w:r>
              <w:rPr>
                <w:b w:val="0"/>
                <w:sz w:val="14"/>
              </w:rPr>
              <w:t>Manual/offline items identified for reconciliation.</w:t>
            </w:r>
          </w:p>
        </w:tc>
      </w:tr>
      <w:tr>
        <w:tc>
          <w:tcPr>
            <w:tcW w:type="dxa" w:w="5170"/>
            <w:vAlign w:val="center"/>
          </w:tcPr>
          <w:p>
            <w:r/>
            <w:r>
              <w:rPr>
                <w:b w:val="0"/>
                <w:sz w:val="14"/>
              </w:rPr>
              <w:t>Monitoring</w:t>
            </w:r>
          </w:p>
        </w:tc>
        <w:tc>
          <w:tcPr>
            <w:tcW w:type="dxa" w:w="5170"/>
            <w:vAlign w:val="center"/>
          </w:tcPr>
          <w:p>
            <w:r/>
            <w:r>
              <w:rPr>
                <w:b w:val="0"/>
                <w:sz w:val="14"/>
              </w:rPr>
              <w:t>Operational and security monitoring restored.</w:t>
            </w:r>
          </w:p>
        </w:tc>
      </w:tr>
    </w:tbl>
    <w:p/>
    <w:p>
      <w:r>
        <w:br w:type="page"/>
      </w:r>
    </w:p>
    <w:p>
      <w:pPr>
        <w:pStyle w:val="Heading1"/>
      </w:pPr>
      <w:r>
        <w:t>Appendix C — Continuity Scenarios</w:t>
      </w:r>
    </w:p>
    <w:p>
      <w:r>
        <w:t>Plans should address realistic combinations of disruption and control risk.</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Scenario</w:t>
            </w:r>
          </w:p>
        </w:tc>
        <w:tc>
          <w:tcPr>
            <w:tcW w:type="dxa" w:w="5170"/>
            <w:vAlign w:val="center"/>
            <w:shd w:fill="17365D"/>
          </w:tcPr>
          <w:p>
            <w:r/>
            <w:r>
              <w:rPr>
                <w:b/>
                <w:color w:val="FFFFFF"/>
                <w:sz w:val="15"/>
              </w:rPr>
              <w:t>Key Decisions</w:t>
            </w:r>
          </w:p>
        </w:tc>
      </w:tr>
      <w:tr>
        <w:tc>
          <w:tcPr>
            <w:tcW w:type="dxa" w:w="5170"/>
            <w:vAlign w:val="center"/>
          </w:tcPr>
          <w:p>
            <w:r/>
            <w:r>
              <w:rPr>
                <w:b w:val="0"/>
                <w:sz w:val="14"/>
              </w:rPr>
              <w:t>Core office inaccessible for 3 days</w:t>
            </w:r>
          </w:p>
        </w:tc>
        <w:tc>
          <w:tcPr>
            <w:tcW w:type="dxa" w:w="5170"/>
            <w:vAlign w:val="center"/>
          </w:tcPr>
          <w:p>
            <w:r/>
            <w:r>
              <w:rPr>
                <w:b w:val="0"/>
                <w:sz w:val="14"/>
              </w:rPr>
              <w:t>Remote/alternate site, minimum staffing, document access, customer communications.</w:t>
            </w:r>
          </w:p>
        </w:tc>
      </w:tr>
      <w:tr>
        <w:tc>
          <w:tcPr>
            <w:tcW w:type="dxa" w:w="5170"/>
            <w:vAlign w:val="center"/>
          </w:tcPr>
          <w:p>
            <w:r/>
            <w:r>
              <w:rPr>
                <w:b w:val="0"/>
                <w:sz w:val="14"/>
              </w:rPr>
              <w:t>Identity platform outage</w:t>
            </w:r>
          </w:p>
        </w:tc>
        <w:tc>
          <w:tcPr>
            <w:tcW w:type="dxa" w:w="5170"/>
            <w:vAlign w:val="center"/>
          </w:tcPr>
          <w:p>
            <w:r/>
            <w:r>
              <w:rPr>
                <w:b w:val="0"/>
                <w:sz w:val="14"/>
              </w:rPr>
              <w:t>Break-glass scope, privileged control, restoration sequencing.</w:t>
            </w:r>
          </w:p>
        </w:tc>
      </w:tr>
      <w:tr>
        <w:tc>
          <w:tcPr>
            <w:tcW w:type="dxa" w:w="5170"/>
            <w:vAlign w:val="center"/>
          </w:tcPr>
          <w:p>
            <w:r/>
            <w:r>
              <w:rPr>
                <w:b w:val="0"/>
                <w:sz w:val="14"/>
              </w:rPr>
              <w:t>Critical vendor outage</w:t>
            </w:r>
          </w:p>
        </w:tc>
        <w:tc>
          <w:tcPr>
            <w:tcW w:type="dxa" w:w="5170"/>
            <w:vAlign w:val="center"/>
          </w:tcPr>
          <w:p>
            <w:r/>
            <w:r>
              <w:rPr>
                <w:b w:val="0"/>
                <w:sz w:val="14"/>
              </w:rPr>
              <w:t>Alternate provider/manual route, contract escalation, customer impact.</w:t>
            </w:r>
          </w:p>
        </w:tc>
      </w:tr>
      <w:tr>
        <w:tc>
          <w:tcPr>
            <w:tcW w:type="dxa" w:w="5170"/>
            <w:vAlign w:val="center"/>
          </w:tcPr>
          <w:p>
            <w:r/>
            <w:r>
              <w:rPr>
                <w:b w:val="0"/>
                <w:sz w:val="14"/>
              </w:rPr>
              <w:t>Security incident disables production but non-prod is available</w:t>
            </w:r>
          </w:p>
        </w:tc>
        <w:tc>
          <w:tcPr>
            <w:tcW w:type="dxa" w:w="5170"/>
            <w:vAlign w:val="center"/>
          </w:tcPr>
          <w:p>
            <w:r/>
            <w:r>
              <w:rPr>
                <w:b w:val="0"/>
                <w:sz w:val="14"/>
              </w:rPr>
              <w:t>Do not move Restricted production data to unsafe environment merely for speed.</w:t>
            </w:r>
          </w:p>
        </w:tc>
      </w:tr>
      <w:tr>
        <w:tc>
          <w:tcPr>
            <w:tcW w:type="dxa" w:w="5170"/>
            <w:vAlign w:val="center"/>
          </w:tcPr>
          <w:p>
            <w:r/>
            <w:r>
              <w:rPr>
                <w:b w:val="0"/>
                <w:sz w:val="14"/>
              </w:rPr>
              <w:t>Mass staff absence</w:t>
            </w:r>
          </w:p>
        </w:tc>
        <w:tc>
          <w:tcPr>
            <w:tcW w:type="dxa" w:w="5170"/>
            <w:vAlign w:val="center"/>
          </w:tcPr>
          <w:p>
            <w:r/>
            <w:r>
              <w:rPr>
                <w:b w:val="0"/>
                <w:sz w:val="14"/>
              </w:rPr>
              <w:t>Cross-trained roles, delegation boundaries, backlog prioritization.</w:t>
            </w:r>
          </w:p>
        </w:tc>
      </w:tr>
      <w:tr>
        <w:tc>
          <w:tcPr>
            <w:tcW w:type="dxa" w:w="5170"/>
            <w:vAlign w:val="center"/>
          </w:tcPr>
          <w:p>
            <w:r/>
            <w:r>
              <w:rPr>
                <w:b w:val="0"/>
                <w:sz w:val="14"/>
              </w:rPr>
              <w:t>Payment rail outage</w:t>
            </w:r>
          </w:p>
        </w:tc>
        <w:tc>
          <w:tcPr>
            <w:tcW w:type="dxa" w:w="5170"/>
            <w:vAlign w:val="center"/>
          </w:tcPr>
          <w:p>
            <w:r/>
            <w:r>
              <w:rPr>
                <w:b w:val="0"/>
                <w:sz w:val="14"/>
              </w:rPr>
              <w:t>Hold/retry logic, duplicate prevention, customer communication.</w:t>
            </w:r>
          </w:p>
        </w:tc>
      </w:tr>
    </w:tbl>
    <w:p/>
    <w:p>
      <w:r>
        <w:br w:type="page"/>
      </w:r>
    </w:p>
    <w:p>
      <w:pPr>
        <w:pStyle w:val="Heading1"/>
      </w:pPr>
      <w:r>
        <w:t>Appendix D — BCP Test Register Fields</w:t>
      </w:r>
    </w:p>
    <w:p>
      <w:r>
        <w:t>Use the operational workbook for detailed records.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Test ID</w:t>
            </w:r>
          </w:p>
        </w:tc>
        <w:tc>
          <w:tcPr>
            <w:tcW w:type="dxa" w:w="5170"/>
            <w:vAlign w:val="center"/>
          </w:tcPr>
          <w:p>
            <w:r/>
            <w:r>
              <w:rPr>
                <w:b w:val="0"/>
                <w:sz w:val="14"/>
              </w:rPr>
              <w:t>Unique continuity-test identifier.</w:t>
            </w:r>
          </w:p>
        </w:tc>
      </w:tr>
      <w:tr>
        <w:tc>
          <w:tcPr>
            <w:tcW w:type="dxa" w:w="5170"/>
            <w:vAlign w:val="center"/>
          </w:tcPr>
          <w:p>
            <w:r/>
            <w:r>
              <w:rPr>
                <w:b w:val="0"/>
                <w:sz w:val="14"/>
              </w:rPr>
              <w:t>Process / site / vendor</w:t>
            </w:r>
          </w:p>
        </w:tc>
        <w:tc>
          <w:tcPr>
            <w:tcW w:type="dxa" w:w="5170"/>
            <w:vAlign w:val="center"/>
          </w:tcPr>
          <w:p>
            <w:r/>
            <w:r>
              <w:rPr>
                <w:b w:val="0"/>
                <w:sz w:val="14"/>
              </w:rPr>
              <w:t>Scope.</w:t>
            </w:r>
          </w:p>
        </w:tc>
      </w:tr>
      <w:tr>
        <w:tc>
          <w:tcPr>
            <w:tcW w:type="dxa" w:w="5170"/>
            <w:vAlign w:val="center"/>
          </w:tcPr>
          <w:p>
            <w:r/>
            <w:r>
              <w:rPr>
                <w:b w:val="0"/>
                <w:sz w:val="14"/>
              </w:rPr>
              <w:t>Tier</w:t>
            </w:r>
          </w:p>
        </w:tc>
        <w:tc>
          <w:tcPr>
            <w:tcW w:type="dxa" w:w="5170"/>
            <w:vAlign w:val="center"/>
          </w:tcPr>
          <w:p>
            <w:r/>
            <w:r>
              <w:rPr>
                <w:b w:val="0"/>
                <w:sz w:val="14"/>
              </w:rPr>
              <w:t>C1–C4.</w:t>
            </w:r>
          </w:p>
        </w:tc>
      </w:tr>
      <w:tr>
        <w:tc>
          <w:tcPr>
            <w:tcW w:type="dxa" w:w="5170"/>
            <w:vAlign w:val="center"/>
          </w:tcPr>
          <w:p>
            <w:r/>
            <w:r>
              <w:rPr>
                <w:b w:val="0"/>
                <w:sz w:val="14"/>
              </w:rPr>
              <w:t>Scenario</w:t>
            </w:r>
          </w:p>
        </w:tc>
        <w:tc>
          <w:tcPr>
            <w:tcW w:type="dxa" w:w="5170"/>
            <w:vAlign w:val="center"/>
          </w:tcPr>
          <w:p>
            <w:r/>
            <w:r>
              <w:rPr>
                <w:b w:val="0"/>
                <w:sz w:val="14"/>
              </w:rPr>
              <w:t>Test objective.</w:t>
            </w:r>
          </w:p>
        </w:tc>
      </w:tr>
      <w:tr>
        <w:tc>
          <w:tcPr>
            <w:tcW w:type="dxa" w:w="5170"/>
            <w:vAlign w:val="center"/>
          </w:tcPr>
          <w:p>
            <w:r/>
            <w:r>
              <w:rPr>
                <w:b w:val="0"/>
                <w:sz w:val="14"/>
              </w:rPr>
              <w:t>Planned date / actual date</w:t>
            </w:r>
          </w:p>
        </w:tc>
        <w:tc>
          <w:tcPr>
            <w:tcW w:type="dxa" w:w="5170"/>
            <w:vAlign w:val="center"/>
          </w:tcPr>
          <w:p>
            <w:r/>
            <w:r>
              <w:rPr>
                <w:b w:val="0"/>
                <w:sz w:val="14"/>
              </w:rPr>
              <w:t>Timing.</w:t>
            </w:r>
          </w:p>
        </w:tc>
      </w:tr>
      <w:tr>
        <w:tc>
          <w:tcPr>
            <w:tcW w:type="dxa" w:w="5170"/>
            <w:vAlign w:val="center"/>
          </w:tcPr>
          <w:p>
            <w:r/>
            <w:r>
              <w:rPr>
                <w:b w:val="0"/>
                <w:sz w:val="14"/>
              </w:rPr>
              <w:t>RTO result</w:t>
            </w:r>
          </w:p>
        </w:tc>
        <w:tc>
          <w:tcPr>
            <w:tcW w:type="dxa" w:w="5170"/>
            <w:vAlign w:val="center"/>
          </w:tcPr>
          <w:p>
            <w:r/>
            <w:r>
              <w:rPr>
                <w:b w:val="0"/>
                <w:sz w:val="14"/>
              </w:rPr>
              <w:t>Met / missed and actual time.</w:t>
            </w:r>
          </w:p>
        </w:tc>
      </w:tr>
      <w:tr>
        <w:tc>
          <w:tcPr>
            <w:tcW w:type="dxa" w:w="5170"/>
            <w:vAlign w:val="center"/>
          </w:tcPr>
          <w:p>
            <w:r/>
            <w:r>
              <w:rPr>
                <w:b w:val="0"/>
                <w:sz w:val="14"/>
              </w:rPr>
              <w:t>Control result</w:t>
            </w:r>
          </w:p>
        </w:tc>
        <w:tc>
          <w:tcPr>
            <w:tcW w:type="dxa" w:w="5170"/>
            <w:vAlign w:val="center"/>
          </w:tcPr>
          <w:p>
            <w:r/>
            <w:r>
              <w:rPr>
                <w:b w:val="0"/>
                <w:sz w:val="14"/>
              </w:rPr>
              <w:t>Maker-checker, access, data and communication performance.</w:t>
            </w:r>
          </w:p>
        </w:tc>
      </w:tr>
      <w:tr>
        <w:tc>
          <w:tcPr>
            <w:tcW w:type="dxa" w:w="5170"/>
            <w:vAlign w:val="center"/>
          </w:tcPr>
          <w:p>
            <w:r/>
            <w:r>
              <w:rPr>
                <w:b w:val="0"/>
                <w:sz w:val="14"/>
              </w:rPr>
              <w:t>Defects</w:t>
            </w:r>
          </w:p>
        </w:tc>
        <w:tc>
          <w:tcPr>
            <w:tcW w:type="dxa" w:w="5170"/>
            <w:vAlign w:val="center"/>
          </w:tcPr>
          <w:p>
            <w:r/>
            <w:r>
              <w:rPr>
                <w:b w:val="0"/>
                <w:sz w:val="14"/>
              </w:rPr>
              <w:t>Identified gaps.</w:t>
            </w:r>
          </w:p>
        </w:tc>
      </w:tr>
      <w:tr>
        <w:tc>
          <w:tcPr>
            <w:tcW w:type="dxa" w:w="5170"/>
            <w:vAlign w:val="center"/>
          </w:tcPr>
          <w:p>
            <w:r/>
            <w:r>
              <w:rPr>
                <w:b w:val="0"/>
                <w:sz w:val="14"/>
              </w:rPr>
              <w:t>Owner / due date</w:t>
            </w:r>
          </w:p>
        </w:tc>
        <w:tc>
          <w:tcPr>
            <w:tcW w:type="dxa" w:w="5170"/>
            <w:vAlign w:val="center"/>
          </w:tcPr>
          <w:p>
            <w:r/>
            <w:r>
              <w:rPr>
                <w:b w:val="0"/>
                <w:sz w:val="14"/>
              </w:rPr>
              <w:t>Remediation.</w:t>
            </w:r>
          </w:p>
        </w:tc>
      </w:tr>
      <w:tr>
        <w:tc>
          <w:tcPr>
            <w:tcW w:type="dxa" w:w="5170"/>
            <w:vAlign w:val="center"/>
          </w:tcPr>
          <w:p>
            <w:r/>
            <w:r>
              <w:rPr>
                <w:b w:val="0"/>
                <w:sz w:val="14"/>
              </w:rPr>
              <w:t>Closure evidence</w:t>
            </w:r>
          </w:p>
        </w:tc>
        <w:tc>
          <w:tcPr>
            <w:tcW w:type="dxa" w:w="5170"/>
            <w:vAlign w:val="center"/>
          </w:tcPr>
          <w:p>
            <w:r/>
            <w:r>
              <w:rPr>
                <w:b w:val="0"/>
                <w:sz w:val="14"/>
              </w:rPr>
              <w:t>Validation reference.</w:t>
            </w:r>
          </w:p>
        </w:tc>
      </w:tr>
    </w:tbl>
    <w:p/>
    <w:p>
      <w:r>
        <w:br w:type="page"/>
      </w:r>
    </w:p>
    <w:p>
      <w:pPr>
        <w:pStyle w:val="Heading1"/>
      </w:pPr>
      <w:r>
        <w:t>Appendix E — Emergency Manual Control Checklist</w:t>
      </w:r>
    </w:p>
    <w:p>
      <w:r>
        <w:t>Manual operation during outage shall remain controlled.</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Question</w:t>
            </w:r>
          </w:p>
        </w:tc>
        <w:tc>
          <w:tcPr>
            <w:tcW w:type="dxa" w:w="5170"/>
            <w:vAlign w:val="center"/>
            <w:shd w:fill="17365D"/>
          </w:tcPr>
          <w:p>
            <w:r/>
            <w:r>
              <w:rPr>
                <w:b/>
                <w:color w:val="FFFFFF"/>
                <w:sz w:val="15"/>
              </w:rPr>
              <w:t>Expected Answer</w:t>
            </w:r>
          </w:p>
        </w:tc>
      </w:tr>
      <w:tr>
        <w:tc>
          <w:tcPr>
            <w:tcW w:type="dxa" w:w="5170"/>
            <w:vAlign w:val="center"/>
          </w:tcPr>
          <w:p>
            <w:r/>
            <w:r>
              <w:rPr>
                <w:b w:val="0"/>
                <w:sz w:val="14"/>
              </w:rPr>
              <w:t>Authority confirmed?</w:t>
            </w:r>
          </w:p>
        </w:tc>
        <w:tc>
          <w:tcPr>
            <w:tcW w:type="dxa" w:w="5170"/>
            <w:vAlign w:val="center"/>
          </w:tcPr>
          <w:p>
            <w:r/>
            <w:r>
              <w:rPr>
                <w:b w:val="0"/>
                <w:sz w:val="14"/>
              </w:rPr>
              <w:t>Current CDAS/IDS/specialist authority checked.</w:t>
            </w:r>
          </w:p>
        </w:tc>
      </w:tr>
      <w:tr>
        <w:tc>
          <w:tcPr>
            <w:tcW w:type="dxa" w:w="5170"/>
            <w:vAlign w:val="center"/>
          </w:tcPr>
          <w:p>
            <w:r/>
            <w:r>
              <w:rPr>
                <w:b w:val="0"/>
                <w:sz w:val="14"/>
              </w:rPr>
              <w:t>Maker-checker retained?</w:t>
            </w:r>
          </w:p>
        </w:tc>
        <w:tc>
          <w:tcPr>
            <w:tcW w:type="dxa" w:w="5170"/>
            <w:vAlign w:val="center"/>
          </w:tcPr>
          <w:p>
            <w:r/>
            <w:r>
              <w:rPr>
                <w:b w:val="0"/>
                <w:sz w:val="14"/>
              </w:rPr>
              <w:t>Separate preparation and verification where material.</w:t>
            </w:r>
          </w:p>
        </w:tc>
      </w:tr>
      <w:tr>
        <w:tc>
          <w:tcPr>
            <w:tcW w:type="dxa" w:w="5170"/>
            <w:vAlign w:val="center"/>
          </w:tcPr>
          <w:p>
            <w:r/>
            <w:r>
              <w:rPr>
                <w:b w:val="0"/>
                <w:sz w:val="14"/>
              </w:rPr>
              <w:t>Customer/KYC/AML restrictions visible?</w:t>
            </w:r>
          </w:p>
        </w:tc>
        <w:tc>
          <w:tcPr>
            <w:tcW w:type="dxa" w:w="5170"/>
            <w:vAlign w:val="center"/>
          </w:tcPr>
          <w:p>
            <w:r/>
            <w:r>
              <w:rPr>
                <w:b w:val="0"/>
                <w:sz w:val="14"/>
              </w:rPr>
              <w:t>No release where unresolved.</w:t>
            </w:r>
          </w:p>
        </w:tc>
      </w:tr>
      <w:tr>
        <w:tc>
          <w:tcPr>
            <w:tcW w:type="dxa" w:w="5170"/>
            <w:vAlign w:val="center"/>
          </w:tcPr>
          <w:p>
            <w:r/>
            <w:r>
              <w:rPr>
                <w:b w:val="0"/>
                <w:sz w:val="14"/>
              </w:rPr>
              <w:t>Access controlled?</w:t>
            </w:r>
          </w:p>
        </w:tc>
        <w:tc>
          <w:tcPr>
            <w:tcW w:type="dxa" w:w="5170"/>
            <w:vAlign w:val="center"/>
          </w:tcPr>
          <w:p>
            <w:r/>
            <w:r>
              <w:rPr>
                <w:b w:val="0"/>
                <w:sz w:val="14"/>
              </w:rPr>
              <w:t>Only approved emergency access.</w:t>
            </w:r>
          </w:p>
        </w:tc>
      </w:tr>
      <w:tr>
        <w:tc>
          <w:tcPr>
            <w:tcW w:type="dxa" w:w="5170"/>
            <w:vAlign w:val="center"/>
          </w:tcPr>
          <w:p>
            <w:r/>
            <w:r>
              <w:rPr>
                <w:b w:val="0"/>
                <w:sz w:val="14"/>
              </w:rPr>
              <w:t>Duplicate risk managed?</w:t>
            </w:r>
          </w:p>
        </w:tc>
        <w:tc>
          <w:tcPr>
            <w:tcW w:type="dxa" w:w="5170"/>
            <w:vAlign w:val="center"/>
          </w:tcPr>
          <w:p>
            <w:r/>
            <w:r>
              <w:rPr>
                <w:b w:val="0"/>
                <w:sz w:val="14"/>
              </w:rPr>
              <w:t>Unique queue/log and reconciliation.</w:t>
            </w:r>
          </w:p>
        </w:tc>
      </w:tr>
      <w:tr>
        <w:tc>
          <w:tcPr>
            <w:tcW w:type="dxa" w:w="5170"/>
            <w:vAlign w:val="center"/>
          </w:tcPr>
          <w:p>
            <w:r/>
            <w:r>
              <w:rPr>
                <w:b w:val="0"/>
                <w:sz w:val="14"/>
              </w:rPr>
              <w:t>Backlog recorded?</w:t>
            </w:r>
          </w:p>
        </w:tc>
        <w:tc>
          <w:tcPr>
            <w:tcW w:type="dxa" w:w="5170"/>
            <w:vAlign w:val="center"/>
          </w:tcPr>
          <w:p>
            <w:r/>
            <w:r>
              <w:rPr>
                <w:b w:val="0"/>
                <w:sz w:val="14"/>
              </w:rPr>
              <w:t>Every manual item tracked for system catch-up.</w:t>
            </w:r>
          </w:p>
        </w:tc>
      </w:tr>
      <w:tr>
        <w:tc>
          <w:tcPr>
            <w:tcW w:type="dxa" w:w="5170"/>
            <w:vAlign w:val="center"/>
          </w:tcPr>
          <w:p>
            <w:r/>
            <w:r>
              <w:rPr>
                <w:b w:val="0"/>
                <w:sz w:val="14"/>
              </w:rPr>
              <w:t>Expiry defined?</w:t>
            </w:r>
          </w:p>
        </w:tc>
        <w:tc>
          <w:tcPr>
            <w:tcW w:type="dxa" w:w="5170"/>
            <w:vAlign w:val="center"/>
          </w:tcPr>
          <w:p>
            <w:r/>
            <w:r>
              <w:rPr>
                <w:b w:val="0"/>
                <w:sz w:val="14"/>
              </w:rPr>
              <w:t>Workaround withdrawn after recovery.</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