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Complaints Handling Procedure</w:t>
      </w:r>
    </w:p>
    <w:p>
      <w:pPr>
        <w:jc w:val="center"/>
      </w:pPr>
      <w:r>
        <w:rPr>
          <w:sz w:val="20"/>
        </w:rPr>
        <w:t>CHP-063  |  Version 1.3  |  Internal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CHP-063</w:t>
            </w:r>
          </w:p>
        </w:tc>
      </w:tr>
      <w:tr>
        <w:tc>
          <w:tcPr>
            <w:tcW w:type="dxa" w:w="5170"/>
            <w:vAlign w:val="center"/>
            <w:shd w:fill="D9EAF7"/>
          </w:tcPr>
          <w:p>
            <w:r/>
            <w:r>
              <w:rPr>
                <w:b/>
                <w:color w:val="17365D"/>
                <w:sz w:val="16"/>
              </w:rPr>
              <w:t>Document Title</w:t>
            </w:r>
          </w:p>
        </w:tc>
        <w:tc>
          <w:tcPr>
            <w:tcW w:type="dxa" w:w="5170"/>
            <w:vAlign w:val="center"/>
          </w:tcPr>
          <w:p>
            <w:r/>
            <w:r>
              <w:rPr>
                <w:b w:val="0"/>
                <w:sz w:val="16"/>
              </w:rPr>
              <w:t>Complaints Handling Procedure</w:t>
            </w:r>
          </w:p>
        </w:tc>
      </w:tr>
      <w:tr>
        <w:tc>
          <w:tcPr>
            <w:tcW w:type="dxa" w:w="5170"/>
            <w:vAlign w:val="center"/>
            <w:shd w:fill="D9EAF7"/>
          </w:tcPr>
          <w:p>
            <w:r/>
            <w:r>
              <w:rPr>
                <w:b/>
                <w:color w:val="17365D"/>
                <w:sz w:val="16"/>
              </w:rPr>
              <w:t>Version</w:t>
            </w:r>
          </w:p>
        </w:tc>
        <w:tc>
          <w:tcPr>
            <w:tcW w:type="dxa" w:w="5170"/>
            <w:vAlign w:val="center"/>
          </w:tcPr>
          <w:p>
            <w:r/>
            <w:r>
              <w:rPr>
                <w:b w:val="0"/>
                <w:sz w:val="16"/>
              </w:rPr>
              <w:t>1.3</w:t>
            </w:r>
          </w:p>
        </w:tc>
      </w:tr>
      <w:tr>
        <w:tc>
          <w:tcPr>
            <w:tcW w:type="dxa" w:w="5170"/>
            <w:vAlign w:val="center"/>
            <w:shd w:fill="D9EAF7"/>
          </w:tcPr>
          <w:p>
            <w:r/>
            <w:r>
              <w:rPr>
                <w:b/>
                <w:color w:val="17365D"/>
                <w:sz w:val="16"/>
              </w:rPr>
              <w:t>Policy Owner</w:t>
            </w:r>
          </w:p>
        </w:tc>
        <w:tc>
          <w:tcPr>
            <w:tcW w:type="dxa" w:w="5170"/>
            <w:vAlign w:val="center"/>
          </w:tcPr>
          <w:p>
            <w:r/>
            <w:r>
              <w:rPr>
                <w:b w:val="0"/>
                <w:sz w:val="16"/>
              </w:rPr>
              <w:t>Maya Joseph — Head of Customer Experience &amp; Complaints</w:t>
            </w:r>
          </w:p>
        </w:tc>
      </w:tr>
      <w:tr>
        <w:tc>
          <w:tcPr>
            <w:tcW w:type="dxa" w:w="5170"/>
            <w:vAlign w:val="center"/>
            <w:shd w:fill="D9EAF7"/>
          </w:tcPr>
          <w:p>
            <w:r/>
            <w:r>
              <w:rPr>
                <w:b/>
                <w:color w:val="17365D"/>
                <w:sz w:val="16"/>
              </w:rPr>
              <w:t>Business Unit</w:t>
            </w:r>
          </w:p>
        </w:tc>
        <w:tc>
          <w:tcPr>
            <w:tcW w:type="dxa" w:w="5170"/>
            <w:vAlign w:val="center"/>
          </w:tcPr>
          <w:p>
            <w:r/>
            <w:r>
              <w:rPr>
                <w:b w:val="0"/>
                <w:sz w:val="16"/>
              </w:rPr>
              <w:t>Customer Service / Operations / Compliance</w:t>
            </w:r>
          </w:p>
        </w:tc>
      </w:tr>
      <w:tr>
        <w:tc>
          <w:tcPr>
            <w:tcW w:type="dxa" w:w="5170"/>
            <w:vAlign w:val="center"/>
            <w:shd w:fill="D9EAF7"/>
          </w:tcPr>
          <w:p>
            <w:r/>
            <w:r>
              <w:rPr>
                <w:b/>
                <w:color w:val="17365D"/>
                <w:sz w:val="16"/>
              </w:rPr>
              <w:t>Approving Authority</w:t>
            </w:r>
          </w:p>
        </w:tc>
        <w:tc>
          <w:tcPr>
            <w:tcW w:type="dxa" w:w="5170"/>
            <w:vAlign w:val="center"/>
          </w:tcPr>
          <w:p>
            <w:r/>
            <w:r>
              <w:rPr>
                <w:b w:val="0"/>
                <w:sz w:val="16"/>
              </w:rPr>
              <w:t>Compliance &amp; Conduct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15 July 2026</w:t>
            </w:r>
          </w:p>
        </w:tc>
      </w:tr>
      <w:tr>
        <w:tc>
          <w:tcPr>
            <w:tcW w:type="dxa" w:w="5170"/>
            <w:vAlign w:val="center"/>
            <w:shd w:fill="D9EAF7"/>
          </w:tcPr>
          <w:p>
            <w:r/>
            <w:r>
              <w:rPr>
                <w:b/>
                <w:color w:val="17365D"/>
                <w:sz w:val="16"/>
              </w:rPr>
              <w:t>Previous Version</w:t>
            </w:r>
          </w:p>
        </w:tc>
        <w:tc>
          <w:tcPr>
            <w:tcW w:type="dxa" w:w="5170"/>
            <w:vAlign w:val="center"/>
          </w:tcPr>
          <w:p>
            <w:r/>
            <w:r>
              <w:rPr>
                <w:b w:val="0"/>
                <w:sz w:val="16"/>
              </w:rPr>
              <w:t>1.2</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CHP-063 v1.2</w:t>
            </w:r>
          </w:p>
        </w:tc>
      </w:tr>
      <w:tr>
        <w:tc>
          <w:tcPr>
            <w:tcW w:type="dxa" w:w="5170"/>
            <w:vAlign w:val="center"/>
            <w:shd w:fill="D9EAF7"/>
          </w:tcPr>
          <w:p>
            <w:r/>
            <w:r>
              <w:rPr>
                <w:b/>
                <w:color w:val="17365D"/>
                <w:sz w:val="16"/>
              </w:rPr>
              <w:t>Related Documents</w:t>
            </w:r>
          </w:p>
        </w:tc>
        <w:tc>
          <w:tcPr>
            <w:tcW w:type="dxa" w:w="5170"/>
            <w:vAlign w:val="center"/>
          </w:tcPr>
          <w:p>
            <w:r/>
            <w:r>
              <w:rPr>
                <w:b w:val="0"/>
                <w:sz w:val="16"/>
              </w:rPr>
              <w:t>CMP-012; CBP-043; EOM-020; LOP-002; KYC-004; AML-003; FEP-062; ORI-064</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1.0</w:t>
            </w:r>
          </w:p>
        </w:tc>
        <w:tc>
          <w:tcPr>
            <w:tcW w:type="dxa" w:w="2585"/>
            <w:vAlign w:val="center"/>
          </w:tcPr>
          <w:p>
            <w:r/>
            <w:r>
              <w:rPr>
                <w:b w:val="0"/>
                <w:sz w:val="14"/>
              </w:rPr>
              <w:t>1 Jan 2024</w:t>
            </w:r>
          </w:p>
        </w:tc>
        <w:tc>
          <w:tcPr>
            <w:tcW w:type="dxa" w:w="2585"/>
            <w:vAlign w:val="center"/>
          </w:tcPr>
          <w:p>
            <w:r/>
            <w:r>
              <w:rPr>
                <w:b w:val="0"/>
                <w:sz w:val="14"/>
              </w:rPr>
              <w:t>Centralized complaint capture and customer-remediation workflow.</w:t>
            </w:r>
          </w:p>
        </w:tc>
        <w:tc>
          <w:tcPr>
            <w:tcW w:type="dxa" w:w="2585"/>
            <w:vAlign w:val="center"/>
          </w:tcPr>
          <w:p>
            <w:r/>
            <w:r>
              <w:rPr>
                <w:b w:val="0"/>
                <w:sz w:val="14"/>
              </w:rPr>
              <w:t>Chief Operating Officer</w:t>
            </w:r>
          </w:p>
        </w:tc>
      </w:tr>
      <w:tr>
        <w:tc>
          <w:tcPr>
            <w:tcW w:type="dxa" w:w="2585"/>
            <w:vAlign w:val="center"/>
          </w:tcPr>
          <w:p>
            <w:r/>
            <w:r>
              <w:rPr>
                <w:b w:val="0"/>
                <w:sz w:val="14"/>
              </w:rPr>
              <w:t>1.2</w:t>
            </w:r>
          </w:p>
        </w:tc>
        <w:tc>
          <w:tcPr>
            <w:tcW w:type="dxa" w:w="2585"/>
            <w:vAlign w:val="center"/>
          </w:tcPr>
          <w:p>
            <w:r/>
            <w:r>
              <w:rPr>
                <w:b w:val="0"/>
                <w:sz w:val="14"/>
              </w:rPr>
              <w:t>1 Jan 2025</w:t>
            </w:r>
          </w:p>
        </w:tc>
        <w:tc>
          <w:tcPr>
            <w:tcW w:type="dxa" w:w="2585"/>
            <w:vAlign w:val="center"/>
          </w:tcPr>
          <w:p>
            <w:r/>
            <w:r>
              <w:rPr>
                <w:b w:val="0"/>
                <w:sz w:val="14"/>
              </w:rPr>
              <w:t>Added root-cause categories and repeat-complaint monitoring.</w:t>
            </w:r>
          </w:p>
        </w:tc>
        <w:tc>
          <w:tcPr>
            <w:tcW w:type="dxa" w:w="2585"/>
            <w:vAlign w:val="center"/>
          </w:tcPr>
          <w:p>
            <w:r/>
            <w:r>
              <w:rPr>
                <w:b w:val="0"/>
                <w:sz w:val="14"/>
              </w:rPr>
              <w:t>Compliance &amp; Conduct Committee</w:t>
            </w:r>
          </w:p>
        </w:tc>
      </w:tr>
      <w:tr>
        <w:tc>
          <w:tcPr>
            <w:tcW w:type="dxa" w:w="2585"/>
            <w:vAlign w:val="center"/>
          </w:tcPr>
          <w:p>
            <w:r/>
            <w:r>
              <w:rPr>
                <w:b w:val="0"/>
                <w:sz w:val="14"/>
              </w:rPr>
              <w:t>1.3</w:t>
            </w:r>
          </w:p>
        </w:tc>
        <w:tc>
          <w:tcPr>
            <w:tcW w:type="dxa" w:w="2585"/>
            <w:vAlign w:val="center"/>
          </w:tcPr>
          <w:p>
            <w:r/>
            <w:r>
              <w:rPr>
                <w:b w:val="0"/>
                <w:sz w:val="14"/>
              </w:rPr>
              <w:t>15 Jul 2026</w:t>
            </w:r>
          </w:p>
        </w:tc>
        <w:tc>
          <w:tcPr>
            <w:tcW w:type="dxa" w:w="2585"/>
            <w:vAlign w:val="center"/>
          </w:tcPr>
          <w:p>
            <w:r/>
            <w:r>
              <w:rPr>
                <w:b w:val="0"/>
                <w:sz w:val="14"/>
              </w:rPr>
              <w:t>Aligned security, fraud, vendor and operational-risk referral paths.</w:t>
            </w:r>
          </w:p>
        </w:tc>
        <w:tc>
          <w:tcPr>
            <w:tcW w:type="dxa" w:w="2585"/>
            <w:vAlign w:val="center"/>
          </w:tcPr>
          <w:p>
            <w:r/>
            <w:r>
              <w:rPr>
                <w:b w:val="0"/>
                <w:sz w:val="14"/>
              </w:rPr>
              <w:t>Compliance &amp; Conduct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Northstar receives, records, investigates, resolves and learns from customer complaints while treating customers fairly and preserving specialist risk controls.</w:t>
      </w:r>
    </w:p>
    <w:p>
      <w:pPr>
        <w:pStyle w:val="Heading1"/>
      </w:pPr>
      <w:r>
        <w:t>2. Scope</w:t>
      </w:r>
    </w:p>
    <w:p>
      <w:r>
        <w:t>The Procedure covers complaints relating to applications, lending, onboarding, KYC/AML interactions, servicing, payments, investments, customer service, privacy/security, vendors and employee conduct.</w:t>
      </w:r>
    </w:p>
    <w:p>
      <w:pPr>
        <w:pStyle w:val="Heading1"/>
      </w:pPr>
      <w:r>
        <w:t>3. What Is a Complaint</w:t>
      </w:r>
    </w:p>
    <w:p>
      <w:r>
        <w:t>A complaint is an expression of dissatisfaction requiring a response or remedial consideration. Employees shall not avoid complaint registration by labeling dissatisfaction as “feedback” when the substance indicates a complaint.</w:t>
      </w:r>
    </w:p>
    <w:p>
      <w:pPr>
        <w:pStyle w:val="Heading1"/>
      </w:pPr>
      <w:r>
        <w:t>4. Non-Complaint Service Requests</w:t>
      </w:r>
    </w:p>
    <w:p>
      <w:r>
        <w:t>Routine information requests, address changes, statement requests or status inquiries may be handled as service requests unless dissatisfaction, error, harm or repeated failure indicates complaint treatment.</w:t>
      </w:r>
    </w:p>
    <w:p>
      <w:pPr>
        <w:pStyle w:val="Heading1"/>
      </w:pPr>
      <w:r>
        <w:t>5. Complaint Principles</w:t>
      </w:r>
    </w:p>
    <w:p>
      <w:r>
        <w:t>Complaint handling shall be accessible, impartial, evidence-based and proportionate.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Principle</w:t>
            </w:r>
          </w:p>
        </w:tc>
        <w:tc>
          <w:tcPr>
            <w:tcW w:type="dxa" w:w="5170"/>
            <w:vAlign w:val="center"/>
            <w:shd w:fill="17365D"/>
          </w:tcPr>
          <w:p>
            <w:r/>
            <w:r>
              <w:rPr>
                <w:b/>
                <w:color w:val="FFFFFF"/>
                <w:sz w:val="15"/>
              </w:rPr>
              <w:t>Treatment</w:t>
            </w:r>
          </w:p>
        </w:tc>
      </w:tr>
      <w:tr>
        <w:tc>
          <w:tcPr>
            <w:tcW w:type="dxa" w:w="5170"/>
            <w:vAlign w:val="center"/>
          </w:tcPr>
          <w:p>
            <w:r/>
            <w:r>
              <w:rPr>
                <w:b w:val="0"/>
                <w:sz w:val="14"/>
              </w:rPr>
              <w:t>Capture once</w:t>
            </w:r>
          </w:p>
        </w:tc>
        <w:tc>
          <w:tcPr>
            <w:tcW w:type="dxa" w:w="5170"/>
            <w:vAlign w:val="center"/>
          </w:tcPr>
          <w:p>
            <w:r/>
            <w:r>
              <w:rPr>
                <w:b w:val="0"/>
                <w:sz w:val="14"/>
              </w:rPr>
              <w:t>Register complaint even if another team ultimately owns resolution.</w:t>
            </w:r>
          </w:p>
        </w:tc>
      </w:tr>
      <w:tr>
        <w:tc>
          <w:tcPr>
            <w:tcW w:type="dxa" w:w="5170"/>
            <w:vAlign w:val="center"/>
          </w:tcPr>
          <w:p>
            <w:r/>
            <w:r>
              <w:rPr>
                <w:b w:val="0"/>
                <w:sz w:val="14"/>
              </w:rPr>
              <w:t>No retaliation</w:t>
            </w:r>
          </w:p>
        </w:tc>
        <w:tc>
          <w:tcPr>
            <w:tcW w:type="dxa" w:w="5170"/>
            <w:vAlign w:val="center"/>
          </w:tcPr>
          <w:p>
            <w:r/>
            <w:r>
              <w:rPr>
                <w:b w:val="0"/>
                <w:sz w:val="14"/>
              </w:rPr>
              <w:t>Customer relationship decisions shall not be adversely affected merely because a complaint was raised.</w:t>
            </w:r>
          </w:p>
        </w:tc>
      </w:tr>
      <w:tr>
        <w:tc>
          <w:tcPr>
            <w:tcW w:type="dxa" w:w="5170"/>
            <w:vAlign w:val="center"/>
          </w:tcPr>
          <w:p>
            <w:r/>
            <w:r>
              <w:rPr>
                <w:b w:val="0"/>
                <w:sz w:val="14"/>
              </w:rPr>
              <w:t>Evidence</w:t>
            </w:r>
          </w:p>
        </w:tc>
        <w:tc>
          <w:tcPr>
            <w:tcW w:type="dxa" w:w="5170"/>
            <w:vAlign w:val="center"/>
          </w:tcPr>
          <w:p>
            <w:r/>
            <w:r>
              <w:rPr>
                <w:b w:val="0"/>
                <w:sz w:val="14"/>
              </w:rPr>
              <w:t>Use records and facts, not assumptions about customer motive.</w:t>
            </w:r>
          </w:p>
        </w:tc>
      </w:tr>
      <w:tr>
        <w:tc>
          <w:tcPr>
            <w:tcW w:type="dxa" w:w="5170"/>
            <w:vAlign w:val="center"/>
          </w:tcPr>
          <w:p>
            <w:r/>
            <w:r>
              <w:rPr>
                <w:b w:val="0"/>
                <w:sz w:val="14"/>
              </w:rPr>
              <w:t>Ownership</w:t>
            </w:r>
          </w:p>
        </w:tc>
        <w:tc>
          <w:tcPr>
            <w:tcW w:type="dxa" w:w="5170"/>
            <w:vAlign w:val="center"/>
          </w:tcPr>
          <w:p>
            <w:r/>
            <w:r>
              <w:rPr>
                <w:b w:val="0"/>
                <w:sz w:val="14"/>
              </w:rPr>
              <w:t>Assign a responsible complaint owner and due date.</w:t>
            </w:r>
          </w:p>
        </w:tc>
      </w:tr>
      <w:tr>
        <w:tc>
          <w:tcPr>
            <w:tcW w:type="dxa" w:w="5170"/>
            <w:vAlign w:val="center"/>
          </w:tcPr>
          <w:p>
            <w:r/>
            <w:r>
              <w:rPr>
                <w:b w:val="0"/>
                <w:sz w:val="14"/>
              </w:rPr>
              <w:t>Specialist holds</w:t>
            </w:r>
          </w:p>
        </w:tc>
        <w:tc>
          <w:tcPr>
            <w:tcW w:type="dxa" w:w="5170"/>
            <w:vAlign w:val="center"/>
          </w:tcPr>
          <w:p>
            <w:r/>
            <w:r>
              <w:rPr>
                <w:b w:val="0"/>
                <w:sz w:val="14"/>
              </w:rPr>
              <w:t>Complaint team cannot override KYC/AML/fraud/security restrictions.</w:t>
            </w:r>
          </w:p>
        </w:tc>
      </w:tr>
      <w:tr>
        <w:tc>
          <w:tcPr>
            <w:tcW w:type="dxa" w:w="5170"/>
            <w:vAlign w:val="center"/>
          </w:tcPr>
          <w:p>
            <w:r/>
            <w:r>
              <w:rPr>
                <w:b w:val="0"/>
                <w:sz w:val="14"/>
              </w:rPr>
              <w:t>Learning</w:t>
            </w:r>
          </w:p>
        </w:tc>
        <w:tc>
          <w:tcPr>
            <w:tcW w:type="dxa" w:w="5170"/>
            <w:vAlign w:val="center"/>
          </w:tcPr>
          <w:p>
            <w:r/>
            <w:r>
              <w:rPr>
                <w:b w:val="0"/>
                <w:sz w:val="14"/>
              </w:rPr>
              <w:t>Repeat themes require root-cause and control action.</w:t>
            </w:r>
          </w:p>
        </w:tc>
      </w:tr>
    </w:tbl>
    <w:p/>
    <w:p>
      <w:pPr>
        <w:pStyle w:val="Heading1"/>
      </w:pPr>
      <w:r>
        <w:t>6. Intake Channels</w:t>
      </w:r>
    </w:p>
    <w:p>
      <w:r>
        <w:t>Complaints may be received through branch, phone, email, digital channels, written correspondence, authorized representatives or escalations from other functions.</w:t>
      </w:r>
    </w:p>
    <w:p>
      <w:pPr>
        <w:pStyle w:val="Heading1"/>
      </w:pPr>
      <w:r>
        <w:t>7. Registration</w:t>
      </w:r>
    </w:p>
    <w:p>
      <w:r>
        <w:t>Complaints shall be recorded with customer/reference data, received date, channel, product, issue category, description, vulnerability indicators if relevant, requested resolution and linked incidents/cases.</w:t>
      </w:r>
    </w:p>
    <w:p>
      <w:pPr>
        <w:pStyle w:val="Heading1"/>
      </w:pPr>
      <w:r>
        <w:t>8. Complaint Priority</w:t>
      </w:r>
    </w:p>
    <w:p>
      <w:r>
        <w:t>Northstar uses P1–P4 internal complaint priority.</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Priority</w:t>
            </w:r>
          </w:p>
        </w:tc>
        <w:tc>
          <w:tcPr>
            <w:tcW w:type="dxa" w:w="3447"/>
            <w:vAlign w:val="center"/>
            <w:shd w:fill="17365D"/>
          </w:tcPr>
          <w:p>
            <w:r/>
            <w:r>
              <w:rPr>
                <w:b/>
                <w:color w:val="FFFFFF"/>
                <w:sz w:val="15"/>
              </w:rPr>
              <w:t>Indicative Criteria</w:t>
            </w:r>
          </w:p>
        </w:tc>
        <w:tc>
          <w:tcPr>
            <w:tcW w:type="dxa" w:w="3447"/>
            <w:vAlign w:val="center"/>
            <w:shd w:fill="17365D"/>
          </w:tcPr>
          <w:p>
            <w:r/>
            <w:r>
              <w:rPr>
                <w:b/>
                <w:color w:val="FFFFFF"/>
                <w:sz w:val="15"/>
              </w:rPr>
              <w:t>Target Acknowledgment</w:t>
            </w:r>
          </w:p>
        </w:tc>
      </w:tr>
      <w:tr>
        <w:tc>
          <w:tcPr>
            <w:tcW w:type="dxa" w:w="3447"/>
            <w:vAlign w:val="center"/>
          </w:tcPr>
          <w:p>
            <w:r/>
            <w:r>
              <w:rPr>
                <w:b w:val="0"/>
                <w:sz w:val="14"/>
              </w:rPr>
              <w:t>P1 Critical</w:t>
            </w:r>
          </w:p>
        </w:tc>
        <w:tc>
          <w:tcPr>
            <w:tcW w:type="dxa" w:w="3447"/>
            <w:vAlign w:val="center"/>
          </w:tcPr>
          <w:p>
            <w:r/>
            <w:r>
              <w:rPr>
                <w:b w:val="0"/>
                <w:sz w:val="14"/>
              </w:rPr>
              <w:t>Immediate safety, severe financial harm, widespread outage, serious data/fraud issue</w:t>
            </w:r>
          </w:p>
        </w:tc>
        <w:tc>
          <w:tcPr>
            <w:tcW w:type="dxa" w:w="3447"/>
            <w:vAlign w:val="center"/>
          </w:tcPr>
          <w:p>
            <w:r/>
            <w:r>
              <w:rPr>
                <w:b w:val="0"/>
                <w:sz w:val="14"/>
              </w:rPr>
              <w:t>Same day / as soon as practicable.</w:t>
            </w:r>
          </w:p>
        </w:tc>
      </w:tr>
      <w:tr>
        <w:tc>
          <w:tcPr>
            <w:tcW w:type="dxa" w:w="3447"/>
            <w:vAlign w:val="center"/>
          </w:tcPr>
          <w:p>
            <w:r/>
            <w:r>
              <w:rPr>
                <w:b w:val="0"/>
                <w:sz w:val="14"/>
              </w:rPr>
              <w:t>P2 High</w:t>
            </w:r>
          </w:p>
        </w:tc>
        <w:tc>
          <w:tcPr>
            <w:tcW w:type="dxa" w:w="3447"/>
            <w:vAlign w:val="center"/>
          </w:tcPr>
          <w:p>
            <w:r/>
            <w:r>
              <w:rPr>
                <w:b w:val="0"/>
                <w:sz w:val="14"/>
              </w:rPr>
              <w:t>Material financial/customer impact, vulnerable customer, repeated unresolved error</w:t>
            </w:r>
          </w:p>
        </w:tc>
        <w:tc>
          <w:tcPr>
            <w:tcW w:type="dxa" w:w="3447"/>
            <w:vAlign w:val="center"/>
          </w:tcPr>
          <w:p>
            <w:r/>
            <w:r>
              <w:rPr>
                <w:b w:val="0"/>
                <w:sz w:val="14"/>
              </w:rPr>
              <w:t>Within 1 business day.</w:t>
            </w:r>
          </w:p>
        </w:tc>
      </w:tr>
      <w:tr>
        <w:tc>
          <w:tcPr>
            <w:tcW w:type="dxa" w:w="3447"/>
            <w:vAlign w:val="center"/>
          </w:tcPr>
          <w:p>
            <w:r/>
            <w:r>
              <w:rPr>
                <w:b w:val="0"/>
                <w:sz w:val="14"/>
              </w:rPr>
              <w:t>P3 Standard</w:t>
            </w:r>
          </w:p>
        </w:tc>
        <w:tc>
          <w:tcPr>
            <w:tcW w:type="dxa" w:w="3447"/>
            <w:vAlign w:val="center"/>
          </w:tcPr>
          <w:p>
            <w:r/>
            <w:r>
              <w:rPr>
                <w:b w:val="0"/>
                <w:sz w:val="14"/>
              </w:rPr>
              <w:t>Ordinary service/product complaint requiring investigation</w:t>
            </w:r>
          </w:p>
        </w:tc>
        <w:tc>
          <w:tcPr>
            <w:tcW w:type="dxa" w:w="3447"/>
            <w:vAlign w:val="center"/>
          </w:tcPr>
          <w:p>
            <w:r/>
            <w:r>
              <w:rPr>
                <w:b w:val="0"/>
                <w:sz w:val="14"/>
              </w:rPr>
              <w:t>Within 2 business days.</w:t>
            </w:r>
          </w:p>
        </w:tc>
      </w:tr>
      <w:tr>
        <w:tc>
          <w:tcPr>
            <w:tcW w:type="dxa" w:w="3447"/>
            <w:vAlign w:val="center"/>
          </w:tcPr>
          <w:p>
            <w:r/>
            <w:r>
              <w:rPr>
                <w:b w:val="0"/>
                <w:sz w:val="14"/>
              </w:rPr>
              <w:t>P4 Low</w:t>
            </w:r>
          </w:p>
        </w:tc>
        <w:tc>
          <w:tcPr>
            <w:tcW w:type="dxa" w:w="3447"/>
            <w:vAlign w:val="center"/>
          </w:tcPr>
          <w:p>
            <w:r/>
            <w:r>
              <w:rPr>
                <w:b w:val="0"/>
                <w:sz w:val="14"/>
              </w:rPr>
              <w:t>Minor dissatisfaction with limited impact</w:t>
            </w:r>
          </w:p>
        </w:tc>
        <w:tc>
          <w:tcPr>
            <w:tcW w:type="dxa" w:w="3447"/>
            <w:vAlign w:val="center"/>
          </w:tcPr>
          <w:p>
            <w:r/>
            <w:r>
              <w:rPr>
                <w:b w:val="0"/>
                <w:sz w:val="14"/>
              </w:rPr>
              <w:t>Within 3 business days.</w:t>
            </w:r>
          </w:p>
        </w:tc>
      </w:tr>
    </w:tbl>
    <w:p/>
    <w:p>
      <w:pPr>
        <w:pStyle w:val="Heading1"/>
      </w:pPr>
      <w:r>
        <w:t>9. Resolution Targets</w:t>
      </w:r>
    </w:p>
    <w:p>
      <w:r>
        <w:t>Internal complaint targets are management standards and not statements of external legal deadlines.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Priority</w:t>
            </w:r>
          </w:p>
        </w:tc>
        <w:tc>
          <w:tcPr>
            <w:tcW w:type="dxa" w:w="5170"/>
            <w:vAlign w:val="center"/>
            <w:shd w:fill="17365D"/>
          </w:tcPr>
          <w:p>
            <w:r/>
            <w:r>
              <w:rPr>
                <w:b/>
                <w:color w:val="FFFFFF"/>
                <w:sz w:val="15"/>
              </w:rPr>
              <w:t>Internal Target to Resolve or Issue Meaningful Update</w:t>
            </w:r>
          </w:p>
        </w:tc>
      </w:tr>
      <w:tr>
        <w:tc>
          <w:tcPr>
            <w:tcW w:type="dxa" w:w="5170"/>
            <w:vAlign w:val="center"/>
          </w:tcPr>
          <w:p>
            <w:r/>
            <w:r>
              <w:rPr>
                <w:b w:val="0"/>
                <w:sz w:val="14"/>
              </w:rPr>
              <w:t>P1</w:t>
            </w:r>
          </w:p>
        </w:tc>
        <w:tc>
          <w:tcPr>
            <w:tcW w:type="dxa" w:w="5170"/>
            <w:vAlign w:val="center"/>
          </w:tcPr>
          <w:p>
            <w:r/>
            <w:r>
              <w:rPr>
                <w:b w:val="0"/>
                <w:sz w:val="14"/>
              </w:rPr>
              <w:t>5 business days where practicable; ongoing updates for complex cases.</w:t>
            </w:r>
          </w:p>
        </w:tc>
      </w:tr>
      <w:tr>
        <w:tc>
          <w:tcPr>
            <w:tcW w:type="dxa" w:w="5170"/>
            <w:vAlign w:val="center"/>
          </w:tcPr>
          <w:p>
            <w:r/>
            <w:r>
              <w:rPr>
                <w:b w:val="0"/>
                <w:sz w:val="14"/>
              </w:rPr>
              <w:t>P2</w:t>
            </w:r>
          </w:p>
        </w:tc>
        <w:tc>
          <w:tcPr>
            <w:tcW w:type="dxa" w:w="5170"/>
            <w:vAlign w:val="center"/>
          </w:tcPr>
          <w:p>
            <w:r/>
            <w:r>
              <w:rPr>
                <w:b w:val="0"/>
                <w:sz w:val="14"/>
              </w:rPr>
              <w:t>10 business days.</w:t>
            </w:r>
          </w:p>
        </w:tc>
      </w:tr>
      <w:tr>
        <w:tc>
          <w:tcPr>
            <w:tcW w:type="dxa" w:w="5170"/>
            <w:vAlign w:val="center"/>
          </w:tcPr>
          <w:p>
            <w:r/>
            <w:r>
              <w:rPr>
                <w:b w:val="0"/>
                <w:sz w:val="14"/>
              </w:rPr>
              <w:t>P3</w:t>
            </w:r>
          </w:p>
        </w:tc>
        <w:tc>
          <w:tcPr>
            <w:tcW w:type="dxa" w:w="5170"/>
            <w:vAlign w:val="center"/>
          </w:tcPr>
          <w:p>
            <w:r/>
            <w:r>
              <w:rPr>
                <w:b w:val="0"/>
                <w:sz w:val="14"/>
              </w:rPr>
              <w:t>15 business days.</w:t>
            </w:r>
          </w:p>
        </w:tc>
      </w:tr>
      <w:tr>
        <w:tc>
          <w:tcPr>
            <w:tcW w:type="dxa" w:w="5170"/>
            <w:vAlign w:val="center"/>
          </w:tcPr>
          <w:p>
            <w:r/>
            <w:r>
              <w:rPr>
                <w:b w:val="0"/>
                <w:sz w:val="14"/>
              </w:rPr>
              <w:t>P4</w:t>
            </w:r>
          </w:p>
        </w:tc>
        <w:tc>
          <w:tcPr>
            <w:tcW w:type="dxa" w:w="5170"/>
            <w:vAlign w:val="center"/>
          </w:tcPr>
          <w:p>
            <w:r/>
            <w:r>
              <w:rPr>
                <w:b w:val="0"/>
                <w:sz w:val="14"/>
              </w:rPr>
              <w:t>20 business days.</w:t>
            </w:r>
          </w:p>
        </w:tc>
      </w:tr>
    </w:tbl>
    <w:p/>
    <w:p>
      <w:pPr>
        <w:pStyle w:val="Heading1"/>
      </w:pPr>
      <w:r>
        <w:t>10. Acknowledgment</w:t>
      </w:r>
    </w:p>
    <w:p>
      <w:r>
        <w:t>Acknowledgment should confirm reference, complaint owner/contact route, broad issue understood and expected next update. Do not promise an outcome before investigation.</w:t>
      </w:r>
    </w:p>
    <w:p>
      <w:pPr>
        <w:pStyle w:val="Heading1"/>
      </w:pPr>
      <w:r>
        <w:t>11. Investigation</w:t>
      </w:r>
    </w:p>
    <w:p>
      <w:r>
        <w:t>The complaint owner shall obtain relevant application, transaction, call, email, system, approval, KYC/AML, fraud, security, vendor or servicing evidence as needed.</w:t>
      </w:r>
    </w:p>
    <w:p>
      <w:pPr>
        <w:pStyle w:val="Heading1"/>
      </w:pPr>
      <w:r>
        <w:t>12. Customer Vulnerability and Urgency</w:t>
      </w:r>
    </w:p>
    <w:p>
      <w:r>
        <w:t>Where a customer may face urgent hardship, access issue or safety concern, the complaint owner shall prioritize protective action without waiting for final complaint disposition.</w:t>
      </w:r>
    </w:p>
    <w:p>
      <w:pPr>
        <w:pStyle w:val="Heading1"/>
      </w:pPr>
      <w:r>
        <w:t>13. Credit Complaints</w:t>
      </w:r>
    </w:p>
    <w:p>
      <w:r>
        <w:t>Complaint review may assess process, communication, data accuracy, consistency and policy application. It does not substitute for delegated credit authority or require approval of an otherwise ineligible application.</w:t>
      </w:r>
    </w:p>
    <w:p>
      <w:pPr>
        <w:pStyle w:val="Heading1"/>
      </w:pPr>
      <w:r>
        <w:t>14. KYC/AML Complaints</w:t>
      </w:r>
    </w:p>
    <w:p>
      <w:r>
        <w:t>The complaint team may review communication and process but cannot disclose restricted financial-crime information or override specialist restrictions. Escalate potential unfair delay, error or control failure to KYC/AML management and Compliance.</w:t>
      </w:r>
    </w:p>
    <w:p>
      <w:pPr>
        <w:pStyle w:val="Heading1"/>
      </w:pPr>
      <w:r>
        <w:t>15. Fraud and Scam Complaints</w:t>
      </w:r>
    </w:p>
    <w:p>
      <w:r>
        <w:t>Unauthorized transaction, impersonation or scam complaints require prompt FEP-062/SIR-052 referral where applicable. Customer protection may proceed before final complaint investigation.</w:t>
      </w:r>
    </w:p>
    <w:p>
      <w:pPr>
        <w:pStyle w:val="Heading1"/>
      </w:pPr>
      <w:r>
        <w:t>16. Security and Privacy Complaints</w:t>
      </w:r>
    </w:p>
    <w:p>
      <w:r>
        <w:t>Potential data exposure, account compromise or privacy/security concern shall be linked to SIR-052 and CBP-043 where appropriate.</w:t>
      </w:r>
    </w:p>
    <w:p>
      <w:pPr>
        <w:pStyle w:val="Heading1"/>
      </w:pPr>
      <w:r>
        <w:t>17. Vendor-Delivered Service Complaints</w:t>
      </w:r>
    </w:p>
    <w:p>
      <w:r>
        <w:t>Northstar remains responsible for complaint ownership even where service is vendor-delivered. Vendor investigation may support but does not replace Northstar’s customer response.</w:t>
      </w:r>
    </w:p>
    <w:p>
      <w:pPr>
        <w:pStyle w:val="Heading1"/>
      </w:pPr>
      <w:r>
        <w:t>18. Customer Remediation</w:t>
      </w:r>
    </w:p>
    <w:p>
      <w:r>
        <w:t>Remediation may include correction, fee/charge reversal, interest adjustment, updated records, apology/explanation, service restoration or other approved action.</w:t>
      </w:r>
    </w:p>
    <w:p>
      <w:r>
        <w:t>Financial remediation requires appropriate operational/financial authority. Complaint staff shall not create an unauthorized payment or waive a control requirement.</w:t>
      </w:r>
    </w:p>
    <w:p>
      <w:pPr>
        <w:pStyle w:val="Heading1"/>
      </w:pPr>
      <w:r>
        <w:t>19. Goodwill</w:t>
      </w:r>
    </w:p>
    <w:p>
      <w:r>
        <w:t>Goodwill may be considered separately from correction of actual error. It requires approved authority and shall not be used to conceal a control failure.</w:t>
      </w:r>
    </w:p>
    <w:p>
      <w:pPr>
        <w:pStyle w:val="Heading1"/>
      </w:pPr>
      <w:r>
        <w:t>20. Final Response</w:t>
      </w:r>
    </w:p>
    <w:p>
      <w:r>
        <w:t>A final response should summarize the issue, key facts, decision, remediation if any, and any next internal escalation route Northstar chooses to provide. Restricted AML/fraud/security information shall not be disclosed inappropriately.</w:t>
      </w:r>
    </w:p>
    <w:p>
      <w:pPr>
        <w:pStyle w:val="Heading1"/>
      </w:pPr>
      <w:r>
        <w:t>21. Reopened Complaints</w:t>
      </w:r>
    </w:p>
    <w:p>
      <w:r>
        <w:t>A complaint may be reopened where new evidence, unresolved issue or implementation failure materially changes the prior outcome.</w:t>
      </w:r>
    </w:p>
    <w:p>
      <w:pPr>
        <w:pStyle w:val="Heading1"/>
      </w:pPr>
      <w:r>
        <w:t>22. Repeat Complaints</w:t>
      </w:r>
    </w:p>
    <w:p>
      <w:r>
        <w:t>Repeated complaints involving the same product, process, employee, vendor or control may indicate a systemic issue even where individual amounts are small.</w:t>
      </w:r>
    </w:p>
    <w:p>
      <w:pPr>
        <w:pStyle w:val="Heading1"/>
      </w:pPr>
      <w:r>
        <w:t>23. Compliance Breach Interface</w:t>
      </w:r>
    </w:p>
    <w:p>
      <w:r>
        <w:t>Complaint findings may require CBP-043 breach assessment for customer fairness, disclosure, approval, recordkeeping or repeated control failures.</w:t>
      </w:r>
    </w:p>
    <w:p>
      <w:pPr>
        <w:pStyle w:val="Heading1"/>
      </w:pPr>
      <w:r>
        <w:t>24. Operational Risk Interface</w:t>
      </w:r>
    </w:p>
    <w:p>
      <w:r>
        <w:t>Material service failure, loss event or repeated near miss may require ORI-064 incident capture.</w:t>
      </w:r>
    </w:p>
    <w:p>
      <w:pPr>
        <w:pStyle w:val="Heading1"/>
      </w:pPr>
      <w:r>
        <w:t>25. Root Cause Analysis</w:t>
      </w:r>
    </w:p>
    <w:p>
      <w:r>
        <w:t>Complaint root cause should identify product, process, people, system, vendor, communication, policy, data or customer-expectation drivers.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Root Cause</w:t>
            </w:r>
          </w:p>
        </w:tc>
        <w:tc>
          <w:tcPr>
            <w:tcW w:type="dxa" w:w="5170"/>
            <w:vAlign w:val="center"/>
            <w:shd w:fill="17365D"/>
          </w:tcPr>
          <w:p>
            <w:r/>
            <w:r>
              <w:rPr>
                <w:b/>
                <w:color w:val="FFFFFF"/>
                <w:sz w:val="15"/>
              </w:rPr>
              <w:t>Example</w:t>
            </w:r>
          </w:p>
        </w:tc>
      </w:tr>
      <w:tr>
        <w:tc>
          <w:tcPr>
            <w:tcW w:type="dxa" w:w="5170"/>
            <w:vAlign w:val="center"/>
          </w:tcPr>
          <w:p>
            <w:r/>
            <w:r>
              <w:rPr>
                <w:b w:val="0"/>
                <w:sz w:val="14"/>
              </w:rPr>
              <w:t>Process</w:t>
            </w:r>
          </w:p>
        </w:tc>
        <w:tc>
          <w:tcPr>
            <w:tcW w:type="dxa" w:w="5170"/>
            <w:vAlign w:val="center"/>
          </w:tcPr>
          <w:p>
            <w:r/>
            <w:r>
              <w:rPr>
                <w:b w:val="0"/>
                <w:sz w:val="14"/>
              </w:rPr>
              <w:t>Manual handoff caused repeated delay.</w:t>
            </w:r>
          </w:p>
        </w:tc>
      </w:tr>
      <w:tr>
        <w:tc>
          <w:tcPr>
            <w:tcW w:type="dxa" w:w="5170"/>
            <w:vAlign w:val="center"/>
          </w:tcPr>
          <w:p>
            <w:r/>
            <w:r>
              <w:rPr>
                <w:b w:val="0"/>
                <w:sz w:val="14"/>
              </w:rPr>
              <w:t>System</w:t>
            </w:r>
          </w:p>
        </w:tc>
        <w:tc>
          <w:tcPr>
            <w:tcW w:type="dxa" w:w="5170"/>
            <w:vAlign w:val="center"/>
          </w:tcPr>
          <w:p>
            <w:r/>
            <w:r>
              <w:rPr>
                <w:b w:val="0"/>
                <w:sz w:val="14"/>
              </w:rPr>
              <w:t>Status update failed to reflect completed KYC review.</w:t>
            </w:r>
          </w:p>
        </w:tc>
      </w:tr>
      <w:tr>
        <w:tc>
          <w:tcPr>
            <w:tcW w:type="dxa" w:w="5170"/>
            <w:vAlign w:val="center"/>
          </w:tcPr>
          <w:p>
            <w:r/>
            <w:r>
              <w:rPr>
                <w:b w:val="0"/>
                <w:sz w:val="14"/>
              </w:rPr>
              <w:t>People</w:t>
            </w:r>
          </w:p>
        </w:tc>
        <w:tc>
          <w:tcPr>
            <w:tcW w:type="dxa" w:w="5170"/>
            <w:vAlign w:val="center"/>
          </w:tcPr>
          <w:p>
            <w:r/>
            <w:r>
              <w:rPr>
                <w:b w:val="0"/>
                <w:sz w:val="14"/>
              </w:rPr>
              <w:t>Incorrect explanation of approval requirement.</w:t>
            </w:r>
          </w:p>
        </w:tc>
      </w:tr>
      <w:tr>
        <w:tc>
          <w:tcPr>
            <w:tcW w:type="dxa" w:w="5170"/>
            <w:vAlign w:val="center"/>
          </w:tcPr>
          <w:p>
            <w:r/>
            <w:r>
              <w:rPr>
                <w:b w:val="0"/>
                <w:sz w:val="14"/>
              </w:rPr>
              <w:t>Vendor</w:t>
            </w:r>
          </w:p>
        </w:tc>
        <w:tc>
          <w:tcPr>
            <w:tcW w:type="dxa" w:w="5170"/>
            <w:vAlign w:val="center"/>
          </w:tcPr>
          <w:p>
            <w:r/>
            <w:r>
              <w:rPr>
                <w:b w:val="0"/>
                <w:sz w:val="14"/>
              </w:rPr>
              <w:t>Call-centre script misstated process.</w:t>
            </w:r>
          </w:p>
        </w:tc>
      </w:tr>
      <w:tr>
        <w:tc>
          <w:tcPr>
            <w:tcW w:type="dxa" w:w="5170"/>
            <w:vAlign w:val="center"/>
          </w:tcPr>
          <w:p>
            <w:r/>
            <w:r>
              <w:rPr>
                <w:b w:val="0"/>
                <w:sz w:val="14"/>
              </w:rPr>
              <w:t>Policy/Procedure</w:t>
            </w:r>
          </w:p>
        </w:tc>
        <w:tc>
          <w:tcPr>
            <w:tcW w:type="dxa" w:w="5170"/>
            <w:vAlign w:val="center"/>
          </w:tcPr>
          <w:p>
            <w:r/>
            <w:r>
              <w:rPr>
                <w:b w:val="0"/>
                <w:sz w:val="14"/>
              </w:rPr>
              <w:t>Ambiguous transition wording.</w:t>
            </w:r>
          </w:p>
        </w:tc>
      </w:tr>
      <w:tr>
        <w:tc>
          <w:tcPr>
            <w:tcW w:type="dxa" w:w="5170"/>
            <w:vAlign w:val="center"/>
          </w:tcPr>
          <w:p>
            <w:r/>
            <w:r>
              <w:rPr>
                <w:b w:val="0"/>
                <w:sz w:val="14"/>
              </w:rPr>
              <w:t>Data</w:t>
            </w:r>
          </w:p>
        </w:tc>
        <w:tc>
          <w:tcPr>
            <w:tcW w:type="dxa" w:w="5170"/>
            <w:vAlign w:val="center"/>
          </w:tcPr>
          <w:p>
            <w:r/>
            <w:r>
              <w:rPr>
                <w:b w:val="0"/>
                <w:sz w:val="14"/>
              </w:rPr>
              <w:t>Customer contact detail incorrectly mapped.</w:t>
            </w:r>
          </w:p>
        </w:tc>
      </w:tr>
    </w:tbl>
    <w:p/>
    <w:p>
      <w:pPr>
        <w:pStyle w:val="Heading1"/>
      </w:pPr>
      <w:r>
        <w:t>26. Quality Assurance</w:t>
      </w:r>
    </w:p>
    <w:p>
      <w:r>
        <w:t>Complaint QA shall sample accuracy, evidence, timeliness, tone, remediation execution and correct specialist escalation.</w:t>
      </w:r>
    </w:p>
    <w:p>
      <w:pPr>
        <w:pStyle w:val="Heading1"/>
      </w:pPr>
      <w:r>
        <w:t>27. Records</w:t>
      </w:r>
    </w:p>
    <w:p>
      <w:r>
        <w:t>Records include complaint, evidence, communications, investigation, decision, remediation approval/execution, linked cases and root-cause actions.</w:t>
      </w:r>
    </w:p>
    <w:p>
      <w:pPr>
        <w:pStyle w:val="Heading1"/>
      </w:pPr>
      <w:r>
        <w:t>28. Historical and Transitional Provisions</w:t>
      </w:r>
    </w:p>
    <w:p>
      <w:r>
        <w:t>Version 1.3 introduces P1–P4 priority and integrated security/fraud/vendor referral.</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Topic</w:t>
            </w:r>
          </w:p>
        </w:tc>
        <w:tc>
          <w:tcPr>
            <w:tcW w:type="dxa" w:w="3447"/>
            <w:vAlign w:val="center"/>
            <w:shd w:fill="17365D"/>
          </w:tcPr>
          <w:p>
            <w:r/>
            <w:r>
              <w:rPr>
                <w:b/>
                <w:color w:val="FFFFFF"/>
                <w:sz w:val="15"/>
              </w:rPr>
              <w:t>v1.2</w:t>
            </w:r>
          </w:p>
        </w:tc>
        <w:tc>
          <w:tcPr>
            <w:tcW w:type="dxa" w:w="3447"/>
            <w:vAlign w:val="center"/>
            <w:shd w:fill="17365D"/>
          </w:tcPr>
          <w:p>
            <w:r/>
            <w:r>
              <w:rPr>
                <w:b/>
                <w:color w:val="FFFFFF"/>
                <w:sz w:val="15"/>
              </w:rPr>
              <w:t>v1.3</w:t>
            </w:r>
          </w:p>
        </w:tc>
      </w:tr>
      <w:tr>
        <w:tc>
          <w:tcPr>
            <w:tcW w:type="dxa" w:w="3447"/>
            <w:vAlign w:val="center"/>
          </w:tcPr>
          <w:p>
            <w:r/>
            <w:r>
              <w:rPr>
                <w:b w:val="0"/>
                <w:sz w:val="14"/>
              </w:rPr>
              <w:t>Priority</w:t>
            </w:r>
          </w:p>
        </w:tc>
        <w:tc>
          <w:tcPr>
            <w:tcW w:type="dxa" w:w="3447"/>
            <w:vAlign w:val="center"/>
          </w:tcPr>
          <w:p>
            <w:r/>
            <w:r>
              <w:rPr>
                <w:b w:val="0"/>
                <w:sz w:val="14"/>
              </w:rPr>
              <w:t>Urgent / Standard</w:t>
            </w:r>
          </w:p>
        </w:tc>
        <w:tc>
          <w:tcPr>
            <w:tcW w:type="dxa" w:w="3447"/>
            <w:vAlign w:val="center"/>
          </w:tcPr>
          <w:p>
            <w:r/>
            <w:r>
              <w:rPr>
                <w:b w:val="0"/>
                <w:sz w:val="14"/>
              </w:rPr>
              <w:t>P1–P4</w:t>
            </w:r>
          </w:p>
        </w:tc>
      </w:tr>
      <w:tr>
        <w:tc>
          <w:tcPr>
            <w:tcW w:type="dxa" w:w="3447"/>
            <w:vAlign w:val="center"/>
          </w:tcPr>
          <w:p>
            <w:r/>
            <w:r>
              <w:rPr>
                <w:b w:val="0"/>
                <w:sz w:val="14"/>
              </w:rPr>
              <w:t>Fraud/security</w:t>
            </w:r>
          </w:p>
        </w:tc>
        <w:tc>
          <w:tcPr>
            <w:tcW w:type="dxa" w:w="3447"/>
            <w:vAlign w:val="center"/>
          </w:tcPr>
          <w:p>
            <w:r/>
            <w:r>
              <w:rPr>
                <w:b w:val="0"/>
                <w:sz w:val="14"/>
              </w:rPr>
              <w:t>Manual specialist referral</w:t>
            </w:r>
          </w:p>
        </w:tc>
        <w:tc>
          <w:tcPr>
            <w:tcW w:type="dxa" w:w="3447"/>
            <w:vAlign w:val="center"/>
          </w:tcPr>
          <w:p>
            <w:r/>
            <w:r>
              <w:rPr>
                <w:b w:val="0"/>
                <w:sz w:val="14"/>
              </w:rPr>
              <w:t>Explicit FEP/SIR linked cases</w:t>
            </w:r>
          </w:p>
        </w:tc>
      </w:tr>
      <w:tr>
        <w:tc>
          <w:tcPr>
            <w:tcW w:type="dxa" w:w="3447"/>
            <w:vAlign w:val="center"/>
          </w:tcPr>
          <w:p>
            <w:r/>
            <w:r>
              <w:rPr>
                <w:b w:val="0"/>
                <w:sz w:val="14"/>
              </w:rPr>
              <w:t>Vendor complaints</w:t>
            </w:r>
          </w:p>
        </w:tc>
        <w:tc>
          <w:tcPr>
            <w:tcW w:type="dxa" w:w="3447"/>
            <w:vAlign w:val="center"/>
          </w:tcPr>
          <w:p>
            <w:r/>
            <w:r>
              <w:rPr>
                <w:b w:val="0"/>
                <w:sz w:val="14"/>
              </w:rPr>
              <w:t>Business-owner follow-up</w:t>
            </w:r>
          </w:p>
        </w:tc>
        <w:tc>
          <w:tcPr>
            <w:tcW w:type="dxa" w:w="3447"/>
            <w:vAlign w:val="center"/>
          </w:tcPr>
          <w:p>
            <w:r/>
            <w:r>
              <w:rPr>
                <w:b w:val="0"/>
                <w:sz w:val="14"/>
              </w:rPr>
              <w:t>Northstar retains complaint ownership + VRP escalation</w:t>
            </w:r>
          </w:p>
        </w:tc>
      </w:tr>
      <w:tr>
        <w:tc>
          <w:tcPr>
            <w:tcW w:type="dxa" w:w="3447"/>
            <w:vAlign w:val="center"/>
          </w:tcPr>
          <w:p>
            <w:r/>
            <w:r>
              <w:rPr>
                <w:b w:val="0"/>
                <w:sz w:val="14"/>
              </w:rPr>
              <w:t>Targets</w:t>
            </w:r>
          </w:p>
        </w:tc>
        <w:tc>
          <w:tcPr>
            <w:tcW w:type="dxa" w:w="3447"/>
            <w:vAlign w:val="center"/>
          </w:tcPr>
          <w:p>
            <w:r/>
            <w:r>
              <w:rPr>
                <w:b w:val="0"/>
                <w:sz w:val="14"/>
              </w:rPr>
              <w:t>15 business days general target</w:t>
            </w:r>
          </w:p>
        </w:tc>
        <w:tc>
          <w:tcPr>
            <w:tcW w:type="dxa" w:w="3447"/>
            <w:vAlign w:val="center"/>
          </w:tcPr>
          <w:p>
            <w:r/>
            <w:r>
              <w:rPr>
                <w:b w:val="0"/>
                <w:sz w:val="14"/>
              </w:rPr>
              <w:t>Risk-based P1–P4 internal targets</w:t>
            </w:r>
          </w:p>
        </w:tc>
      </w:tr>
    </w:tbl>
    <w:p/>
    <w:p>
      <w:pPr>
        <w:pStyle w:val="Heading1"/>
      </w:pPr>
      <w:r>
        <w:t>29. Management Information</w:t>
      </w:r>
    </w:p>
    <w:p>
      <w:r>
        <w:t>Complaint MI includes volume, ageing, priorities, upheld/not-upheld outcomes, remediation, repeat complaints, root cause, vulnerable-customer themes, vendor themes and linked breach/fraud/security incidents.</w:t>
      </w:r>
    </w:p>
    <w:p>
      <w:pPr>
        <w:pStyle w:val="Heading1"/>
      </w:pPr>
      <w:r>
        <w:t>30. Governance Escalation</w:t>
      </w:r>
    </w:p>
    <w:p>
      <w:r>
        <w:t>Material complaint themes, repeated customer harm, high remediation, serious conduct concerns and systemic control gaps shall be reported to appropriate management and Compliance &amp; Conduct Committee.</w:t>
      </w:r>
    </w:p>
    <w:p>
      <w:r>
        <w:br w:type="page"/>
      </w:r>
    </w:p>
    <w:p>
      <w:pPr>
        <w:pStyle w:val="Heading1"/>
      </w:pPr>
      <w:r>
        <w:t>Appendix A — Complaint Categories</w:t>
      </w:r>
    </w:p>
    <w:p>
      <w:r>
        <w:t>Use consistent categories for trending.</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Category</w:t>
            </w:r>
          </w:p>
        </w:tc>
        <w:tc>
          <w:tcPr>
            <w:tcW w:type="dxa" w:w="5170"/>
            <w:vAlign w:val="center"/>
            <w:shd w:fill="17365D"/>
          </w:tcPr>
          <w:p>
            <w:r/>
            <w:r>
              <w:rPr>
                <w:b/>
                <w:color w:val="FFFFFF"/>
                <w:sz w:val="15"/>
              </w:rPr>
              <w:t>Examples</w:t>
            </w:r>
          </w:p>
        </w:tc>
      </w:tr>
      <w:tr>
        <w:tc>
          <w:tcPr>
            <w:tcW w:type="dxa" w:w="5170"/>
            <w:vAlign w:val="center"/>
          </w:tcPr>
          <w:p>
            <w:r/>
            <w:r>
              <w:rPr>
                <w:b w:val="0"/>
                <w:sz w:val="14"/>
              </w:rPr>
              <w:t>Application</w:t>
            </w:r>
          </w:p>
        </w:tc>
        <w:tc>
          <w:tcPr>
            <w:tcW w:type="dxa" w:w="5170"/>
            <w:vAlign w:val="center"/>
          </w:tcPr>
          <w:p>
            <w:r/>
            <w:r>
              <w:rPr>
                <w:b w:val="0"/>
                <w:sz w:val="14"/>
              </w:rPr>
              <w:t>Eligibility, status, duplicate application, documentation handling</w:t>
            </w:r>
          </w:p>
        </w:tc>
      </w:tr>
      <w:tr>
        <w:tc>
          <w:tcPr>
            <w:tcW w:type="dxa" w:w="5170"/>
            <w:vAlign w:val="center"/>
          </w:tcPr>
          <w:p>
            <w:r/>
            <w:r>
              <w:rPr>
                <w:b w:val="0"/>
                <w:sz w:val="14"/>
              </w:rPr>
              <w:t>Credit decision process</w:t>
            </w:r>
          </w:p>
        </w:tc>
        <w:tc>
          <w:tcPr>
            <w:tcW w:type="dxa" w:w="5170"/>
            <w:vAlign w:val="center"/>
          </w:tcPr>
          <w:p>
            <w:r/>
            <w:r>
              <w:rPr>
                <w:b w:val="0"/>
                <w:sz w:val="14"/>
              </w:rPr>
              <w:t>Data accuracy, communication, policy application</w:t>
            </w:r>
          </w:p>
        </w:tc>
      </w:tr>
      <w:tr>
        <w:tc>
          <w:tcPr>
            <w:tcW w:type="dxa" w:w="5170"/>
            <w:vAlign w:val="center"/>
          </w:tcPr>
          <w:p>
            <w:r/>
            <w:r>
              <w:rPr>
                <w:b w:val="0"/>
                <w:sz w:val="14"/>
              </w:rPr>
              <w:t>KYC/AML</w:t>
            </w:r>
          </w:p>
        </w:tc>
        <w:tc>
          <w:tcPr>
            <w:tcW w:type="dxa" w:w="5170"/>
            <w:vAlign w:val="center"/>
          </w:tcPr>
          <w:p>
            <w:r/>
            <w:r>
              <w:rPr>
                <w:b w:val="0"/>
                <w:sz w:val="14"/>
              </w:rPr>
              <w:t>Document requests, review delay, restriction communication</w:t>
            </w:r>
          </w:p>
        </w:tc>
      </w:tr>
      <w:tr>
        <w:tc>
          <w:tcPr>
            <w:tcW w:type="dxa" w:w="5170"/>
            <w:vAlign w:val="center"/>
          </w:tcPr>
          <w:p>
            <w:r/>
            <w:r>
              <w:rPr>
                <w:b w:val="0"/>
                <w:sz w:val="14"/>
              </w:rPr>
              <w:t>Servicing</w:t>
            </w:r>
          </w:p>
        </w:tc>
        <w:tc>
          <w:tcPr>
            <w:tcW w:type="dxa" w:w="5170"/>
            <w:vAlign w:val="center"/>
          </w:tcPr>
          <w:p>
            <w:r/>
            <w:r>
              <w:rPr>
                <w:b w:val="0"/>
                <w:sz w:val="14"/>
              </w:rPr>
              <w:t>Statements, payment allocation, account updates</w:t>
            </w:r>
          </w:p>
        </w:tc>
      </w:tr>
      <w:tr>
        <w:tc>
          <w:tcPr>
            <w:tcW w:type="dxa" w:w="5170"/>
            <w:vAlign w:val="center"/>
          </w:tcPr>
          <w:p>
            <w:r/>
            <w:r>
              <w:rPr>
                <w:b w:val="0"/>
                <w:sz w:val="14"/>
              </w:rPr>
              <w:t>Disbursement/payment</w:t>
            </w:r>
          </w:p>
        </w:tc>
        <w:tc>
          <w:tcPr>
            <w:tcW w:type="dxa" w:w="5170"/>
            <w:vAlign w:val="center"/>
          </w:tcPr>
          <w:p>
            <w:r/>
            <w:r>
              <w:rPr>
                <w:b w:val="0"/>
                <w:sz w:val="14"/>
              </w:rPr>
              <w:t>Beneficiary, delay, duplicate/failed payment</w:t>
            </w:r>
          </w:p>
        </w:tc>
      </w:tr>
      <w:tr>
        <w:tc>
          <w:tcPr>
            <w:tcW w:type="dxa" w:w="5170"/>
            <w:vAlign w:val="center"/>
          </w:tcPr>
          <w:p>
            <w:r/>
            <w:r>
              <w:rPr>
                <w:b w:val="0"/>
                <w:sz w:val="14"/>
              </w:rPr>
              <w:t>Conduct</w:t>
            </w:r>
          </w:p>
        </w:tc>
        <w:tc>
          <w:tcPr>
            <w:tcW w:type="dxa" w:w="5170"/>
            <w:vAlign w:val="center"/>
          </w:tcPr>
          <w:p>
            <w:r/>
            <w:r>
              <w:rPr>
                <w:b w:val="0"/>
                <w:sz w:val="14"/>
              </w:rPr>
              <w:t>Employee/vendor behavior, misleading communication</w:t>
            </w:r>
          </w:p>
        </w:tc>
      </w:tr>
      <w:tr>
        <w:tc>
          <w:tcPr>
            <w:tcW w:type="dxa" w:w="5170"/>
            <w:vAlign w:val="center"/>
          </w:tcPr>
          <w:p>
            <w:r/>
            <w:r>
              <w:rPr>
                <w:b w:val="0"/>
                <w:sz w:val="14"/>
              </w:rPr>
              <w:t>Security/fraud</w:t>
            </w:r>
          </w:p>
        </w:tc>
        <w:tc>
          <w:tcPr>
            <w:tcW w:type="dxa" w:w="5170"/>
            <w:vAlign w:val="center"/>
          </w:tcPr>
          <w:p>
            <w:r/>
            <w:r>
              <w:rPr>
                <w:b w:val="0"/>
                <w:sz w:val="14"/>
              </w:rPr>
              <w:t>Unauthorized access, scam, data concern</w:t>
            </w:r>
          </w:p>
        </w:tc>
      </w:tr>
      <w:tr>
        <w:tc>
          <w:tcPr>
            <w:tcW w:type="dxa" w:w="5170"/>
            <w:vAlign w:val="center"/>
          </w:tcPr>
          <w:p>
            <w:r/>
            <w:r>
              <w:rPr>
                <w:b w:val="0"/>
                <w:sz w:val="14"/>
              </w:rPr>
              <w:t>Fees/charges</w:t>
            </w:r>
          </w:p>
        </w:tc>
        <w:tc>
          <w:tcPr>
            <w:tcW w:type="dxa" w:w="5170"/>
            <w:vAlign w:val="center"/>
          </w:tcPr>
          <w:p>
            <w:r/>
            <w:r>
              <w:rPr>
                <w:b w:val="0"/>
                <w:sz w:val="14"/>
              </w:rPr>
              <w:t>Calculation, disclosure, reversal request</w:t>
            </w:r>
          </w:p>
        </w:tc>
      </w:tr>
      <w:tr>
        <w:tc>
          <w:tcPr>
            <w:tcW w:type="dxa" w:w="5170"/>
            <w:vAlign w:val="center"/>
          </w:tcPr>
          <w:p>
            <w:r/>
            <w:r>
              <w:rPr>
                <w:b w:val="0"/>
                <w:sz w:val="14"/>
              </w:rPr>
              <w:t>Vendor</w:t>
            </w:r>
          </w:p>
        </w:tc>
        <w:tc>
          <w:tcPr>
            <w:tcW w:type="dxa" w:w="5170"/>
            <w:vAlign w:val="center"/>
          </w:tcPr>
          <w:p>
            <w:r/>
            <w:r>
              <w:rPr>
                <w:b w:val="0"/>
                <w:sz w:val="14"/>
              </w:rPr>
              <w:t>Outsourced service failure</w:t>
            </w:r>
          </w:p>
        </w:tc>
      </w:tr>
    </w:tbl>
    <w:p/>
    <w:p>
      <w:r>
        <w:br w:type="page"/>
      </w:r>
    </w:p>
    <w:p>
      <w:pPr>
        <w:pStyle w:val="Heading1"/>
      </w:pPr>
      <w:r>
        <w:t>Appendix B — Complaint Investigation Checklist</w:t>
      </w:r>
    </w:p>
    <w:p>
      <w:r>
        <w:t>Use proportionately.</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Step</w:t>
            </w:r>
          </w:p>
        </w:tc>
        <w:tc>
          <w:tcPr>
            <w:tcW w:type="dxa" w:w="5170"/>
            <w:vAlign w:val="center"/>
            <w:shd w:fill="17365D"/>
          </w:tcPr>
          <w:p>
            <w:r/>
            <w:r>
              <w:rPr>
                <w:b/>
                <w:color w:val="FFFFFF"/>
                <w:sz w:val="15"/>
              </w:rPr>
              <w:t>Evidence</w:t>
            </w:r>
          </w:p>
        </w:tc>
      </w:tr>
      <w:tr>
        <w:tc>
          <w:tcPr>
            <w:tcW w:type="dxa" w:w="5170"/>
            <w:vAlign w:val="center"/>
          </w:tcPr>
          <w:p>
            <w:r/>
            <w:r>
              <w:rPr>
                <w:b w:val="0"/>
                <w:sz w:val="14"/>
              </w:rPr>
              <w:t>Define issue</w:t>
            </w:r>
          </w:p>
        </w:tc>
        <w:tc>
          <w:tcPr>
            <w:tcW w:type="dxa" w:w="5170"/>
            <w:vAlign w:val="center"/>
          </w:tcPr>
          <w:p>
            <w:r/>
            <w:r>
              <w:rPr>
                <w:b w:val="0"/>
                <w:sz w:val="14"/>
              </w:rPr>
              <w:t>Customer’s actual allegation/request.</w:t>
            </w:r>
          </w:p>
        </w:tc>
      </w:tr>
      <w:tr>
        <w:tc>
          <w:tcPr>
            <w:tcW w:type="dxa" w:w="5170"/>
            <w:vAlign w:val="center"/>
          </w:tcPr>
          <w:p>
            <w:r/>
            <w:r>
              <w:rPr>
                <w:b w:val="0"/>
                <w:sz w:val="14"/>
              </w:rPr>
              <w:t>Timeline</w:t>
            </w:r>
          </w:p>
        </w:tc>
        <w:tc>
          <w:tcPr>
            <w:tcW w:type="dxa" w:w="5170"/>
            <w:vAlign w:val="center"/>
          </w:tcPr>
          <w:p>
            <w:r/>
            <w:r>
              <w:rPr>
                <w:b w:val="0"/>
                <w:sz w:val="14"/>
              </w:rPr>
              <w:t>Events and communications.</w:t>
            </w:r>
          </w:p>
        </w:tc>
      </w:tr>
      <w:tr>
        <w:tc>
          <w:tcPr>
            <w:tcW w:type="dxa" w:w="5170"/>
            <w:vAlign w:val="center"/>
          </w:tcPr>
          <w:p>
            <w:r/>
            <w:r>
              <w:rPr>
                <w:b w:val="0"/>
                <w:sz w:val="14"/>
              </w:rPr>
              <w:t>Applicable rule</w:t>
            </w:r>
          </w:p>
        </w:tc>
        <w:tc>
          <w:tcPr>
            <w:tcW w:type="dxa" w:w="5170"/>
            <w:vAlign w:val="center"/>
          </w:tcPr>
          <w:p>
            <w:r/>
            <w:r>
              <w:rPr>
                <w:b w:val="0"/>
                <w:sz w:val="14"/>
              </w:rPr>
              <w:t>Policy/procedure/version at time.</w:t>
            </w:r>
          </w:p>
        </w:tc>
      </w:tr>
      <w:tr>
        <w:tc>
          <w:tcPr>
            <w:tcW w:type="dxa" w:w="5170"/>
            <w:vAlign w:val="center"/>
          </w:tcPr>
          <w:p>
            <w:r/>
            <w:r>
              <w:rPr>
                <w:b w:val="0"/>
                <w:sz w:val="14"/>
              </w:rPr>
              <w:t>System evidence</w:t>
            </w:r>
          </w:p>
        </w:tc>
        <w:tc>
          <w:tcPr>
            <w:tcW w:type="dxa" w:w="5170"/>
            <w:vAlign w:val="center"/>
          </w:tcPr>
          <w:p>
            <w:r/>
            <w:r>
              <w:rPr>
                <w:b w:val="0"/>
                <w:sz w:val="14"/>
              </w:rPr>
              <w:t>Case status, approvals and audit trail.</w:t>
            </w:r>
          </w:p>
        </w:tc>
      </w:tr>
      <w:tr>
        <w:tc>
          <w:tcPr>
            <w:tcW w:type="dxa" w:w="5170"/>
            <w:vAlign w:val="center"/>
          </w:tcPr>
          <w:p>
            <w:r/>
            <w:r>
              <w:rPr>
                <w:b w:val="0"/>
                <w:sz w:val="14"/>
              </w:rPr>
              <w:t>Customer impact</w:t>
            </w:r>
          </w:p>
        </w:tc>
        <w:tc>
          <w:tcPr>
            <w:tcW w:type="dxa" w:w="5170"/>
            <w:vAlign w:val="center"/>
          </w:tcPr>
          <w:p>
            <w:r/>
            <w:r>
              <w:rPr>
                <w:b w:val="0"/>
                <w:sz w:val="14"/>
              </w:rPr>
              <w:t>Financial and non-financial.</w:t>
            </w:r>
          </w:p>
        </w:tc>
      </w:tr>
      <w:tr>
        <w:tc>
          <w:tcPr>
            <w:tcW w:type="dxa" w:w="5170"/>
            <w:vAlign w:val="center"/>
          </w:tcPr>
          <w:p>
            <w:r/>
            <w:r>
              <w:rPr>
                <w:b w:val="0"/>
                <w:sz w:val="14"/>
              </w:rPr>
              <w:t>Specialist link</w:t>
            </w:r>
          </w:p>
        </w:tc>
        <w:tc>
          <w:tcPr>
            <w:tcW w:type="dxa" w:w="5170"/>
            <w:vAlign w:val="center"/>
          </w:tcPr>
          <w:p>
            <w:r/>
            <w:r>
              <w:rPr>
                <w:b w:val="0"/>
                <w:sz w:val="14"/>
              </w:rPr>
              <w:t>Fraud/AML/KYC/security/compliance/ORI.</w:t>
            </w:r>
          </w:p>
        </w:tc>
      </w:tr>
      <w:tr>
        <w:tc>
          <w:tcPr>
            <w:tcW w:type="dxa" w:w="5170"/>
            <w:vAlign w:val="center"/>
          </w:tcPr>
          <w:p>
            <w:r/>
            <w:r>
              <w:rPr>
                <w:b w:val="0"/>
                <w:sz w:val="14"/>
              </w:rPr>
              <w:t>Decision</w:t>
            </w:r>
          </w:p>
        </w:tc>
        <w:tc>
          <w:tcPr>
            <w:tcW w:type="dxa" w:w="5170"/>
            <w:vAlign w:val="center"/>
          </w:tcPr>
          <w:p>
            <w:r/>
            <w:r>
              <w:rPr>
                <w:b w:val="0"/>
                <w:sz w:val="14"/>
              </w:rPr>
              <w:t>Supported conclusion.</w:t>
            </w:r>
          </w:p>
        </w:tc>
      </w:tr>
      <w:tr>
        <w:tc>
          <w:tcPr>
            <w:tcW w:type="dxa" w:w="5170"/>
            <w:vAlign w:val="center"/>
          </w:tcPr>
          <w:p>
            <w:r/>
            <w:r>
              <w:rPr>
                <w:b w:val="0"/>
                <w:sz w:val="14"/>
              </w:rPr>
              <w:t>Remediation</w:t>
            </w:r>
          </w:p>
        </w:tc>
        <w:tc>
          <w:tcPr>
            <w:tcW w:type="dxa" w:w="5170"/>
            <w:vAlign w:val="center"/>
          </w:tcPr>
          <w:p>
            <w:r/>
            <w:r>
              <w:rPr>
                <w:b w:val="0"/>
                <w:sz w:val="14"/>
              </w:rPr>
              <w:t>Approval and completion.</w:t>
            </w:r>
          </w:p>
        </w:tc>
      </w:tr>
      <w:tr>
        <w:tc>
          <w:tcPr>
            <w:tcW w:type="dxa" w:w="5170"/>
            <w:vAlign w:val="center"/>
          </w:tcPr>
          <w:p>
            <w:r/>
            <w:r>
              <w:rPr>
                <w:b w:val="0"/>
                <w:sz w:val="14"/>
              </w:rPr>
              <w:t>Root cause</w:t>
            </w:r>
          </w:p>
        </w:tc>
        <w:tc>
          <w:tcPr>
            <w:tcW w:type="dxa" w:w="5170"/>
            <w:vAlign w:val="center"/>
          </w:tcPr>
          <w:p>
            <w:r/>
            <w:r>
              <w:rPr>
                <w:b w:val="0"/>
                <w:sz w:val="14"/>
              </w:rPr>
              <w:t>Cause and action.</w:t>
            </w:r>
          </w:p>
        </w:tc>
      </w:tr>
    </w:tbl>
    <w:p/>
    <w:p>
      <w:r>
        <w:br w:type="page"/>
      </w:r>
    </w:p>
    <w:p>
      <w:pPr>
        <w:pStyle w:val="Heading1"/>
      </w:pPr>
      <w:r>
        <w:t>Appendix C — Complaint Register Fields</w:t>
      </w:r>
    </w:p>
    <w:p>
      <w:r>
        <w:t>Operational workbook contains the detailed register.</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Complaint ID</w:t>
            </w:r>
          </w:p>
        </w:tc>
        <w:tc>
          <w:tcPr>
            <w:tcW w:type="dxa" w:w="5170"/>
            <w:vAlign w:val="center"/>
          </w:tcPr>
          <w:p>
            <w:r/>
            <w:r>
              <w:rPr>
                <w:b w:val="0"/>
                <w:sz w:val="14"/>
              </w:rPr>
              <w:t>Unique reference.</w:t>
            </w:r>
          </w:p>
        </w:tc>
      </w:tr>
      <w:tr>
        <w:tc>
          <w:tcPr>
            <w:tcW w:type="dxa" w:w="5170"/>
            <w:vAlign w:val="center"/>
          </w:tcPr>
          <w:p>
            <w:r/>
            <w:r>
              <w:rPr>
                <w:b w:val="0"/>
                <w:sz w:val="14"/>
              </w:rPr>
              <w:t>Customer ID</w:t>
            </w:r>
          </w:p>
        </w:tc>
        <w:tc>
          <w:tcPr>
            <w:tcW w:type="dxa" w:w="5170"/>
            <w:vAlign w:val="center"/>
          </w:tcPr>
          <w:p>
            <w:r/>
            <w:r>
              <w:rPr>
                <w:b w:val="0"/>
                <w:sz w:val="14"/>
              </w:rPr>
              <w:t>Synthetic customer reference.</w:t>
            </w:r>
          </w:p>
        </w:tc>
      </w:tr>
      <w:tr>
        <w:tc>
          <w:tcPr>
            <w:tcW w:type="dxa" w:w="5170"/>
            <w:vAlign w:val="center"/>
          </w:tcPr>
          <w:p>
            <w:r/>
            <w:r>
              <w:rPr>
                <w:b w:val="0"/>
                <w:sz w:val="14"/>
              </w:rPr>
              <w:t>Received</w:t>
            </w:r>
          </w:p>
        </w:tc>
        <w:tc>
          <w:tcPr>
            <w:tcW w:type="dxa" w:w="5170"/>
            <w:vAlign w:val="center"/>
          </w:tcPr>
          <w:p>
            <w:r/>
            <w:r>
              <w:rPr>
                <w:b w:val="0"/>
                <w:sz w:val="14"/>
              </w:rPr>
              <w:t>Date/time.</w:t>
            </w:r>
          </w:p>
        </w:tc>
      </w:tr>
      <w:tr>
        <w:tc>
          <w:tcPr>
            <w:tcW w:type="dxa" w:w="5170"/>
            <w:vAlign w:val="center"/>
          </w:tcPr>
          <w:p>
            <w:r/>
            <w:r>
              <w:rPr>
                <w:b w:val="0"/>
                <w:sz w:val="14"/>
              </w:rPr>
              <w:t>Channel</w:t>
            </w:r>
          </w:p>
        </w:tc>
        <w:tc>
          <w:tcPr>
            <w:tcW w:type="dxa" w:w="5170"/>
            <w:vAlign w:val="center"/>
          </w:tcPr>
          <w:p>
            <w:r/>
            <w:r>
              <w:rPr>
                <w:b w:val="0"/>
                <w:sz w:val="14"/>
              </w:rPr>
              <w:t>Branch/phone/email/digital/etc.</w:t>
            </w:r>
          </w:p>
        </w:tc>
      </w:tr>
      <w:tr>
        <w:tc>
          <w:tcPr>
            <w:tcW w:type="dxa" w:w="5170"/>
            <w:vAlign w:val="center"/>
          </w:tcPr>
          <w:p>
            <w:r/>
            <w:r>
              <w:rPr>
                <w:b w:val="0"/>
                <w:sz w:val="14"/>
              </w:rPr>
              <w:t>Product</w:t>
            </w:r>
          </w:p>
        </w:tc>
        <w:tc>
          <w:tcPr>
            <w:tcW w:type="dxa" w:w="5170"/>
            <w:vAlign w:val="center"/>
          </w:tcPr>
          <w:p>
            <w:r/>
            <w:r>
              <w:rPr>
                <w:b w:val="0"/>
                <w:sz w:val="14"/>
              </w:rPr>
              <w:t>Relevant product/service.</w:t>
            </w:r>
          </w:p>
        </w:tc>
      </w:tr>
      <w:tr>
        <w:tc>
          <w:tcPr>
            <w:tcW w:type="dxa" w:w="5170"/>
            <w:vAlign w:val="center"/>
          </w:tcPr>
          <w:p>
            <w:r/>
            <w:r>
              <w:rPr>
                <w:b w:val="0"/>
                <w:sz w:val="14"/>
              </w:rPr>
              <w:t>Category</w:t>
            </w:r>
          </w:p>
        </w:tc>
        <w:tc>
          <w:tcPr>
            <w:tcW w:type="dxa" w:w="5170"/>
            <w:vAlign w:val="center"/>
          </w:tcPr>
          <w:p>
            <w:r/>
            <w:r>
              <w:rPr>
                <w:b w:val="0"/>
                <w:sz w:val="14"/>
              </w:rPr>
              <w:t>Controlled complaint category.</w:t>
            </w:r>
          </w:p>
        </w:tc>
      </w:tr>
      <w:tr>
        <w:tc>
          <w:tcPr>
            <w:tcW w:type="dxa" w:w="5170"/>
            <w:vAlign w:val="center"/>
          </w:tcPr>
          <w:p>
            <w:r/>
            <w:r>
              <w:rPr>
                <w:b w:val="0"/>
                <w:sz w:val="14"/>
              </w:rPr>
              <w:t>Priority</w:t>
            </w:r>
          </w:p>
        </w:tc>
        <w:tc>
          <w:tcPr>
            <w:tcW w:type="dxa" w:w="5170"/>
            <w:vAlign w:val="center"/>
          </w:tcPr>
          <w:p>
            <w:r/>
            <w:r>
              <w:rPr>
                <w:b w:val="0"/>
                <w:sz w:val="14"/>
              </w:rPr>
              <w:t>P1–P4.</w:t>
            </w:r>
          </w:p>
        </w:tc>
      </w:tr>
      <w:tr>
        <w:tc>
          <w:tcPr>
            <w:tcW w:type="dxa" w:w="5170"/>
            <w:vAlign w:val="center"/>
          </w:tcPr>
          <w:p>
            <w:r/>
            <w:r>
              <w:rPr>
                <w:b w:val="0"/>
                <w:sz w:val="14"/>
              </w:rPr>
              <w:t>Owner</w:t>
            </w:r>
          </w:p>
        </w:tc>
        <w:tc>
          <w:tcPr>
            <w:tcW w:type="dxa" w:w="5170"/>
            <w:vAlign w:val="center"/>
          </w:tcPr>
          <w:p>
            <w:r/>
            <w:r>
              <w:rPr>
                <w:b w:val="0"/>
                <w:sz w:val="14"/>
              </w:rPr>
              <w:t>Complaint handler/team.</w:t>
            </w:r>
          </w:p>
        </w:tc>
      </w:tr>
      <w:tr>
        <w:tc>
          <w:tcPr>
            <w:tcW w:type="dxa" w:w="5170"/>
            <w:vAlign w:val="center"/>
          </w:tcPr>
          <w:p>
            <w:r/>
            <w:r>
              <w:rPr>
                <w:b w:val="0"/>
                <w:sz w:val="14"/>
              </w:rPr>
              <w:t>Target date</w:t>
            </w:r>
          </w:p>
        </w:tc>
        <w:tc>
          <w:tcPr>
            <w:tcW w:type="dxa" w:w="5170"/>
            <w:vAlign w:val="center"/>
          </w:tcPr>
          <w:p>
            <w:r/>
            <w:r>
              <w:rPr>
                <w:b w:val="0"/>
                <w:sz w:val="14"/>
              </w:rPr>
              <w:t>Internal target.</w:t>
            </w:r>
          </w:p>
        </w:tc>
      </w:tr>
      <w:tr>
        <w:tc>
          <w:tcPr>
            <w:tcW w:type="dxa" w:w="5170"/>
            <w:vAlign w:val="center"/>
          </w:tcPr>
          <w:p>
            <w:r/>
            <w:r>
              <w:rPr>
                <w:b w:val="0"/>
                <w:sz w:val="14"/>
              </w:rPr>
              <w:t>Status</w:t>
            </w:r>
          </w:p>
        </w:tc>
        <w:tc>
          <w:tcPr>
            <w:tcW w:type="dxa" w:w="5170"/>
            <w:vAlign w:val="center"/>
          </w:tcPr>
          <w:p>
            <w:r/>
            <w:r>
              <w:rPr>
                <w:b w:val="0"/>
                <w:sz w:val="14"/>
              </w:rPr>
              <w:t>Open / awaiting info / resolved / reopened.</w:t>
            </w:r>
          </w:p>
        </w:tc>
      </w:tr>
      <w:tr>
        <w:tc>
          <w:tcPr>
            <w:tcW w:type="dxa" w:w="5170"/>
            <w:vAlign w:val="center"/>
          </w:tcPr>
          <w:p>
            <w:r/>
            <w:r>
              <w:rPr>
                <w:b w:val="0"/>
                <w:sz w:val="14"/>
              </w:rPr>
              <w:t>Outcome</w:t>
            </w:r>
          </w:p>
        </w:tc>
        <w:tc>
          <w:tcPr>
            <w:tcW w:type="dxa" w:w="5170"/>
            <w:vAlign w:val="center"/>
          </w:tcPr>
          <w:p>
            <w:r/>
            <w:r>
              <w:rPr>
                <w:b w:val="0"/>
                <w:sz w:val="14"/>
              </w:rPr>
              <w:t>Upheld / partially upheld / not upheld / other.</w:t>
            </w:r>
          </w:p>
        </w:tc>
      </w:tr>
      <w:tr>
        <w:tc>
          <w:tcPr>
            <w:tcW w:type="dxa" w:w="5170"/>
            <w:vAlign w:val="center"/>
          </w:tcPr>
          <w:p>
            <w:r/>
            <w:r>
              <w:rPr>
                <w:b w:val="0"/>
                <w:sz w:val="14"/>
              </w:rPr>
              <w:t>Remediation</w:t>
            </w:r>
          </w:p>
        </w:tc>
        <w:tc>
          <w:tcPr>
            <w:tcW w:type="dxa" w:w="5170"/>
            <w:vAlign w:val="center"/>
          </w:tcPr>
          <w:p>
            <w:r/>
            <w:r>
              <w:rPr>
                <w:b w:val="0"/>
                <w:sz w:val="14"/>
              </w:rPr>
              <w:t>Amount/action if applicable.</w:t>
            </w:r>
          </w:p>
        </w:tc>
      </w:tr>
      <w:tr>
        <w:tc>
          <w:tcPr>
            <w:tcW w:type="dxa" w:w="5170"/>
            <w:vAlign w:val="center"/>
          </w:tcPr>
          <w:p>
            <w:r/>
            <w:r>
              <w:rPr>
                <w:b w:val="0"/>
                <w:sz w:val="14"/>
              </w:rPr>
              <w:t>Linked Case</w:t>
            </w:r>
          </w:p>
        </w:tc>
        <w:tc>
          <w:tcPr>
            <w:tcW w:type="dxa" w:w="5170"/>
            <w:vAlign w:val="center"/>
          </w:tcPr>
          <w:p>
            <w:r/>
            <w:r>
              <w:rPr>
                <w:b w:val="0"/>
                <w:sz w:val="14"/>
              </w:rPr>
              <w:t>Fraud/security/compliance/ORI reference.</w:t>
            </w:r>
          </w:p>
        </w:tc>
      </w:tr>
    </w:tbl>
    <w:p/>
    <w:p>
      <w:r>
        <w:br w:type="page"/>
      </w:r>
    </w:p>
    <w:p>
      <w:pPr>
        <w:pStyle w:val="Heading1"/>
      </w:pPr>
      <w:r>
        <w:t>Appendix D — Response Quality Standards</w:t>
      </w:r>
    </w:p>
    <w:p>
      <w:r>
        <w:t>Responses should be human, clear and controlled.</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Area</w:t>
            </w:r>
          </w:p>
        </w:tc>
        <w:tc>
          <w:tcPr>
            <w:tcW w:type="dxa" w:w="5170"/>
            <w:vAlign w:val="center"/>
            <w:shd w:fill="17365D"/>
          </w:tcPr>
          <w:p>
            <w:r/>
            <w:r>
              <w:rPr>
                <w:b/>
                <w:color w:val="FFFFFF"/>
                <w:sz w:val="15"/>
              </w:rPr>
              <w:t>Standard</w:t>
            </w:r>
          </w:p>
        </w:tc>
      </w:tr>
      <w:tr>
        <w:tc>
          <w:tcPr>
            <w:tcW w:type="dxa" w:w="5170"/>
            <w:vAlign w:val="center"/>
          </w:tcPr>
          <w:p>
            <w:r/>
            <w:r>
              <w:rPr>
                <w:b w:val="0"/>
                <w:sz w:val="14"/>
              </w:rPr>
              <w:t>Issue statement</w:t>
            </w:r>
          </w:p>
        </w:tc>
        <w:tc>
          <w:tcPr>
            <w:tcW w:type="dxa" w:w="5170"/>
            <w:vAlign w:val="center"/>
          </w:tcPr>
          <w:p>
            <w:r/>
            <w:r>
              <w:rPr>
                <w:b w:val="0"/>
                <w:sz w:val="14"/>
              </w:rPr>
              <w:t>Reflect customer concern accurately.</w:t>
            </w:r>
          </w:p>
        </w:tc>
      </w:tr>
      <w:tr>
        <w:tc>
          <w:tcPr>
            <w:tcW w:type="dxa" w:w="5170"/>
            <w:vAlign w:val="center"/>
          </w:tcPr>
          <w:p>
            <w:r/>
            <w:r>
              <w:rPr>
                <w:b w:val="0"/>
                <w:sz w:val="14"/>
              </w:rPr>
              <w:t>Evidence</w:t>
            </w:r>
          </w:p>
        </w:tc>
        <w:tc>
          <w:tcPr>
            <w:tcW w:type="dxa" w:w="5170"/>
            <w:vAlign w:val="center"/>
          </w:tcPr>
          <w:p>
            <w:r/>
            <w:r>
              <w:rPr>
                <w:b w:val="0"/>
                <w:sz w:val="14"/>
              </w:rPr>
              <w:t>Explain relevant facts without excessive internal jargon.</w:t>
            </w:r>
          </w:p>
        </w:tc>
      </w:tr>
      <w:tr>
        <w:tc>
          <w:tcPr>
            <w:tcW w:type="dxa" w:w="5170"/>
            <w:vAlign w:val="center"/>
          </w:tcPr>
          <w:p>
            <w:r/>
            <w:r>
              <w:rPr>
                <w:b w:val="0"/>
                <w:sz w:val="14"/>
              </w:rPr>
              <w:t>Decision</w:t>
            </w:r>
          </w:p>
        </w:tc>
        <w:tc>
          <w:tcPr>
            <w:tcW w:type="dxa" w:w="5170"/>
            <w:vAlign w:val="center"/>
          </w:tcPr>
          <w:p>
            <w:r/>
            <w:r>
              <w:rPr>
                <w:b w:val="0"/>
                <w:sz w:val="14"/>
              </w:rPr>
              <w:t>State conclusion clearly.</w:t>
            </w:r>
          </w:p>
        </w:tc>
      </w:tr>
      <w:tr>
        <w:tc>
          <w:tcPr>
            <w:tcW w:type="dxa" w:w="5170"/>
            <w:vAlign w:val="center"/>
          </w:tcPr>
          <w:p>
            <w:r/>
            <w:r>
              <w:rPr>
                <w:b w:val="0"/>
                <w:sz w:val="14"/>
              </w:rPr>
              <w:t>Remediation</w:t>
            </w:r>
          </w:p>
        </w:tc>
        <w:tc>
          <w:tcPr>
            <w:tcW w:type="dxa" w:w="5170"/>
            <w:vAlign w:val="center"/>
          </w:tcPr>
          <w:p>
            <w:r/>
            <w:r>
              <w:rPr>
                <w:b w:val="0"/>
                <w:sz w:val="14"/>
              </w:rPr>
              <w:t>Say what was corrected and when.</w:t>
            </w:r>
          </w:p>
        </w:tc>
      </w:tr>
      <w:tr>
        <w:tc>
          <w:tcPr>
            <w:tcW w:type="dxa" w:w="5170"/>
            <w:vAlign w:val="center"/>
          </w:tcPr>
          <w:p>
            <w:r/>
            <w:r>
              <w:rPr>
                <w:b w:val="0"/>
                <w:sz w:val="14"/>
              </w:rPr>
              <w:t>Restrictions</w:t>
            </w:r>
          </w:p>
        </w:tc>
        <w:tc>
          <w:tcPr>
            <w:tcW w:type="dxa" w:w="5170"/>
            <w:vAlign w:val="center"/>
          </w:tcPr>
          <w:p>
            <w:r/>
            <w:r>
              <w:rPr>
                <w:b w:val="0"/>
                <w:sz w:val="14"/>
              </w:rPr>
              <w:t>Do not disclose prohibited AML/fraud/security detail.</w:t>
            </w:r>
          </w:p>
        </w:tc>
      </w:tr>
      <w:tr>
        <w:tc>
          <w:tcPr>
            <w:tcW w:type="dxa" w:w="5170"/>
            <w:vAlign w:val="center"/>
          </w:tcPr>
          <w:p>
            <w:r/>
            <w:r>
              <w:rPr>
                <w:b w:val="0"/>
                <w:sz w:val="14"/>
              </w:rPr>
              <w:t>Commitments</w:t>
            </w:r>
          </w:p>
        </w:tc>
        <w:tc>
          <w:tcPr>
            <w:tcW w:type="dxa" w:w="5170"/>
            <w:vAlign w:val="center"/>
          </w:tcPr>
          <w:p>
            <w:r/>
            <w:r>
              <w:rPr>
                <w:b w:val="0"/>
                <w:sz w:val="14"/>
              </w:rPr>
              <w:t>Avoid unsupported promises or dates.</w:t>
            </w:r>
          </w:p>
        </w:tc>
      </w:tr>
      <w:tr>
        <w:tc>
          <w:tcPr>
            <w:tcW w:type="dxa" w:w="5170"/>
            <w:vAlign w:val="center"/>
          </w:tcPr>
          <w:p>
            <w:r/>
            <w:r>
              <w:rPr>
                <w:b w:val="0"/>
                <w:sz w:val="14"/>
              </w:rPr>
              <w:t>Tone</w:t>
            </w:r>
          </w:p>
        </w:tc>
        <w:tc>
          <w:tcPr>
            <w:tcW w:type="dxa" w:w="5170"/>
            <w:vAlign w:val="center"/>
          </w:tcPr>
          <w:p>
            <w:r/>
            <w:r>
              <w:rPr>
                <w:b w:val="0"/>
                <w:sz w:val="14"/>
              </w:rPr>
              <w:t>Professional and respectful without formulaic legalistic padding.</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