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0"/>
        </w:rPr>
        <w:t>NORTHSTAR FINANCIAL</w:t>
      </w:r>
    </w:p>
    <w:p>
      <w:pPr>
        <w:jc w:val="center"/>
      </w:pPr>
      <w:r>
        <w:rPr>
          <w:b/>
          <w:color w:val="17365D"/>
          <w:sz w:val="42"/>
        </w:rPr>
        <w:t>Compliance Breach Procedure</w:t>
      </w:r>
    </w:p>
    <w:p>
      <w:pPr>
        <w:jc w:val="center"/>
      </w:pPr>
      <w:r>
        <w:rPr>
          <w:sz w:val="20"/>
        </w:rPr>
        <w:t>CBP-043  |  Version 1.0  |  Internal — Confidential</w:t>
      </w:r>
    </w:p>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D9EAF7"/>
          </w:tcPr>
          <w:p>
            <w:r>
              <w:rPr>
                <w:sz w:val="16"/>
              </w:rPr>
            </w:r>
            <w:r>
              <w:rPr>
                <w:b/>
                <w:color w:val="17365D"/>
                <w:sz w:val="17"/>
              </w:rPr>
              <w:t>Document ID</w:t>
            </w:r>
          </w:p>
        </w:tc>
        <w:tc>
          <w:tcPr>
            <w:tcW w:type="dxa" w:w="5155"/>
            <w:vAlign w:val="center"/>
          </w:tcPr>
          <w:p>
            <w:r>
              <w:rPr>
                <w:sz w:val="16"/>
              </w:rPr>
            </w:r>
            <w:r>
              <w:rPr>
                <w:b w:val="0"/>
                <w:sz w:val="17"/>
              </w:rPr>
              <w:t>CBP-043</w:t>
            </w:r>
          </w:p>
        </w:tc>
      </w:tr>
      <w:tr>
        <w:trPr>
          <w:cantSplit/>
        </w:trPr>
        <w:tc>
          <w:tcPr>
            <w:tcW w:type="dxa" w:w="5155"/>
            <w:vAlign w:val="center"/>
            <w:shd w:fill="D9EAF7"/>
          </w:tcPr>
          <w:p>
            <w:r>
              <w:rPr>
                <w:sz w:val="16"/>
              </w:rPr>
            </w:r>
            <w:r>
              <w:rPr>
                <w:b/>
                <w:color w:val="17365D"/>
                <w:sz w:val="17"/>
              </w:rPr>
              <w:t>Document Title</w:t>
            </w:r>
          </w:p>
        </w:tc>
        <w:tc>
          <w:tcPr>
            <w:tcW w:type="dxa" w:w="5155"/>
            <w:vAlign w:val="center"/>
          </w:tcPr>
          <w:p>
            <w:r>
              <w:rPr>
                <w:sz w:val="16"/>
              </w:rPr>
            </w:r>
            <w:r>
              <w:rPr>
                <w:b w:val="0"/>
                <w:sz w:val="17"/>
              </w:rPr>
              <w:t>Compliance Breach Procedure</w:t>
            </w:r>
          </w:p>
        </w:tc>
      </w:tr>
      <w:tr>
        <w:trPr>
          <w:cantSplit/>
        </w:trPr>
        <w:tc>
          <w:tcPr>
            <w:tcW w:type="dxa" w:w="5155"/>
            <w:vAlign w:val="center"/>
            <w:shd w:fill="D9EAF7"/>
          </w:tcPr>
          <w:p>
            <w:r>
              <w:rPr>
                <w:sz w:val="16"/>
              </w:rPr>
            </w:r>
            <w:r>
              <w:rPr>
                <w:b/>
                <w:color w:val="17365D"/>
                <w:sz w:val="17"/>
              </w:rPr>
              <w:t>Version</w:t>
            </w:r>
          </w:p>
        </w:tc>
        <w:tc>
          <w:tcPr>
            <w:tcW w:type="dxa" w:w="5155"/>
            <w:vAlign w:val="center"/>
          </w:tcPr>
          <w:p>
            <w:r>
              <w:rPr>
                <w:sz w:val="16"/>
              </w:rPr>
            </w:r>
            <w:r>
              <w:rPr>
                <w:b w:val="0"/>
                <w:sz w:val="17"/>
              </w:rPr>
              <w:t>1.0</w:t>
            </w:r>
          </w:p>
        </w:tc>
      </w:tr>
      <w:tr>
        <w:trPr>
          <w:cantSplit/>
        </w:trPr>
        <w:tc>
          <w:tcPr>
            <w:tcW w:type="dxa" w:w="5155"/>
            <w:vAlign w:val="center"/>
            <w:shd w:fill="D9EAF7"/>
          </w:tcPr>
          <w:p>
            <w:r>
              <w:rPr>
                <w:sz w:val="16"/>
              </w:rPr>
            </w:r>
            <w:r>
              <w:rPr>
                <w:b/>
                <w:color w:val="17365D"/>
                <w:sz w:val="17"/>
              </w:rPr>
              <w:t>Policy Owner</w:t>
            </w:r>
          </w:p>
        </w:tc>
        <w:tc>
          <w:tcPr>
            <w:tcW w:type="dxa" w:w="5155"/>
            <w:vAlign w:val="center"/>
          </w:tcPr>
          <w:p>
            <w:r>
              <w:rPr>
                <w:sz w:val="16"/>
              </w:rPr>
            </w:r>
            <w:r>
              <w:rPr>
                <w:b w:val="0"/>
                <w:sz w:val="17"/>
              </w:rPr>
              <w:t>Leena Fernandes — Head of Compliance Monitoring &amp; Advisory</w:t>
            </w:r>
          </w:p>
        </w:tc>
      </w:tr>
      <w:tr>
        <w:trPr>
          <w:cantSplit/>
        </w:trPr>
        <w:tc>
          <w:tcPr>
            <w:tcW w:type="dxa" w:w="5155"/>
            <w:vAlign w:val="center"/>
            <w:shd w:fill="D9EAF7"/>
          </w:tcPr>
          <w:p>
            <w:r>
              <w:rPr>
                <w:sz w:val="16"/>
              </w:rPr>
            </w:r>
            <w:r>
              <w:rPr>
                <w:b/>
                <w:color w:val="17365D"/>
                <w:sz w:val="17"/>
              </w:rPr>
              <w:t>Business Unit</w:t>
            </w:r>
          </w:p>
        </w:tc>
        <w:tc>
          <w:tcPr>
            <w:tcW w:type="dxa" w:w="5155"/>
            <w:vAlign w:val="center"/>
          </w:tcPr>
          <w:p>
            <w:r>
              <w:rPr>
                <w:sz w:val="16"/>
              </w:rPr>
            </w:r>
            <w:r>
              <w:rPr>
                <w:b w:val="0"/>
                <w:sz w:val="17"/>
              </w:rPr>
              <w:t>Compliance</w:t>
            </w:r>
          </w:p>
        </w:tc>
      </w:tr>
      <w:tr>
        <w:trPr>
          <w:cantSplit/>
        </w:trPr>
        <w:tc>
          <w:tcPr>
            <w:tcW w:type="dxa" w:w="5155"/>
            <w:vAlign w:val="center"/>
            <w:shd w:fill="D9EAF7"/>
          </w:tcPr>
          <w:p>
            <w:r>
              <w:rPr>
                <w:sz w:val="16"/>
              </w:rPr>
            </w:r>
            <w:r>
              <w:rPr>
                <w:b/>
                <w:color w:val="17365D"/>
                <w:sz w:val="17"/>
              </w:rPr>
              <w:t>Approving Authority</w:t>
            </w:r>
          </w:p>
        </w:tc>
        <w:tc>
          <w:tcPr>
            <w:tcW w:type="dxa" w:w="5155"/>
            <w:vAlign w:val="center"/>
          </w:tcPr>
          <w:p>
            <w:r>
              <w:rPr>
                <w:sz w:val="16"/>
              </w:rPr>
            </w:r>
            <w:r>
              <w:rPr>
                <w:b w:val="0"/>
                <w:sz w:val="17"/>
              </w:rPr>
              <w:t>Chief Compliance Officer</w:t>
            </w:r>
          </w:p>
        </w:tc>
      </w:tr>
      <w:tr>
        <w:trPr>
          <w:cantSplit/>
        </w:trPr>
        <w:tc>
          <w:tcPr>
            <w:tcW w:type="dxa" w:w="5155"/>
            <w:vAlign w:val="center"/>
            <w:shd w:fill="D9EAF7"/>
          </w:tcPr>
          <w:p>
            <w:r>
              <w:rPr>
                <w:sz w:val="16"/>
              </w:rPr>
            </w:r>
            <w:r>
              <w:rPr>
                <w:b/>
                <w:color w:val="17365D"/>
                <w:sz w:val="17"/>
              </w:rPr>
              <w:t>Effective Date</w:t>
            </w:r>
          </w:p>
        </w:tc>
        <w:tc>
          <w:tcPr>
            <w:tcW w:type="dxa" w:w="5155"/>
            <w:vAlign w:val="center"/>
          </w:tcPr>
          <w:p>
            <w:r>
              <w:rPr>
                <w:sz w:val="16"/>
              </w:rPr>
            </w:r>
            <w:r>
              <w:rPr>
                <w:b w:val="0"/>
                <w:sz w:val="17"/>
              </w:rPr>
              <w:t>15 March 2026</w:t>
            </w:r>
          </w:p>
        </w:tc>
      </w:tr>
      <w:tr>
        <w:trPr>
          <w:cantSplit/>
        </w:trPr>
        <w:tc>
          <w:tcPr>
            <w:tcW w:type="dxa" w:w="5155"/>
            <w:vAlign w:val="center"/>
            <w:shd w:fill="D9EAF7"/>
          </w:tcPr>
          <w:p>
            <w:r>
              <w:rPr>
                <w:sz w:val="16"/>
              </w:rPr>
            </w:r>
            <w:r>
              <w:rPr>
                <w:b/>
                <w:color w:val="17365D"/>
                <w:sz w:val="17"/>
              </w:rPr>
              <w:t>Previous Version</w:t>
            </w:r>
          </w:p>
        </w:tc>
        <w:tc>
          <w:tcPr>
            <w:tcW w:type="dxa" w:w="5155"/>
            <w:vAlign w:val="center"/>
          </w:tcPr>
          <w:p>
            <w:r>
              <w:rPr>
                <w:sz w:val="16"/>
              </w:rPr>
            </w:r>
            <w:r>
              <w:rPr>
                <w:b w:val="0"/>
                <w:sz w:val="17"/>
              </w:rPr>
              <w:t>Departmental Compliance Breach Guidance dated 3 June 2024</w:t>
            </w:r>
          </w:p>
        </w:tc>
      </w:tr>
      <w:tr>
        <w:trPr>
          <w:cantSplit/>
        </w:trPr>
        <w:tc>
          <w:tcPr>
            <w:tcW w:type="dxa" w:w="5155"/>
            <w:vAlign w:val="center"/>
            <w:shd w:fill="D9EAF7"/>
          </w:tcPr>
          <w:p>
            <w:r>
              <w:rPr>
                <w:sz w:val="16"/>
              </w:rPr>
            </w:r>
            <w:r>
              <w:rPr>
                <w:b/>
                <w:color w:val="17365D"/>
                <w:sz w:val="17"/>
              </w:rPr>
              <w:t>Review Frequency</w:t>
            </w:r>
          </w:p>
        </w:tc>
        <w:tc>
          <w:tcPr>
            <w:tcW w:type="dxa" w:w="5155"/>
            <w:vAlign w:val="center"/>
          </w:tcPr>
          <w:p>
            <w:r>
              <w:rPr>
                <w:sz w:val="16"/>
              </w:rPr>
            </w:r>
            <w:r>
              <w:rPr>
                <w:b w:val="0"/>
                <w:sz w:val="17"/>
              </w:rPr>
              <w:t>Annual</w:t>
            </w:r>
          </w:p>
        </w:tc>
      </w:tr>
      <w:tr>
        <w:trPr>
          <w:cantSplit/>
        </w:trPr>
        <w:tc>
          <w:tcPr>
            <w:tcW w:type="dxa" w:w="5155"/>
            <w:vAlign w:val="center"/>
            <w:shd w:fill="D9EAF7"/>
          </w:tcPr>
          <w:p>
            <w:r>
              <w:rPr>
                <w:sz w:val="16"/>
              </w:rPr>
            </w:r>
            <w:r>
              <w:rPr>
                <w:b/>
                <w:color w:val="17365D"/>
                <w:sz w:val="17"/>
              </w:rPr>
              <w:t>Classification</w:t>
            </w:r>
          </w:p>
        </w:tc>
        <w:tc>
          <w:tcPr>
            <w:tcW w:type="dxa" w:w="5155"/>
            <w:vAlign w:val="center"/>
          </w:tcPr>
          <w:p>
            <w:r>
              <w:rPr>
                <w:sz w:val="16"/>
              </w:rPr>
            </w:r>
            <w:r>
              <w:rPr>
                <w:b w:val="0"/>
                <w:sz w:val="17"/>
              </w:rPr>
              <w:t>Internal — Confidential</w:t>
            </w:r>
          </w:p>
        </w:tc>
      </w:tr>
      <w:tr>
        <w:trPr>
          <w:cantSplit/>
        </w:trPr>
        <w:tc>
          <w:tcPr>
            <w:tcW w:type="dxa" w:w="5155"/>
            <w:vAlign w:val="center"/>
            <w:shd w:fill="D9EAF7"/>
          </w:tcPr>
          <w:p>
            <w:r>
              <w:rPr>
                <w:sz w:val="16"/>
              </w:rPr>
            </w:r>
            <w:r>
              <w:rPr>
                <w:b/>
                <w:color w:val="17365D"/>
                <w:sz w:val="17"/>
              </w:rPr>
              <w:t>Status</w:t>
            </w:r>
          </w:p>
        </w:tc>
        <w:tc>
          <w:tcPr>
            <w:tcW w:type="dxa" w:w="5155"/>
            <w:vAlign w:val="center"/>
          </w:tcPr>
          <w:p>
            <w:r>
              <w:rPr>
                <w:sz w:val="16"/>
              </w:rPr>
            </w:r>
            <w:r>
              <w:rPr>
                <w:b w:val="0"/>
                <w:sz w:val="17"/>
              </w:rPr>
              <w:t>Approved</w:t>
            </w:r>
          </w:p>
        </w:tc>
      </w:tr>
      <w:tr>
        <w:trPr>
          <w:cantSplit/>
        </w:trPr>
        <w:tc>
          <w:tcPr>
            <w:tcW w:type="dxa" w:w="5155"/>
            <w:vAlign w:val="center"/>
            <w:shd w:fill="D9EAF7"/>
          </w:tcPr>
          <w:p>
            <w:r>
              <w:rPr>
                <w:sz w:val="16"/>
              </w:rPr>
            </w:r>
            <w:r>
              <w:rPr>
                <w:b/>
                <w:color w:val="17365D"/>
                <w:sz w:val="17"/>
              </w:rPr>
              <w:t>Supersedes</w:t>
            </w:r>
          </w:p>
        </w:tc>
        <w:tc>
          <w:tcPr>
            <w:tcW w:type="dxa" w:w="5155"/>
            <w:vAlign w:val="center"/>
          </w:tcPr>
          <w:p>
            <w:r>
              <w:rPr>
                <w:sz w:val="16"/>
              </w:rPr>
            </w:r>
            <w:r>
              <w:rPr>
                <w:b w:val="0"/>
                <w:sz w:val="17"/>
              </w:rPr>
              <w:t>Departmental Compliance Breach Guidance dated 3 June 2024</w:t>
            </w:r>
          </w:p>
        </w:tc>
      </w:tr>
      <w:tr>
        <w:trPr>
          <w:cantSplit/>
        </w:trPr>
        <w:tc>
          <w:tcPr>
            <w:tcW w:type="dxa" w:w="5155"/>
            <w:vAlign w:val="center"/>
            <w:shd w:fill="D9EAF7"/>
          </w:tcPr>
          <w:p>
            <w:r>
              <w:rPr>
                <w:sz w:val="16"/>
              </w:rPr>
            </w:r>
            <w:r>
              <w:rPr>
                <w:b/>
                <w:color w:val="17365D"/>
                <w:sz w:val="17"/>
              </w:rPr>
              <w:t>Related Documents</w:t>
            </w:r>
          </w:p>
        </w:tc>
        <w:tc>
          <w:tcPr>
            <w:tcW w:type="dxa" w:w="5155"/>
            <w:vAlign w:val="center"/>
          </w:tcPr>
          <w:p>
            <w:r>
              <w:rPr>
                <w:sz w:val="16"/>
              </w:rPr>
            </w:r>
            <w:r>
              <w:rPr>
                <w:b w:val="0"/>
                <w:sz w:val="17"/>
              </w:rPr>
              <w:t>CMP-012; RMF-008; RAS-009; CEP-006; IMP-041; AML-003</w:t>
            </w:r>
          </w:p>
        </w:tc>
      </w:tr>
    </w:tbl>
    <w:p/>
    <w:p>
      <w:pPr>
        <w:jc w:val="center"/>
      </w:pPr>
      <w:r>
        <w:rPr>
          <w:i/>
          <w:sz w:val="16"/>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 and Version History</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cantSplit/>
        </w:trPr>
        <w:tc>
          <w:tcPr>
            <w:tcW w:type="dxa" w:w="2577"/>
            <w:vAlign w:val="center"/>
            <w:shd w:fill="17365D"/>
          </w:tcPr>
          <w:p>
            <w:r>
              <w:rPr>
                <w:sz w:val="16"/>
              </w:rPr>
            </w:r>
            <w:r>
              <w:rPr>
                <w:b/>
                <w:color w:val="FFFFFF"/>
                <w:sz w:val="16"/>
              </w:rPr>
              <w:t>Version</w:t>
            </w:r>
          </w:p>
        </w:tc>
        <w:tc>
          <w:tcPr>
            <w:tcW w:type="dxa" w:w="2577"/>
            <w:vAlign w:val="center"/>
            <w:shd w:fill="17365D"/>
          </w:tcPr>
          <w:p>
            <w:r>
              <w:rPr>
                <w:sz w:val="16"/>
              </w:rPr>
            </w:r>
            <w:r>
              <w:rPr>
                <w:b/>
                <w:color w:val="FFFFFF"/>
                <w:sz w:val="16"/>
              </w:rPr>
              <w:t>Effective Date</w:t>
            </w:r>
          </w:p>
        </w:tc>
        <w:tc>
          <w:tcPr>
            <w:tcW w:type="dxa" w:w="2577"/>
            <w:vAlign w:val="center"/>
            <w:shd w:fill="17365D"/>
          </w:tcPr>
          <w:p>
            <w:r>
              <w:rPr>
                <w:sz w:val="16"/>
              </w:rPr>
            </w:r>
            <w:r>
              <w:rPr>
                <w:b/>
                <w:color w:val="FFFFFF"/>
                <w:sz w:val="16"/>
              </w:rPr>
              <w:t>Change Summary</w:t>
            </w:r>
          </w:p>
        </w:tc>
        <w:tc>
          <w:tcPr>
            <w:tcW w:type="dxa" w:w="2577"/>
            <w:vAlign w:val="center"/>
            <w:shd w:fill="17365D"/>
          </w:tcPr>
          <w:p>
            <w:r>
              <w:rPr>
                <w:sz w:val="16"/>
              </w:rPr>
            </w:r>
            <w:r>
              <w:rPr>
                <w:b/>
                <w:color w:val="FFFFFF"/>
                <w:sz w:val="16"/>
              </w:rPr>
              <w:t>Approving Authority</w:t>
            </w:r>
          </w:p>
        </w:tc>
      </w:tr>
      <w:tr>
        <w:trPr>
          <w:cantSplit/>
        </w:trPr>
        <w:tc>
          <w:tcPr>
            <w:tcW w:type="dxa" w:w="2577"/>
            <w:vAlign w:val="center"/>
          </w:tcPr>
          <w:p>
            <w:r>
              <w:rPr>
                <w:sz w:val="16"/>
              </w:rPr>
            </w:r>
            <w:r>
              <w:rPr>
                <w:b w:val="0"/>
                <w:sz w:val="16"/>
              </w:rPr>
              <w:t>Legacy</w:t>
            </w:r>
          </w:p>
        </w:tc>
        <w:tc>
          <w:tcPr>
            <w:tcW w:type="dxa" w:w="2577"/>
            <w:vAlign w:val="center"/>
          </w:tcPr>
          <w:p>
            <w:r>
              <w:rPr>
                <w:sz w:val="16"/>
              </w:rPr>
            </w:r>
            <w:r>
              <w:rPr>
                <w:b w:val="0"/>
                <w:sz w:val="16"/>
              </w:rPr>
              <w:t>3 Jun 2024</w:t>
            </w:r>
          </w:p>
        </w:tc>
        <w:tc>
          <w:tcPr>
            <w:tcW w:type="dxa" w:w="2577"/>
            <w:vAlign w:val="center"/>
          </w:tcPr>
          <w:p>
            <w:r>
              <w:rPr>
                <w:sz w:val="16"/>
              </w:rPr>
            </w:r>
            <w:r>
              <w:rPr>
                <w:b w:val="0"/>
                <w:sz w:val="16"/>
              </w:rPr>
              <w:t>Departmental guidance used Low/Medium/High categories and less prescriptive timing.</w:t>
            </w:r>
          </w:p>
        </w:tc>
        <w:tc>
          <w:tcPr>
            <w:tcW w:type="dxa" w:w="2577"/>
            <w:vAlign w:val="center"/>
          </w:tcPr>
          <w:p>
            <w:r>
              <w:rPr>
                <w:sz w:val="16"/>
              </w:rPr>
            </w:r>
            <w:r>
              <w:rPr>
                <w:b w:val="0"/>
                <w:sz w:val="16"/>
              </w:rPr>
              <w:t>Chief Compliance Officer</w:t>
            </w:r>
          </w:p>
        </w:tc>
      </w:tr>
      <w:tr>
        <w:trPr>
          <w:cantSplit/>
        </w:trPr>
        <w:tc>
          <w:tcPr>
            <w:tcW w:type="dxa" w:w="2577"/>
            <w:vAlign w:val="center"/>
          </w:tcPr>
          <w:p>
            <w:r>
              <w:rPr>
                <w:sz w:val="16"/>
              </w:rPr>
            </w:r>
            <w:r>
              <w:rPr>
                <w:b w:val="0"/>
                <w:sz w:val="16"/>
              </w:rPr>
              <w:t>1.0</w:t>
            </w:r>
          </w:p>
        </w:tc>
        <w:tc>
          <w:tcPr>
            <w:tcW w:type="dxa" w:w="2577"/>
            <w:vAlign w:val="center"/>
          </w:tcPr>
          <w:p>
            <w:r>
              <w:rPr>
                <w:sz w:val="16"/>
              </w:rPr>
            </w:r>
            <w:r>
              <w:rPr>
                <w:b w:val="0"/>
                <w:sz w:val="16"/>
              </w:rPr>
              <w:t>15 Mar 2026</w:t>
            </w:r>
          </w:p>
        </w:tc>
        <w:tc>
          <w:tcPr>
            <w:tcW w:type="dxa" w:w="2577"/>
            <w:vAlign w:val="center"/>
          </w:tcPr>
          <w:p>
            <w:r>
              <w:rPr>
                <w:sz w:val="16"/>
              </w:rPr>
            </w:r>
            <w:r>
              <w:rPr>
                <w:b w:val="0"/>
                <w:sz w:val="16"/>
              </w:rPr>
              <w:t>First controlled enterprise compliance breach procedure with C1–C4 severity and formal remediation workflow.</w:t>
            </w:r>
          </w:p>
        </w:tc>
        <w:tc>
          <w:tcPr>
            <w:tcW w:type="dxa" w:w="2577"/>
            <w:vAlign w:val="center"/>
          </w:tcPr>
          <w:p>
            <w:r>
              <w:rPr>
                <w:sz w:val="16"/>
              </w:rPr>
            </w:r>
            <w:r>
              <w:rPr>
                <w:b w:val="0"/>
                <w:sz w:val="16"/>
              </w:rPr>
              <w:t>Chief Compliance Officer</w:t>
            </w:r>
          </w:p>
        </w:tc>
      </w:tr>
    </w:tbl>
    <w:p/>
    <w:p>
      <w:r>
        <w:t>Controlled copy status. The version recorded in Northstar Financial’s controlled document library is authoritative. Printed or locally saved copies may be outdated and shall not be relied upon for current decisions without confirming version and effective date.</w:t>
      </w:r>
    </w:p>
    <w:p>
      <w:r>
        <w:t>Hierarchy. Board-approved policies and risk appetite statements prevail over frameworks, standards, procedures, departmental manuals, schedules and forms. A lower-level document may impose a stricter control within its scope. Where a conflict cannot be resolved from scope, effective date or hierarchy, the matter shall be escalated to the document owner before action is taken.</w:t>
      </w:r>
    </w:p>
    <w:p>
      <w:pPr>
        <w:pStyle w:val="Heading1"/>
      </w:pPr>
      <w:r>
        <w:t>1. Purpose</w:t>
      </w:r>
    </w:p>
    <w:p>
      <w:r>
        <w:t>This Procedure defines how Northstar Financial identifies, contains, assesses, records, escalates, investigates, remediates and closes suspected or confirmed compliance breaches.</w:t>
      </w:r>
    </w:p>
    <w:p>
      <w:pPr>
        <w:pStyle w:val="Heading1"/>
      </w:pPr>
      <w:r>
        <w:t>2. Scope</w:t>
      </w:r>
    </w:p>
    <w:p>
      <w:r>
        <w:t>The Procedure applies to breaches of controlled Northstar policies, procedures, approval requirements, conduct rules and confirmed applicable obligations where Compliance has oversight responsibility.</w:t>
      </w:r>
    </w:p>
    <w:p>
      <w:r>
        <w:t>It does not replace specialist fraud, AML, information-security, operational-risk or credit incident processes. A single event may require parallel escalation under more than one procedure.</w:t>
      </w:r>
    </w:p>
    <w:p>
      <w:pPr>
        <w:pStyle w:val="Heading1"/>
      </w:pPr>
      <w:r>
        <w:t>3. Definitions</w:t>
      </w:r>
    </w:p>
    <w:p>
      <w:r>
        <w:t>A breach is a failure to comply with an applicable requirement at the time the action or omission occurred. An exception is a prospective, authorized departure from a rule where the governing document permits such approval.</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Term</w:t>
            </w:r>
          </w:p>
        </w:tc>
        <w:tc>
          <w:tcPr>
            <w:tcW w:type="dxa" w:w="5155"/>
            <w:vAlign w:val="center"/>
            <w:shd w:fill="17365D"/>
          </w:tcPr>
          <w:p>
            <w:r>
              <w:rPr>
                <w:sz w:val="16"/>
              </w:rPr>
            </w:r>
            <w:r>
              <w:rPr>
                <w:b/>
                <w:color w:val="FFFFFF"/>
                <w:sz w:val="16"/>
              </w:rPr>
              <w:t>Meaning</w:t>
            </w:r>
          </w:p>
        </w:tc>
      </w:tr>
      <w:tr>
        <w:trPr>
          <w:cantSplit/>
        </w:trPr>
        <w:tc>
          <w:tcPr>
            <w:tcW w:type="dxa" w:w="5155"/>
            <w:vAlign w:val="center"/>
          </w:tcPr>
          <w:p>
            <w:r>
              <w:rPr>
                <w:sz w:val="16"/>
              </w:rPr>
            </w:r>
            <w:r>
              <w:rPr>
                <w:b w:val="0"/>
                <w:sz w:val="16"/>
              </w:rPr>
              <w:t>Suspected breach</w:t>
            </w:r>
          </w:p>
        </w:tc>
        <w:tc>
          <w:tcPr>
            <w:tcW w:type="dxa" w:w="5155"/>
            <w:vAlign w:val="center"/>
          </w:tcPr>
          <w:p>
            <w:r>
              <w:rPr>
                <w:sz w:val="16"/>
              </w:rPr>
            </w:r>
            <w:r>
              <w:rPr>
                <w:b w:val="0"/>
                <w:sz w:val="16"/>
              </w:rPr>
              <w:t>Facts indicate possible non-compliance but assessment is incomplete.</w:t>
            </w:r>
          </w:p>
        </w:tc>
      </w:tr>
      <w:tr>
        <w:trPr>
          <w:cantSplit/>
        </w:trPr>
        <w:tc>
          <w:tcPr>
            <w:tcW w:type="dxa" w:w="5155"/>
            <w:vAlign w:val="center"/>
          </w:tcPr>
          <w:p>
            <w:r>
              <w:rPr>
                <w:sz w:val="16"/>
              </w:rPr>
            </w:r>
            <w:r>
              <w:rPr>
                <w:b w:val="0"/>
                <w:sz w:val="16"/>
              </w:rPr>
              <w:t>Confirmed breach</w:t>
            </w:r>
          </w:p>
        </w:tc>
        <w:tc>
          <w:tcPr>
            <w:tcW w:type="dxa" w:w="5155"/>
            <w:vAlign w:val="center"/>
          </w:tcPr>
          <w:p>
            <w:r>
              <w:rPr>
                <w:sz w:val="16"/>
              </w:rPr>
            </w:r>
            <w:r>
              <w:rPr>
                <w:b w:val="0"/>
                <w:sz w:val="16"/>
              </w:rPr>
              <w:t>Available evidence establishes non-compliance with an applicable requirement.</w:t>
            </w:r>
          </w:p>
        </w:tc>
      </w:tr>
      <w:tr>
        <w:trPr>
          <w:cantSplit/>
        </w:trPr>
        <w:tc>
          <w:tcPr>
            <w:tcW w:type="dxa" w:w="5155"/>
            <w:vAlign w:val="center"/>
          </w:tcPr>
          <w:p>
            <w:r>
              <w:rPr>
                <w:sz w:val="16"/>
              </w:rPr>
            </w:r>
            <w:r>
              <w:rPr>
                <w:b w:val="0"/>
                <w:sz w:val="16"/>
              </w:rPr>
              <w:t>Exception</w:t>
            </w:r>
          </w:p>
        </w:tc>
        <w:tc>
          <w:tcPr>
            <w:tcW w:type="dxa" w:w="5155"/>
            <w:vAlign w:val="center"/>
          </w:tcPr>
          <w:p>
            <w:r>
              <w:rPr>
                <w:sz w:val="16"/>
              </w:rPr>
            </w:r>
            <w:r>
              <w:rPr>
                <w:b w:val="0"/>
                <w:sz w:val="16"/>
              </w:rPr>
              <w:t>Authorized departure approved before the relevant action.</w:t>
            </w:r>
          </w:p>
        </w:tc>
      </w:tr>
      <w:tr>
        <w:trPr>
          <w:cantSplit/>
        </w:trPr>
        <w:tc>
          <w:tcPr>
            <w:tcW w:type="dxa" w:w="5155"/>
            <w:vAlign w:val="center"/>
          </w:tcPr>
          <w:p>
            <w:r>
              <w:rPr>
                <w:sz w:val="16"/>
              </w:rPr>
            </w:r>
            <w:r>
              <w:rPr>
                <w:b w:val="0"/>
                <w:sz w:val="16"/>
              </w:rPr>
              <w:t>Control failure</w:t>
            </w:r>
          </w:p>
        </w:tc>
        <w:tc>
          <w:tcPr>
            <w:tcW w:type="dxa" w:w="5155"/>
            <w:vAlign w:val="center"/>
          </w:tcPr>
          <w:p>
            <w:r>
              <w:rPr>
                <w:sz w:val="16"/>
              </w:rPr>
            </w:r>
            <w:r>
              <w:rPr>
                <w:b w:val="0"/>
                <w:sz w:val="16"/>
              </w:rPr>
              <w:t>Control did not operate as designed, whether or not a customer or financial impact occurred.</w:t>
            </w:r>
          </w:p>
        </w:tc>
      </w:tr>
      <w:tr>
        <w:trPr>
          <w:cantSplit/>
        </w:trPr>
        <w:tc>
          <w:tcPr>
            <w:tcW w:type="dxa" w:w="5155"/>
            <w:vAlign w:val="center"/>
          </w:tcPr>
          <w:p>
            <w:r>
              <w:rPr>
                <w:sz w:val="16"/>
              </w:rPr>
            </w:r>
            <w:r>
              <w:rPr>
                <w:b w:val="0"/>
                <w:sz w:val="16"/>
              </w:rPr>
              <w:t>Near miss</w:t>
            </w:r>
          </w:p>
        </w:tc>
        <w:tc>
          <w:tcPr>
            <w:tcW w:type="dxa" w:w="5155"/>
            <w:vAlign w:val="center"/>
          </w:tcPr>
          <w:p>
            <w:r>
              <w:rPr>
                <w:sz w:val="16"/>
              </w:rPr>
            </w:r>
            <w:r>
              <w:rPr>
                <w:b w:val="0"/>
                <w:sz w:val="16"/>
              </w:rPr>
              <w:t>Failure was detected before the prohibited outcome occurred.</w:t>
            </w:r>
          </w:p>
        </w:tc>
      </w:tr>
      <w:tr>
        <w:trPr>
          <w:cantSplit/>
        </w:trPr>
        <w:tc>
          <w:tcPr>
            <w:tcW w:type="dxa" w:w="5155"/>
            <w:vAlign w:val="center"/>
          </w:tcPr>
          <w:p>
            <w:r>
              <w:rPr>
                <w:sz w:val="16"/>
              </w:rPr>
            </w:r>
            <w:r>
              <w:rPr>
                <w:b w:val="0"/>
                <w:sz w:val="16"/>
              </w:rPr>
              <w:t>Repeat breach</w:t>
            </w:r>
          </w:p>
        </w:tc>
        <w:tc>
          <w:tcPr>
            <w:tcW w:type="dxa" w:w="5155"/>
            <w:vAlign w:val="center"/>
          </w:tcPr>
          <w:p>
            <w:r>
              <w:rPr>
                <w:sz w:val="16"/>
              </w:rPr>
            </w:r>
            <w:r>
              <w:rPr>
                <w:b w:val="0"/>
                <w:sz w:val="16"/>
              </w:rPr>
              <w:t>Same or substantially similar root cause recurs after prior remediation.</w:t>
            </w:r>
          </w:p>
        </w:tc>
      </w:tr>
    </w:tbl>
    <w:p/>
    <w:p>
      <w:pPr>
        <w:pStyle w:val="Heading1"/>
      </w:pPr>
      <w:r>
        <w:t>4. Core Principles</w:t>
      </w:r>
    </w:p>
    <w:p>
      <w:r>
        <w:t>Breach management follows several mandatory principles.</w:t>
      </w:r>
    </w:p>
    <w:p>
      <w:pPr>
        <w:pStyle w:val="ListBullet"/>
      </w:pPr>
      <w:r>
        <w:t>Contain material risk promptly; do not wait for perfect classification.</w:t>
      </w:r>
    </w:p>
    <w:p>
      <w:pPr>
        <w:pStyle w:val="ListBullet"/>
      </w:pPr>
      <w:r>
        <w:t>Preserve evidence and system history.</w:t>
      </w:r>
    </w:p>
    <w:p>
      <w:pPr>
        <w:pStyle w:val="ListBullet"/>
      </w:pPr>
      <w:r>
        <w:t>Do not backdate approvals or records.</w:t>
      </w:r>
    </w:p>
    <w:p>
      <w:pPr>
        <w:pStyle w:val="ListBullet"/>
      </w:pPr>
      <w:r>
        <w:t>Retrospective approval may support remediation but does not make an untimely action compliant.</w:t>
      </w:r>
    </w:p>
    <w:p>
      <w:pPr>
        <w:pStyle w:val="ListBullet"/>
      </w:pPr>
      <w:r>
        <w:t>Assess customer, financial, legal, regulatory, conduct, reputation and systemic control impact.</w:t>
      </w:r>
    </w:p>
    <w:p>
      <w:pPr>
        <w:pStyle w:val="ListBullet"/>
      </w:pPr>
      <w:r>
        <w:t>Escalate based on actual facts and credible worst-case exposure, not only realized loss.</w:t>
      </w:r>
    </w:p>
    <w:p>
      <w:pPr>
        <w:pStyle w:val="Heading1"/>
      </w:pPr>
      <w:r>
        <w:t>5. Breach Severity</w:t>
      </w:r>
    </w:p>
    <w:p>
      <w:r>
        <w:t>Severity is classified C1–C4 after considering impact, scale, duration, intent, customer harm, financial loss, control weakness, repeat history and external-reporting significance.</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vAlign w:val="center"/>
            <w:shd w:fill="17365D"/>
          </w:tcPr>
          <w:p>
            <w:r>
              <w:rPr>
                <w:sz w:val="16"/>
              </w:rPr>
            </w:r>
            <w:r>
              <w:rPr>
                <w:b/>
                <w:color w:val="FFFFFF"/>
                <w:sz w:val="16"/>
              </w:rPr>
              <w:t>Level</w:t>
            </w:r>
          </w:p>
        </w:tc>
        <w:tc>
          <w:tcPr>
            <w:tcW w:type="dxa" w:w="3437"/>
            <w:vAlign w:val="center"/>
            <w:shd w:fill="17365D"/>
          </w:tcPr>
          <w:p>
            <w:r>
              <w:rPr>
                <w:sz w:val="16"/>
              </w:rPr>
            </w:r>
            <w:r>
              <w:rPr>
                <w:b/>
                <w:color w:val="FFFFFF"/>
                <w:sz w:val="16"/>
              </w:rPr>
              <w:t>Description</w:t>
            </w:r>
          </w:p>
        </w:tc>
        <w:tc>
          <w:tcPr>
            <w:tcW w:type="dxa" w:w="3437"/>
            <w:vAlign w:val="center"/>
            <w:shd w:fill="17365D"/>
          </w:tcPr>
          <w:p>
            <w:r>
              <w:rPr>
                <w:sz w:val="16"/>
              </w:rPr>
            </w:r>
            <w:r>
              <w:rPr>
                <w:b/>
                <w:color w:val="FFFFFF"/>
                <w:sz w:val="16"/>
              </w:rPr>
              <w:t>Examples</w:t>
            </w:r>
          </w:p>
        </w:tc>
      </w:tr>
      <w:tr>
        <w:trPr>
          <w:cantSplit/>
        </w:trPr>
        <w:tc>
          <w:tcPr>
            <w:tcW w:type="dxa" w:w="3437"/>
            <w:vAlign w:val="center"/>
          </w:tcPr>
          <w:p>
            <w:r>
              <w:rPr>
                <w:sz w:val="16"/>
              </w:rPr>
            </w:r>
            <w:r>
              <w:rPr>
                <w:b w:val="0"/>
                <w:sz w:val="16"/>
              </w:rPr>
              <w:t>C1 — Low</w:t>
            </w:r>
          </w:p>
        </w:tc>
        <w:tc>
          <w:tcPr>
            <w:tcW w:type="dxa" w:w="3437"/>
            <w:vAlign w:val="center"/>
          </w:tcPr>
          <w:p>
            <w:r>
              <w:rPr>
                <w:sz w:val="16"/>
              </w:rPr>
            </w:r>
            <w:r>
              <w:rPr>
                <w:b w:val="0"/>
                <w:sz w:val="16"/>
              </w:rPr>
              <w:t>Isolated minor non-compliance with limited impact and effective containment.</w:t>
            </w:r>
          </w:p>
        </w:tc>
        <w:tc>
          <w:tcPr>
            <w:tcW w:type="dxa" w:w="3437"/>
            <w:vAlign w:val="center"/>
          </w:tcPr>
          <w:p>
            <w:r>
              <w:rPr>
                <w:sz w:val="16"/>
              </w:rPr>
            </w:r>
            <w:r>
              <w:rPr>
                <w:b w:val="0"/>
                <w:sz w:val="16"/>
              </w:rPr>
              <w:t>Single late checklist sign-off with no decision impact.</w:t>
            </w:r>
          </w:p>
        </w:tc>
      </w:tr>
      <w:tr>
        <w:trPr>
          <w:cantSplit/>
        </w:trPr>
        <w:tc>
          <w:tcPr>
            <w:tcW w:type="dxa" w:w="3437"/>
            <w:vAlign w:val="center"/>
          </w:tcPr>
          <w:p>
            <w:r>
              <w:rPr>
                <w:sz w:val="16"/>
              </w:rPr>
            </w:r>
            <w:r>
              <w:rPr>
                <w:b w:val="0"/>
                <w:sz w:val="16"/>
              </w:rPr>
              <w:t>C2 — Moderate</w:t>
            </w:r>
          </w:p>
        </w:tc>
        <w:tc>
          <w:tcPr>
            <w:tcW w:type="dxa" w:w="3437"/>
            <w:vAlign w:val="center"/>
          </w:tcPr>
          <w:p>
            <w:r>
              <w:rPr>
                <w:sz w:val="16"/>
              </w:rPr>
            </w:r>
            <w:r>
              <w:rPr>
                <w:b w:val="0"/>
                <w:sz w:val="16"/>
              </w:rPr>
              <w:t>Control weakness or recurring issue with broader exposure but limited material harm.</w:t>
            </w:r>
          </w:p>
        </w:tc>
        <w:tc>
          <w:tcPr>
            <w:tcW w:type="dxa" w:w="3437"/>
            <w:vAlign w:val="center"/>
          </w:tcPr>
          <w:p>
            <w:r>
              <w:rPr>
                <w:sz w:val="16"/>
              </w:rPr>
            </w:r>
            <w:r>
              <w:rPr>
                <w:b w:val="0"/>
                <w:sz w:val="16"/>
              </w:rPr>
              <w:t>Multiple files missing required evidence; moderate process delay.</w:t>
            </w:r>
          </w:p>
        </w:tc>
      </w:tr>
      <w:tr>
        <w:trPr>
          <w:cantSplit/>
        </w:trPr>
        <w:tc>
          <w:tcPr>
            <w:tcW w:type="dxa" w:w="3437"/>
            <w:vAlign w:val="center"/>
          </w:tcPr>
          <w:p>
            <w:r>
              <w:rPr>
                <w:sz w:val="16"/>
              </w:rPr>
            </w:r>
            <w:r>
              <w:rPr>
                <w:b w:val="0"/>
                <w:sz w:val="16"/>
              </w:rPr>
              <w:t>C3 — High</w:t>
            </w:r>
          </w:p>
        </w:tc>
        <w:tc>
          <w:tcPr>
            <w:tcW w:type="dxa" w:w="3437"/>
            <w:vAlign w:val="center"/>
          </w:tcPr>
          <w:p>
            <w:r>
              <w:rPr>
                <w:sz w:val="16"/>
              </w:rPr>
            </w:r>
            <w:r>
              <w:rPr>
                <w:b w:val="0"/>
                <w:sz w:val="16"/>
              </w:rPr>
              <w:t>Material breach, significant customer/control impact or serious governance failure.</w:t>
            </w:r>
          </w:p>
        </w:tc>
        <w:tc>
          <w:tcPr>
            <w:tcW w:type="dxa" w:w="3437"/>
            <w:vAlign w:val="center"/>
          </w:tcPr>
          <w:p>
            <w:r>
              <w:rPr>
                <w:sz w:val="16"/>
              </w:rPr>
            </w:r>
            <w:r>
              <w:rPr>
                <w:b w:val="0"/>
                <w:sz w:val="16"/>
              </w:rPr>
              <w:t>Unauthorized approval above delegated authority; material KYC restriction failure.</w:t>
            </w:r>
          </w:p>
        </w:tc>
      </w:tr>
      <w:tr>
        <w:trPr>
          <w:cantSplit/>
        </w:trPr>
        <w:tc>
          <w:tcPr>
            <w:tcW w:type="dxa" w:w="3437"/>
            <w:vAlign w:val="center"/>
          </w:tcPr>
          <w:p>
            <w:r>
              <w:rPr>
                <w:sz w:val="16"/>
              </w:rPr>
            </w:r>
            <w:r>
              <w:rPr>
                <w:b w:val="0"/>
                <w:sz w:val="16"/>
              </w:rPr>
              <w:t>C4 — Critical</w:t>
            </w:r>
          </w:p>
        </w:tc>
        <w:tc>
          <w:tcPr>
            <w:tcW w:type="dxa" w:w="3437"/>
            <w:vAlign w:val="center"/>
          </w:tcPr>
          <w:p>
            <w:r>
              <w:rPr>
                <w:sz w:val="16"/>
              </w:rPr>
            </w:r>
            <w:r>
              <w:rPr>
                <w:b w:val="0"/>
                <w:sz w:val="16"/>
              </w:rPr>
              <w:t>Severe, systemic or potentially externally significant event requiring immediate executive attention.</w:t>
            </w:r>
          </w:p>
        </w:tc>
        <w:tc>
          <w:tcPr>
            <w:tcW w:type="dxa" w:w="3437"/>
            <w:vAlign w:val="center"/>
          </w:tcPr>
          <w:p>
            <w:r>
              <w:rPr>
                <w:sz w:val="16"/>
              </w:rPr>
            </w:r>
            <w:r>
              <w:rPr>
                <w:b w:val="0"/>
                <w:sz w:val="16"/>
              </w:rPr>
              <w:t>Widespread sanctions-control failure; systemic customer harm; deliberate concealment.</w:t>
            </w:r>
          </w:p>
        </w:tc>
      </w:tr>
    </w:tbl>
    <w:p/>
    <w:p>
      <w:pPr>
        <w:pStyle w:val="Heading1"/>
      </w:pPr>
      <w:r>
        <w:t>6. Initial Notification Timelines</w:t>
      </w:r>
    </w:p>
    <w:p>
      <w:r>
        <w:t>Notification timing is measured from reasonable awareness of a potential breach, not from completion of investigation.</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Severity / Trigger</w:t>
            </w:r>
          </w:p>
        </w:tc>
        <w:tc>
          <w:tcPr>
            <w:tcW w:type="dxa" w:w="5155"/>
            <w:vAlign w:val="center"/>
            <w:shd w:fill="17365D"/>
          </w:tcPr>
          <w:p>
            <w:r>
              <w:rPr>
                <w:sz w:val="16"/>
              </w:rPr>
            </w:r>
            <w:r>
              <w:rPr>
                <w:b/>
                <w:color w:val="FFFFFF"/>
                <w:sz w:val="16"/>
              </w:rPr>
              <w:t>Initial Notification</w:t>
            </w:r>
          </w:p>
        </w:tc>
      </w:tr>
      <w:tr>
        <w:trPr>
          <w:cantSplit/>
        </w:trPr>
        <w:tc>
          <w:tcPr>
            <w:tcW w:type="dxa" w:w="5155"/>
            <w:vAlign w:val="center"/>
          </w:tcPr>
          <w:p>
            <w:r>
              <w:rPr>
                <w:sz w:val="16"/>
              </w:rPr>
            </w:r>
            <w:r>
              <w:rPr>
                <w:b w:val="0"/>
                <w:sz w:val="16"/>
              </w:rPr>
              <w:t>Potential C4</w:t>
            </w:r>
          </w:p>
        </w:tc>
        <w:tc>
          <w:tcPr>
            <w:tcW w:type="dxa" w:w="5155"/>
            <w:vAlign w:val="center"/>
          </w:tcPr>
          <w:p>
            <w:r>
              <w:rPr>
                <w:sz w:val="16"/>
              </w:rPr>
            </w:r>
            <w:r>
              <w:rPr>
                <w:b w:val="0"/>
                <w:sz w:val="16"/>
              </w:rPr>
              <w:t>Within 2 hours to CCO and relevant executive/risk owner</w:t>
            </w:r>
          </w:p>
        </w:tc>
      </w:tr>
      <w:tr>
        <w:trPr>
          <w:cantSplit/>
        </w:trPr>
        <w:tc>
          <w:tcPr>
            <w:tcW w:type="dxa" w:w="5155"/>
            <w:vAlign w:val="center"/>
          </w:tcPr>
          <w:p>
            <w:r>
              <w:rPr>
                <w:sz w:val="16"/>
              </w:rPr>
            </w:r>
            <w:r>
              <w:rPr>
                <w:b w:val="0"/>
                <w:sz w:val="16"/>
              </w:rPr>
              <w:t>Potential C3</w:t>
            </w:r>
          </w:p>
        </w:tc>
        <w:tc>
          <w:tcPr>
            <w:tcW w:type="dxa" w:w="5155"/>
            <w:vAlign w:val="center"/>
          </w:tcPr>
          <w:p>
            <w:r>
              <w:rPr>
                <w:sz w:val="16"/>
              </w:rPr>
            </w:r>
            <w:r>
              <w:rPr>
                <w:b w:val="0"/>
                <w:sz w:val="16"/>
              </w:rPr>
              <w:t>Same business day</w:t>
            </w:r>
          </w:p>
        </w:tc>
      </w:tr>
      <w:tr>
        <w:trPr>
          <w:cantSplit/>
        </w:trPr>
        <w:tc>
          <w:tcPr>
            <w:tcW w:type="dxa" w:w="5155"/>
            <w:vAlign w:val="center"/>
          </w:tcPr>
          <w:p>
            <w:r>
              <w:rPr>
                <w:sz w:val="16"/>
              </w:rPr>
            </w:r>
            <w:r>
              <w:rPr>
                <w:b w:val="0"/>
                <w:sz w:val="16"/>
              </w:rPr>
              <w:t>Potential C2</w:t>
            </w:r>
          </w:p>
        </w:tc>
        <w:tc>
          <w:tcPr>
            <w:tcW w:type="dxa" w:w="5155"/>
            <w:vAlign w:val="center"/>
          </w:tcPr>
          <w:p>
            <w:r>
              <w:rPr>
                <w:sz w:val="16"/>
              </w:rPr>
            </w:r>
            <w:r>
              <w:rPr>
                <w:b w:val="0"/>
                <w:sz w:val="16"/>
              </w:rPr>
              <w:t>Within 2 business days</w:t>
            </w:r>
          </w:p>
        </w:tc>
      </w:tr>
      <w:tr>
        <w:trPr>
          <w:cantSplit/>
        </w:trPr>
        <w:tc>
          <w:tcPr>
            <w:tcW w:type="dxa" w:w="5155"/>
            <w:vAlign w:val="center"/>
          </w:tcPr>
          <w:p>
            <w:r>
              <w:rPr>
                <w:sz w:val="16"/>
              </w:rPr>
            </w:r>
            <w:r>
              <w:rPr>
                <w:b w:val="0"/>
                <w:sz w:val="16"/>
              </w:rPr>
              <w:t>Potential C1</w:t>
            </w:r>
          </w:p>
        </w:tc>
        <w:tc>
          <w:tcPr>
            <w:tcW w:type="dxa" w:w="5155"/>
            <w:vAlign w:val="center"/>
          </w:tcPr>
          <w:p>
            <w:r>
              <w:rPr>
                <w:sz w:val="16"/>
              </w:rPr>
            </w:r>
            <w:r>
              <w:rPr>
                <w:b w:val="0"/>
                <w:sz w:val="16"/>
              </w:rPr>
              <w:t>Within 5 business days</w:t>
            </w:r>
          </w:p>
        </w:tc>
      </w:tr>
      <w:tr>
        <w:trPr>
          <w:cantSplit/>
        </w:trPr>
        <w:tc>
          <w:tcPr>
            <w:tcW w:type="dxa" w:w="5155"/>
            <w:vAlign w:val="center"/>
          </w:tcPr>
          <w:p>
            <w:r>
              <w:rPr>
                <w:sz w:val="16"/>
              </w:rPr>
            </w:r>
            <w:r>
              <w:rPr>
                <w:b w:val="0"/>
                <w:sz w:val="16"/>
              </w:rPr>
              <w:t>Uncertain severity but credible material risk</w:t>
            </w:r>
          </w:p>
        </w:tc>
        <w:tc>
          <w:tcPr>
            <w:tcW w:type="dxa" w:w="5155"/>
            <w:vAlign w:val="center"/>
          </w:tcPr>
          <w:p>
            <w:r>
              <w:rPr>
                <w:sz w:val="16"/>
              </w:rPr>
            </w:r>
            <w:r>
              <w:rPr>
                <w:b w:val="0"/>
                <w:sz w:val="16"/>
              </w:rPr>
              <w:t>Treat as at least C3 until assessed</w:t>
            </w:r>
          </w:p>
        </w:tc>
      </w:tr>
    </w:tbl>
    <w:p/>
    <w:p>
      <w:pPr>
        <w:pStyle w:val="Heading1"/>
      </w:pPr>
      <w:r>
        <w:t>7. Immediate Containment</w:t>
      </w:r>
    </w:p>
    <w:p>
      <w:r>
        <w:t>The responsible business owner shall take proportionate containment action without destroying evidence or creating unauthorized customer impact.</w:t>
      </w:r>
    </w:p>
    <w:p>
      <w:pPr>
        <w:pStyle w:val="ListBullet"/>
      </w:pPr>
      <w:r>
        <w:t>Pause affected processing or transactions where necessary.</w:t>
      </w:r>
    </w:p>
    <w:p>
      <w:pPr>
        <w:pStyle w:val="ListBullet"/>
      </w:pPr>
      <w:r>
        <w:t>Disable inappropriate access or authority where relevant.</w:t>
      </w:r>
    </w:p>
    <w:p>
      <w:pPr>
        <w:pStyle w:val="ListBullet"/>
      </w:pPr>
      <w:r>
        <w:t>Prevent further disbursement, investment or onboarding action if a control restriction is unresolved.</w:t>
      </w:r>
    </w:p>
    <w:p>
      <w:pPr>
        <w:pStyle w:val="ListBullet"/>
      </w:pPr>
      <w:r>
        <w:t>Preserve documents, approvals, system logs and communications.</w:t>
      </w:r>
    </w:p>
    <w:p>
      <w:pPr>
        <w:pStyle w:val="ListBullet"/>
      </w:pPr>
      <w:r>
        <w:t>Identify potentially affected customers, accounts, transactions or decisions.</w:t>
      </w:r>
    </w:p>
    <w:p>
      <w:pPr>
        <w:pStyle w:val="Heading1"/>
      </w:pPr>
      <w:r>
        <w:t>8. Breach Intake Record</w:t>
      </w:r>
    </w:p>
    <w:p>
      <w:r>
        <w:t>Every C2–C4 breach and any material repeat C1 breach shall have a controlled breach record.</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Field</w:t>
            </w:r>
          </w:p>
        </w:tc>
        <w:tc>
          <w:tcPr>
            <w:tcW w:type="dxa" w:w="5155"/>
            <w:vAlign w:val="center"/>
            <w:shd w:fill="17365D"/>
          </w:tcPr>
          <w:p>
            <w:r>
              <w:rPr>
                <w:sz w:val="16"/>
              </w:rPr>
            </w:r>
            <w:r>
              <w:rPr>
                <w:b/>
                <w:color w:val="FFFFFF"/>
                <w:sz w:val="16"/>
              </w:rPr>
              <w:t>Required Content</w:t>
            </w:r>
          </w:p>
        </w:tc>
      </w:tr>
      <w:tr>
        <w:trPr>
          <w:cantSplit/>
        </w:trPr>
        <w:tc>
          <w:tcPr>
            <w:tcW w:type="dxa" w:w="5155"/>
            <w:vAlign w:val="center"/>
          </w:tcPr>
          <w:p>
            <w:r>
              <w:rPr>
                <w:sz w:val="16"/>
              </w:rPr>
            </w:r>
            <w:r>
              <w:rPr>
                <w:b w:val="0"/>
                <w:sz w:val="16"/>
              </w:rPr>
              <w:t>Breach ID</w:t>
            </w:r>
          </w:p>
        </w:tc>
        <w:tc>
          <w:tcPr>
            <w:tcW w:type="dxa" w:w="5155"/>
            <w:vAlign w:val="center"/>
          </w:tcPr>
          <w:p>
            <w:r>
              <w:rPr>
                <w:sz w:val="16"/>
              </w:rPr>
            </w:r>
            <w:r>
              <w:rPr>
                <w:b w:val="0"/>
                <w:sz w:val="16"/>
              </w:rPr>
              <w:t>Unique identifier</w:t>
            </w:r>
          </w:p>
        </w:tc>
      </w:tr>
      <w:tr>
        <w:trPr>
          <w:cantSplit/>
        </w:trPr>
        <w:tc>
          <w:tcPr>
            <w:tcW w:type="dxa" w:w="5155"/>
            <w:vAlign w:val="center"/>
          </w:tcPr>
          <w:p>
            <w:r>
              <w:rPr>
                <w:sz w:val="16"/>
              </w:rPr>
            </w:r>
            <w:r>
              <w:rPr>
                <w:b w:val="0"/>
                <w:sz w:val="16"/>
              </w:rPr>
              <w:t>Date identified</w:t>
            </w:r>
          </w:p>
        </w:tc>
        <w:tc>
          <w:tcPr>
            <w:tcW w:type="dxa" w:w="5155"/>
            <w:vAlign w:val="center"/>
          </w:tcPr>
          <w:p>
            <w:r>
              <w:rPr>
                <w:sz w:val="16"/>
              </w:rPr>
            </w:r>
            <w:r>
              <w:rPr>
                <w:b w:val="0"/>
                <w:sz w:val="16"/>
              </w:rPr>
              <w:t>Awareness timestamp</w:t>
            </w:r>
          </w:p>
        </w:tc>
      </w:tr>
      <w:tr>
        <w:trPr>
          <w:cantSplit/>
        </w:trPr>
        <w:tc>
          <w:tcPr>
            <w:tcW w:type="dxa" w:w="5155"/>
            <w:vAlign w:val="center"/>
          </w:tcPr>
          <w:p>
            <w:r>
              <w:rPr>
                <w:sz w:val="16"/>
              </w:rPr>
            </w:r>
            <w:r>
              <w:rPr>
                <w:b w:val="0"/>
                <w:sz w:val="16"/>
              </w:rPr>
              <w:t>Requirement</w:t>
            </w:r>
          </w:p>
        </w:tc>
        <w:tc>
          <w:tcPr>
            <w:tcW w:type="dxa" w:w="5155"/>
            <w:vAlign w:val="center"/>
          </w:tcPr>
          <w:p>
            <w:r>
              <w:rPr>
                <w:sz w:val="16"/>
              </w:rPr>
            </w:r>
            <w:r>
              <w:rPr>
                <w:b w:val="0"/>
                <w:sz w:val="16"/>
              </w:rPr>
              <w:t>Specific policy/procedure/obligation</w:t>
            </w:r>
          </w:p>
        </w:tc>
      </w:tr>
      <w:tr>
        <w:trPr>
          <w:cantSplit/>
        </w:trPr>
        <w:tc>
          <w:tcPr>
            <w:tcW w:type="dxa" w:w="5155"/>
            <w:vAlign w:val="center"/>
          </w:tcPr>
          <w:p>
            <w:r>
              <w:rPr>
                <w:sz w:val="16"/>
              </w:rPr>
            </w:r>
            <w:r>
              <w:rPr>
                <w:b w:val="0"/>
                <w:sz w:val="16"/>
              </w:rPr>
              <w:t>Facts</w:t>
            </w:r>
          </w:p>
        </w:tc>
        <w:tc>
          <w:tcPr>
            <w:tcW w:type="dxa" w:w="5155"/>
            <w:vAlign w:val="center"/>
          </w:tcPr>
          <w:p>
            <w:r>
              <w:rPr>
                <w:sz w:val="16"/>
              </w:rPr>
            </w:r>
            <w:r>
              <w:rPr>
                <w:b w:val="0"/>
                <w:sz w:val="16"/>
              </w:rPr>
              <w:t>Known facts and unresolved points</w:t>
            </w:r>
          </w:p>
        </w:tc>
      </w:tr>
      <w:tr>
        <w:trPr>
          <w:cantSplit/>
        </w:trPr>
        <w:tc>
          <w:tcPr>
            <w:tcW w:type="dxa" w:w="5155"/>
            <w:vAlign w:val="center"/>
          </w:tcPr>
          <w:p>
            <w:r>
              <w:rPr>
                <w:sz w:val="16"/>
              </w:rPr>
            </w:r>
            <w:r>
              <w:rPr>
                <w:b w:val="0"/>
                <w:sz w:val="16"/>
              </w:rPr>
              <w:t>Impact</w:t>
            </w:r>
          </w:p>
        </w:tc>
        <w:tc>
          <w:tcPr>
            <w:tcW w:type="dxa" w:w="5155"/>
            <w:vAlign w:val="center"/>
          </w:tcPr>
          <w:p>
            <w:r>
              <w:rPr>
                <w:sz w:val="16"/>
              </w:rPr>
            </w:r>
            <w:r>
              <w:rPr>
                <w:b w:val="0"/>
                <w:sz w:val="16"/>
              </w:rPr>
              <w:t>Customer, financial, operational, risk and other impact</w:t>
            </w:r>
          </w:p>
        </w:tc>
      </w:tr>
      <w:tr>
        <w:trPr>
          <w:cantSplit/>
        </w:trPr>
        <w:tc>
          <w:tcPr>
            <w:tcW w:type="dxa" w:w="5155"/>
            <w:vAlign w:val="center"/>
          </w:tcPr>
          <w:p>
            <w:r>
              <w:rPr>
                <w:sz w:val="16"/>
              </w:rPr>
            </w:r>
            <w:r>
              <w:rPr>
                <w:b w:val="0"/>
                <w:sz w:val="16"/>
              </w:rPr>
              <w:t>Containment</w:t>
            </w:r>
          </w:p>
        </w:tc>
        <w:tc>
          <w:tcPr>
            <w:tcW w:type="dxa" w:w="5155"/>
            <w:vAlign w:val="center"/>
          </w:tcPr>
          <w:p>
            <w:r>
              <w:rPr>
                <w:sz w:val="16"/>
              </w:rPr>
            </w:r>
            <w:r>
              <w:rPr>
                <w:b w:val="0"/>
                <w:sz w:val="16"/>
              </w:rPr>
              <w:t>Actions taken and owner</w:t>
            </w:r>
          </w:p>
        </w:tc>
      </w:tr>
      <w:tr>
        <w:trPr>
          <w:cantSplit/>
        </w:trPr>
        <w:tc>
          <w:tcPr>
            <w:tcW w:type="dxa" w:w="5155"/>
            <w:vAlign w:val="center"/>
          </w:tcPr>
          <w:p>
            <w:r>
              <w:rPr>
                <w:sz w:val="16"/>
              </w:rPr>
            </w:r>
            <w:r>
              <w:rPr>
                <w:b w:val="0"/>
                <w:sz w:val="16"/>
              </w:rPr>
              <w:t>Severity</w:t>
            </w:r>
          </w:p>
        </w:tc>
        <w:tc>
          <w:tcPr>
            <w:tcW w:type="dxa" w:w="5155"/>
            <w:vAlign w:val="center"/>
          </w:tcPr>
          <w:p>
            <w:r>
              <w:rPr>
                <w:sz w:val="16"/>
              </w:rPr>
            </w:r>
            <w:r>
              <w:rPr>
                <w:b w:val="0"/>
                <w:sz w:val="16"/>
              </w:rPr>
              <w:t>Initial and final severity with rationale</w:t>
            </w:r>
          </w:p>
        </w:tc>
      </w:tr>
      <w:tr>
        <w:trPr>
          <w:cantSplit/>
        </w:trPr>
        <w:tc>
          <w:tcPr>
            <w:tcW w:type="dxa" w:w="5155"/>
            <w:vAlign w:val="center"/>
          </w:tcPr>
          <w:p>
            <w:r>
              <w:rPr>
                <w:sz w:val="16"/>
              </w:rPr>
            </w:r>
            <w:r>
              <w:rPr>
                <w:b w:val="0"/>
                <w:sz w:val="16"/>
              </w:rPr>
              <w:t>Root cause</w:t>
            </w:r>
          </w:p>
        </w:tc>
        <w:tc>
          <w:tcPr>
            <w:tcW w:type="dxa" w:w="5155"/>
            <w:vAlign w:val="center"/>
          </w:tcPr>
          <w:p>
            <w:r>
              <w:rPr>
                <w:sz w:val="16"/>
              </w:rPr>
            </w:r>
            <w:r>
              <w:rPr>
                <w:b w:val="0"/>
                <w:sz w:val="16"/>
              </w:rPr>
              <w:t>When known</w:t>
            </w:r>
          </w:p>
        </w:tc>
      </w:tr>
      <w:tr>
        <w:trPr>
          <w:cantSplit/>
        </w:trPr>
        <w:tc>
          <w:tcPr>
            <w:tcW w:type="dxa" w:w="5155"/>
            <w:vAlign w:val="center"/>
          </w:tcPr>
          <w:p>
            <w:r>
              <w:rPr>
                <w:sz w:val="16"/>
              </w:rPr>
            </w:r>
            <w:r>
              <w:rPr>
                <w:b w:val="0"/>
                <w:sz w:val="16"/>
              </w:rPr>
              <w:t>Actions</w:t>
            </w:r>
          </w:p>
        </w:tc>
        <w:tc>
          <w:tcPr>
            <w:tcW w:type="dxa" w:w="5155"/>
            <w:vAlign w:val="center"/>
          </w:tcPr>
          <w:p>
            <w:r>
              <w:rPr>
                <w:sz w:val="16"/>
              </w:rPr>
            </w:r>
            <w:r>
              <w:rPr>
                <w:b w:val="0"/>
                <w:sz w:val="16"/>
              </w:rPr>
              <w:t>Remediation and due dates</w:t>
            </w:r>
          </w:p>
        </w:tc>
      </w:tr>
      <w:tr>
        <w:trPr>
          <w:cantSplit/>
        </w:trPr>
        <w:tc>
          <w:tcPr>
            <w:tcW w:type="dxa" w:w="5155"/>
            <w:vAlign w:val="center"/>
          </w:tcPr>
          <w:p>
            <w:r>
              <w:rPr>
                <w:sz w:val="16"/>
              </w:rPr>
            </w:r>
            <w:r>
              <w:rPr>
                <w:b w:val="0"/>
                <w:sz w:val="16"/>
              </w:rPr>
              <w:t>Approvals</w:t>
            </w:r>
          </w:p>
        </w:tc>
        <w:tc>
          <w:tcPr>
            <w:tcW w:type="dxa" w:w="5155"/>
            <w:vAlign w:val="center"/>
          </w:tcPr>
          <w:p>
            <w:r>
              <w:rPr>
                <w:sz w:val="16"/>
              </w:rPr>
            </w:r>
            <w:r>
              <w:rPr>
                <w:b w:val="0"/>
                <w:sz w:val="16"/>
              </w:rPr>
              <w:t>Escalation, extension, closure and acceptance evidence</w:t>
            </w:r>
          </w:p>
        </w:tc>
      </w:tr>
    </w:tbl>
    <w:p/>
    <w:p>
      <w:pPr>
        <w:pStyle w:val="Heading1"/>
      </w:pPr>
      <w:r>
        <w:t>9. Requirement Identification</w:t>
      </w:r>
    </w:p>
    <w:p>
      <w:r>
        <w:t>The assessor shall identify the rule and version in force when the event occurred. Later rule changes shall not be applied retrospectively unless a transition provision expressly requires it.</w:t>
      </w:r>
    </w:p>
    <w:p>
      <w:r>
        <w:t>This is particularly important for historical DTI rules, investment concentration limits, gifts thresholds and transaction-monitoring parameters established in earlier batches.</w:t>
      </w:r>
    </w:p>
    <w:p>
      <w:pPr>
        <w:pStyle w:val="Heading1"/>
      </w:pPr>
      <w:r>
        <w:t>10. Exception vs Breach Assessment</w:t>
      </w:r>
    </w:p>
    <w:p>
      <w:r>
        <w:t>The presence of a business justification does not by itself create an exception.</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Situation</w:t>
            </w:r>
          </w:p>
        </w:tc>
        <w:tc>
          <w:tcPr>
            <w:tcW w:type="dxa" w:w="5155"/>
            <w:vAlign w:val="center"/>
            <w:shd w:fill="17365D"/>
          </w:tcPr>
          <w:p>
            <w:r>
              <w:rPr>
                <w:sz w:val="16"/>
              </w:rPr>
            </w:r>
            <w:r>
              <w:rPr>
                <w:b/>
                <w:color w:val="FFFFFF"/>
                <w:sz w:val="16"/>
              </w:rPr>
              <w:t>Classification</w:t>
            </w:r>
          </w:p>
        </w:tc>
      </w:tr>
      <w:tr>
        <w:trPr>
          <w:cantSplit/>
        </w:trPr>
        <w:tc>
          <w:tcPr>
            <w:tcW w:type="dxa" w:w="5155"/>
            <w:vAlign w:val="center"/>
          </w:tcPr>
          <w:p>
            <w:r>
              <w:rPr>
                <w:sz w:val="16"/>
              </w:rPr>
            </w:r>
            <w:r>
              <w:rPr>
                <w:b w:val="0"/>
                <w:sz w:val="16"/>
              </w:rPr>
              <w:t>Valid approval obtained before action under permitted exception route</w:t>
            </w:r>
          </w:p>
        </w:tc>
        <w:tc>
          <w:tcPr>
            <w:tcW w:type="dxa" w:w="5155"/>
            <w:vAlign w:val="center"/>
          </w:tcPr>
          <w:p>
            <w:r>
              <w:rPr>
                <w:sz w:val="16"/>
              </w:rPr>
            </w:r>
            <w:r>
              <w:rPr>
                <w:b w:val="0"/>
                <w:sz w:val="16"/>
              </w:rPr>
              <w:t>Exception, not breach of that rule.</w:t>
            </w:r>
          </w:p>
        </w:tc>
      </w:tr>
      <w:tr>
        <w:trPr>
          <w:cantSplit/>
        </w:trPr>
        <w:tc>
          <w:tcPr>
            <w:tcW w:type="dxa" w:w="5155"/>
            <w:vAlign w:val="center"/>
          </w:tcPr>
          <w:p>
            <w:r>
              <w:rPr>
                <w:sz w:val="16"/>
              </w:rPr>
            </w:r>
            <w:r>
              <w:rPr>
                <w:b w:val="0"/>
                <w:sz w:val="16"/>
              </w:rPr>
              <w:t>Approval obtained after action</w:t>
            </w:r>
          </w:p>
        </w:tc>
        <w:tc>
          <w:tcPr>
            <w:tcW w:type="dxa" w:w="5155"/>
            <w:vAlign w:val="center"/>
          </w:tcPr>
          <w:p>
            <w:r>
              <w:rPr>
                <w:sz w:val="16"/>
              </w:rPr>
            </w:r>
            <w:r>
              <w:rPr>
                <w:b w:val="0"/>
                <w:sz w:val="16"/>
              </w:rPr>
              <w:t>Breach occurred; retrospective endorsement may support remediation.</w:t>
            </w:r>
          </w:p>
        </w:tc>
      </w:tr>
      <w:tr>
        <w:trPr>
          <w:cantSplit/>
        </w:trPr>
        <w:tc>
          <w:tcPr>
            <w:tcW w:type="dxa" w:w="5155"/>
            <w:vAlign w:val="center"/>
          </w:tcPr>
          <w:p>
            <w:r>
              <w:rPr>
                <w:sz w:val="16"/>
              </w:rPr>
            </w:r>
            <w:r>
              <w:rPr>
                <w:b w:val="0"/>
                <w:sz w:val="16"/>
              </w:rPr>
              <w:t>System allowed action but schedule did not</w:t>
            </w:r>
          </w:p>
        </w:tc>
        <w:tc>
          <w:tcPr>
            <w:tcW w:type="dxa" w:w="5155"/>
            <w:vAlign w:val="center"/>
          </w:tcPr>
          <w:p>
            <w:r>
              <w:rPr>
                <w:sz w:val="16"/>
              </w:rPr>
            </w:r>
            <w:r>
              <w:rPr>
                <w:b w:val="0"/>
                <w:sz w:val="16"/>
              </w:rPr>
              <w:t>Breach; system entitlement is not authority.</w:t>
            </w:r>
          </w:p>
        </w:tc>
      </w:tr>
      <w:tr>
        <w:trPr>
          <w:cantSplit/>
        </w:trPr>
        <w:tc>
          <w:tcPr>
            <w:tcW w:type="dxa" w:w="5155"/>
            <w:vAlign w:val="center"/>
          </w:tcPr>
          <w:p>
            <w:r>
              <w:rPr>
                <w:sz w:val="16"/>
              </w:rPr>
            </w:r>
            <w:r>
              <w:rPr>
                <w:b w:val="0"/>
                <w:sz w:val="16"/>
              </w:rPr>
              <w:t>Procedure stricter than policy and action violated procedure</w:t>
            </w:r>
          </w:p>
        </w:tc>
        <w:tc>
          <w:tcPr>
            <w:tcW w:type="dxa" w:w="5155"/>
            <w:vAlign w:val="center"/>
          </w:tcPr>
          <w:p>
            <w:r>
              <w:rPr>
                <w:sz w:val="16"/>
              </w:rPr>
            </w:r>
            <w:r>
              <w:rPr>
                <w:b w:val="0"/>
                <w:sz w:val="16"/>
              </w:rPr>
              <w:t>Breach unless hierarchy/scope shows procedure did not apply.</w:t>
            </w:r>
          </w:p>
        </w:tc>
      </w:tr>
      <w:tr>
        <w:trPr>
          <w:cantSplit/>
        </w:trPr>
        <w:tc>
          <w:tcPr>
            <w:tcW w:type="dxa" w:w="5155"/>
            <w:vAlign w:val="center"/>
          </w:tcPr>
          <w:p>
            <w:r>
              <w:rPr>
                <w:sz w:val="16"/>
              </w:rPr>
            </w:r>
            <w:r>
              <w:rPr>
                <w:b w:val="0"/>
                <w:sz w:val="16"/>
              </w:rPr>
              <w:t>Old version permitted action and transition rule validly applies</w:t>
            </w:r>
          </w:p>
        </w:tc>
        <w:tc>
          <w:tcPr>
            <w:tcW w:type="dxa" w:w="5155"/>
            <w:vAlign w:val="center"/>
          </w:tcPr>
          <w:p>
            <w:r>
              <w:rPr>
                <w:sz w:val="16"/>
              </w:rPr>
            </w:r>
            <w:r>
              <w:rPr>
                <w:b w:val="0"/>
                <w:sz w:val="16"/>
              </w:rPr>
              <w:t>No breach if transition evidence is satisfied.</w:t>
            </w:r>
          </w:p>
        </w:tc>
      </w:tr>
    </w:tbl>
    <w:p/>
    <w:p>
      <w:pPr>
        <w:pStyle w:val="Heading1"/>
      </w:pPr>
      <w:r>
        <w:t>11. Customer Impact Assessment</w:t>
      </w:r>
    </w:p>
    <w:p>
      <w:r>
        <w:t>Potential customer impact shall be assessed even where the breach is primarily procedural.</w:t>
      </w:r>
    </w:p>
    <w:p>
      <w:pPr>
        <w:pStyle w:val="ListBullet"/>
      </w:pPr>
      <w:r>
        <w:t>Financial loss or additional cost.</w:t>
      </w:r>
    </w:p>
    <w:p>
      <w:pPr>
        <w:pStyle w:val="ListBullet"/>
      </w:pPr>
      <w:r>
        <w:t>Delay, denial or restriction not supported by process.</w:t>
      </w:r>
    </w:p>
    <w:p>
      <w:pPr>
        <w:pStyle w:val="ListBullet"/>
      </w:pPr>
      <w:r>
        <w:t>Misleading, incomplete or inconsistent communication.</w:t>
      </w:r>
    </w:p>
    <w:p>
      <w:pPr>
        <w:pStyle w:val="ListBullet"/>
      </w:pPr>
      <w:r>
        <w:t>Privacy/confidentiality impact.</w:t>
      </w:r>
    </w:p>
    <w:p>
      <w:pPr>
        <w:pStyle w:val="ListBullet"/>
      </w:pPr>
      <w:r>
        <w:t>Unfair treatment or avoidable distress.</w:t>
      </w:r>
    </w:p>
    <w:p>
      <w:pPr>
        <w:pStyle w:val="ListBullet"/>
      </w:pPr>
      <w:r>
        <w:t>Need for correction, refund, re-performance or direct communication.</w:t>
      </w:r>
    </w:p>
    <w:p>
      <w:pPr>
        <w:pStyle w:val="Heading1"/>
      </w:pPr>
      <w:r>
        <w:t>12. Financial and Risk Impact</w:t>
      </w:r>
    </w:p>
    <w:p>
      <w:r>
        <w:t>Financial impact includes realized loss, potential loss, valuation error, liquidity impact, credit exposure, operational cost and remediation cost. Risk impact should also consider whether the event indicates wider control weakness.</w:t>
      </w:r>
    </w:p>
    <w:p>
      <w:pPr>
        <w:pStyle w:val="Heading1"/>
      </w:pPr>
      <w:r>
        <w:t>13. Root Cause Analysis</w:t>
      </w:r>
    </w:p>
    <w:p>
      <w:r>
        <w:t>C2–C4 breaches require root-cause analysis proportionate to severity.</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Cause Family</w:t>
            </w:r>
          </w:p>
        </w:tc>
        <w:tc>
          <w:tcPr>
            <w:tcW w:type="dxa" w:w="5155"/>
            <w:vAlign w:val="center"/>
            <w:shd w:fill="17365D"/>
          </w:tcPr>
          <w:p>
            <w:r>
              <w:rPr>
                <w:sz w:val="16"/>
              </w:rPr>
            </w:r>
            <w:r>
              <w:rPr>
                <w:b/>
                <w:color w:val="FFFFFF"/>
                <w:sz w:val="16"/>
              </w:rPr>
              <w:t>Examples</w:t>
            </w:r>
          </w:p>
        </w:tc>
      </w:tr>
      <w:tr>
        <w:trPr>
          <w:cantSplit/>
        </w:trPr>
        <w:tc>
          <w:tcPr>
            <w:tcW w:type="dxa" w:w="5155"/>
            <w:vAlign w:val="center"/>
          </w:tcPr>
          <w:p>
            <w:r>
              <w:rPr>
                <w:sz w:val="16"/>
              </w:rPr>
            </w:r>
            <w:r>
              <w:rPr>
                <w:b w:val="0"/>
                <w:sz w:val="16"/>
              </w:rPr>
              <w:t>People</w:t>
            </w:r>
          </w:p>
        </w:tc>
        <w:tc>
          <w:tcPr>
            <w:tcW w:type="dxa" w:w="5155"/>
            <w:vAlign w:val="center"/>
          </w:tcPr>
          <w:p>
            <w:r>
              <w:rPr>
                <w:sz w:val="16"/>
              </w:rPr>
            </w:r>
            <w:r>
              <w:rPr>
                <w:b w:val="0"/>
                <w:sz w:val="16"/>
              </w:rPr>
              <w:t>Training gap, workload, deliberate override, unclear accountability</w:t>
            </w:r>
          </w:p>
        </w:tc>
      </w:tr>
      <w:tr>
        <w:trPr>
          <w:cantSplit/>
        </w:trPr>
        <w:tc>
          <w:tcPr>
            <w:tcW w:type="dxa" w:w="5155"/>
            <w:vAlign w:val="center"/>
          </w:tcPr>
          <w:p>
            <w:r>
              <w:rPr>
                <w:sz w:val="16"/>
              </w:rPr>
            </w:r>
            <w:r>
              <w:rPr>
                <w:b w:val="0"/>
                <w:sz w:val="16"/>
              </w:rPr>
              <w:t>Process</w:t>
            </w:r>
          </w:p>
        </w:tc>
        <w:tc>
          <w:tcPr>
            <w:tcW w:type="dxa" w:w="5155"/>
            <w:vAlign w:val="center"/>
          </w:tcPr>
          <w:p>
            <w:r>
              <w:rPr>
                <w:sz w:val="16"/>
              </w:rPr>
            </w:r>
            <w:r>
              <w:rPr>
                <w:b w:val="0"/>
                <w:sz w:val="16"/>
              </w:rPr>
              <w:t>Missing step, weak maker-checker, poor handoff</w:t>
            </w:r>
          </w:p>
        </w:tc>
      </w:tr>
      <w:tr>
        <w:trPr>
          <w:cantSplit/>
        </w:trPr>
        <w:tc>
          <w:tcPr>
            <w:tcW w:type="dxa" w:w="5155"/>
            <w:vAlign w:val="center"/>
          </w:tcPr>
          <w:p>
            <w:r>
              <w:rPr>
                <w:sz w:val="16"/>
              </w:rPr>
            </w:r>
            <w:r>
              <w:rPr>
                <w:b w:val="0"/>
                <w:sz w:val="16"/>
              </w:rPr>
              <w:t>Technology</w:t>
            </w:r>
          </w:p>
        </w:tc>
        <w:tc>
          <w:tcPr>
            <w:tcW w:type="dxa" w:w="5155"/>
            <w:vAlign w:val="center"/>
          </w:tcPr>
          <w:p>
            <w:r>
              <w:rPr>
                <w:sz w:val="16"/>
              </w:rPr>
            </w:r>
            <w:r>
              <w:rPr>
                <w:b w:val="0"/>
                <w:sz w:val="16"/>
              </w:rPr>
              <w:t>Incorrect rule configuration, stale entitlement, failed interface</w:t>
            </w:r>
          </w:p>
        </w:tc>
      </w:tr>
      <w:tr>
        <w:trPr>
          <w:cantSplit/>
        </w:trPr>
        <w:tc>
          <w:tcPr>
            <w:tcW w:type="dxa" w:w="5155"/>
            <w:vAlign w:val="center"/>
          </w:tcPr>
          <w:p>
            <w:r>
              <w:rPr>
                <w:sz w:val="16"/>
              </w:rPr>
            </w:r>
            <w:r>
              <w:rPr>
                <w:b w:val="0"/>
                <w:sz w:val="16"/>
              </w:rPr>
              <w:t>Data</w:t>
            </w:r>
          </w:p>
        </w:tc>
        <w:tc>
          <w:tcPr>
            <w:tcW w:type="dxa" w:w="5155"/>
            <w:vAlign w:val="center"/>
          </w:tcPr>
          <w:p>
            <w:r>
              <w:rPr>
                <w:sz w:val="16"/>
              </w:rPr>
            </w:r>
            <w:r>
              <w:rPr>
                <w:b w:val="0"/>
                <w:sz w:val="16"/>
              </w:rPr>
              <w:t>Wrong mapping, incomplete customer/issuer data, stale reference data</w:t>
            </w:r>
          </w:p>
        </w:tc>
      </w:tr>
      <w:tr>
        <w:trPr>
          <w:cantSplit/>
        </w:trPr>
        <w:tc>
          <w:tcPr>
            <w:tcW w:type="dxa" w:w="5155"/>
            <w:vAlign w:val="center"/>
          </w:tcPr>
          <w:p>
            <w:r>
              <w:rPr>
                <w:sz w:val="16"/>
              </w:rPr>
            </w:r>
            <w:r>
              <w:rPr>
                <w:b w:val="0"/>
                <w:sz w:val="16"/>
              </w:rPr>
              <w:t>Governance</w:t>
            </w:r>
          </w:p>
        </w:tc>
        <w:tc>
          <w:tcPr>
            <w:tcW w:type="dxa" w:w="5155"/>
            <w:vAlign w:val="center"/>
          </w:tcPr>
          <w:p>
            <w:r>
              <w:rPr>
                <w:sz w:val="16"/>
              </w:rPr>
            </w:r>
            <w:r>
              <w:rPr>
                <w:b w:val="0"/>
                <w:sz w:val="16"/>
              </w:rPr>
              <w:t>Unclear ownership, delayed policy update, poor escalation</w:t>
            </w:r>
          </w:p>
        </w:tc>
      </w:tr>
      <w:tr>
        <w:trPr>
          <w:cantSplit/>
        </w:trPr>
        <w:tc>
          <w:tcPr>
            <w:tcW w:type="dxa" w:w="5155"/>
            <w:vAlign w:val="center"/>
          </w:tcPr>
          <w:p>
            <w:r>
              <w:rPr>
                <w:sz w:val="16"/>
              </w:rPr>
            </w:r>
            <w:r>
              <w:rPr>
                <w:b w:val="0"/>
                <w:sz w:val="16"/>
              </w:rPr>
              <w:t>Third party</w:t>
            </w:r>
          </w:p>
        </w:tc>
        <w:tc>
          <w:tcPr>
            <w:tcW w:type="dxa" w:w="5155"/>
            <w:vAlign w:val="center"/>
          </w:tcPr>
          <w:p>
            <w:r>
              <w:rPr>
                <w:sz w:val="16"/>
              </w:rPr>
            </w:r>
            <w:r>
              <w:rPr>
                <w:b w:val="0"/>
                <w:sz w:val="16"/>
              </w:rPr>
              <w:t>Vendor failure, external data issue, outsourced control gap</w:t>
            </w:r>
          </w:p>
        </w:tc>
      </w:tr>
    </w:tbl>
    <w:p/>
    <w:p>
      <w:pPr>
        <w:pStyle w:val="Heading1"/>
      </w:pPr>
      <w:r>
        <w:t>14. Repeat and Systemic Assessment</w:t>
      </w:r>
    </w:p>
    <w:p>
      <w:r>
        <w:t>An event may be systemic even if few realized losses are known. The assessor shall determine potentially affected population, time period, channels and common root cause.</w:t>
      </w:r>
    </w:p>
    <w:p>
      <w:pPr>
        <w:pStyle w:val="Heading1"/>
      </w:pPr>
      <w:r>
        <w:t>15. Investigation</w:t>
      </w:r>
    </w:p>
    <w:p>
      <w:r>
        <w:t>C3–C4 matters normally require a documented investigation plan, evidence log, key interviews, fact chronology and formal conclusion. Compliance may involve Legal, Risk, Fraud, HR, Internal Audit or Information Security as appropriate.</w:t>
      </w:r>
    </w:p>
    <w:p>
      <w:pPr>
        <w:pStyle w:val="Heading1"/>
      </w:pPr>
      <w:r>
        <w:t>16. Escalation Governance</w:t>
      </w:r>
    </w:p>
    <w:p>
      <w:r>
        <w:t>Severity determines minimum escalation; specialist processes may require additional escalation.</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Level</w:t>
            </w:r>
          </w:p>
        </w:tc>
        <w:tc>
          <w:tcPr>
            <w:tcW w:type="dxa" w:w="5155"/>
            <w:vAlign w:val="center"/>
            <w:shd w:fill="17365D"/>
          </w:tcPr>
          <w:p>
            <w:r>
              <w:rPr>
                <w:sz w:val="16"/>
              </w:rPr>
            </w:r>
            <w:r>
              <w:rPr>
                <w:b/>
                <w:color w:val="FFFFFF"/>
                <w:sz w:val="16"/>
              </w:rPr>
              <w:t>Minimum Governance</w:t>
            </w:r>
          </w:p>
        </w:tc>
      </w:tr>
      <w:tr>
        <w:trPr>
          <w:cantSplit/>
        </w:trPr>
        <w:tc>
          <w:tcPr>
            <w:tcW w:type="dxa" w:w="5155"/>
            <w:vAlign w:val="center"/>
          </w:tcPr>
          <w:p>
            <w:r>
              <w:rPr>
                <w:sz w:val="16"/>
              </w:rPr>
            </w:r>
            <w:r>
              <w:rPr>
                <w:b w:val="0"/>
                <w:sz w:val="16"/>
              </w:rPr>
              <w:t>C1</w:t>
            </w:r>
          </w:p>
        </w:tc>
        <w:tc>
          <w:tcPr>
            <w:tcW w:type="dxa" w:w="5155"/>
            <w:vAlign w:val="center"/>
          </w:tcPr>
          <w:p>
            <w:r>
              <w:rPr>
                <w:sz w:val="16"/>
              </w:rPr>
            </w:r>
            <w:r>
              <w:rPr>
                <w:b w:val="0"/>
                <w:sz w:val="16"/>
              </w:rPr>
              <w:t>Business manager + Compliance manager</w:t>
            </w:r>
          </w:p>
        </w:tc>
      </w:tr>
      <w:tr>
        <w:trPr>
          <w:cantSplit/>
        </w:trPr>
        <w:tc>
          <w:tcPr>
            <w:tcW w:type="dxa" w:w="5155"/>
            <w:vAlign w:val="center"/>
          </w:tcPr>
          <w:p>
            <w:r>
              <w:rPr>
                <w:sz w:val="16"/>
              </w:rPr>
            </w:r>
            <w:r>
              <w:rPr>
                <w:b w:val="0"/>
                <w:sz w:val="16"/>
              </w:rPr>
              <w:t>C2</w:t>
            </w:r>
          </w:p>
        </w:tc>
        <w:tc>
          <w:tcPr>
            <w:tcW w:type="dxa" w:w="5155"/>
            <w:vAlign w:val="center"/>
          </w:tcPr>
          <w:p>
            <w:r>
              <w:rPr>
                <w:sz w:val="16"/>
              </w:rPr>
            </w:r>
            <w:r>
              <w:rPr>
                <w:b w:val="0"/>
                <w:sz w:val="16"/>
              </w:rPr>
              <w:t>Business head + Head of Compliance Monitoring</w:t>
            </w:r>
          </w:p>
        </w:tc>
      </w:tr>
      <w:tr>
        <w:trPr>
          <w:cantSplit/>
        </w:trPr>
        <w:tc>
          <w:tcPr>
            <w:tcW w:type="dxa" w:w="5155"/>
            <w:vAlign w:val="center"/>
          </w:tcPr>
          <w:p>
            <w:r>
              <w:rPr>
                <w:sz w:val="16"/>
              </w:rPr>
            </w:r>
            <w:r>
              <w:rPr>
                <w:b w:val="0"/>
                <w:sz w:val="16"/>
              </w:rPr>
              <w:t>C3</w:t>
            </w:r>
          </w:p>
        </w:tc>
        <w:tc>
          <w:tcPr>
            <w:tcW w:type="dxa" w:w="5155"/>
            <w:vAlign w:val="center"/>
          </w:tcPr>
          <w:p>
            <w:r>
              <w:rPr>
                <w:sz w:val="16"/>
              </w:rPr>
            </w:r>
            <w:r>
              <w:rPr>
                <w:b w:val="0"/>
                <w:sz w:val="16"/>
              </w:rPr>
              <w:t>Chief Compliance Officer + relevant executive + committee reporting</w:t>
            </w:r>
          </w:p>
        </w:tc>
      </w:tr>
      <w:tr>
        <w:trPr>
          <w:cantSplit/>
        </w:trPr>
        <w:tc>
          <w:tcPr>
            <w:tcW w:type="dxa" w:w="5155"/>
            <w:vAlign w:val="center"/>
          </w:tcPr>
          <w:p>
            <w:r>
              <w:rPr>
                <w:sz w:val="16"/>
              </w:rPr>
            </w:r>
            <w:r>
              <w:rPr>
                <w:b w:val="0"/>
                <w:sz w:val="16"/>
              </w:rPr>
              <w:t>C4</w:t>
            </w:r>
          </w:p>
        </w:tc>
        <w:tc>
          <w:tcPr>
            <w:tcW w:type="dxa" w:w="5155"/>
            <w:vAlign w:val="center"/>
          </w:tcPr>
          <w:p>
            <w:r>
              <w:rPr>
                <w:sz w:val="16"/>
              </w:rPr>
            </w:r>
            <w:r>
              <w:rPr>
                <w:b w:val="0"/>
                <w:sz w:val="16"/>
              </w:rPr>
              <w:t>Immediate CCO/CRO/CEO escalation; committee/Board escalation as appropriate</w:t>
            </w:r>
          </w:p>
        </w:tc>
      </w:tr>
    </w:tbl>
    <w:p/>
    <w:p>
      <w:pPr>
        <w:pStyle w:val="Heading1"/>
      </w:pPr>
      <w:r>
        <w:t>17. Potential External Reporting</w:t>
      </w:r>
    </w:p>
    <w:p>
      <w:r>
        <w:t>This Procedure does not create fictional legal reporting duties. Where a breach may require external notification, Compliance and Legal shall identify and confirm the actual applicable requirement before submission.</w:t>
      </w:r>
    </w:p>
    <w:p>
      <w:r>
        <w:t>No employee should assume that a fictional Northstar severity level corresponds to any real legal or regulatory reporting threshold.</w:t>
      </w:r>
    </w:p>
    <w:p>
      <w:pPr>
        <w:pStyle w:val="Heading1"/>
      </w:pPr>
      <w:r>
        <w:t>18. Customer Remediation</w:t>
      </w:r>
    </w:p>
    <w:p>
      <w:r>
        <w:t>Where customers are affected, remediation shall be fair, consistent and evidence-based. Actions may include correction, refund, fee reversal, reprocessing, communication, restriction release or other approved treatment.</w:t>
      </w:r>
    </w:p>
    <w:p>
      <w:pPr>
        <w:pStyle w:val="Heading1"/>
      </w:pPr>
      <w:r>
        <w:t>19. Remediation Action Plans</w:t>
      </w:r>
    </w:p>
    <w:p>
      <w:r>
        <w:t>Actions shall address root cause and define owner, due date, milestones, evidence and validation.</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Weak Action</w:t>
            </w:r>
          </w:p>
        </w:tc>
        <w:tc>
          <w:tcPr>
            <w:tcW w:type="dxa" w:w="5155"/>
            <w:vAlign w:val="center"/>
            <w:shd w:fill="17365D"/>
          </w:tcPr>
          <w:p>
            <w:r>
              <w:rPr>
                <w:sz w:val="16"/>
              </w:rPr>
            </w:r>
            <w:r>
              <w:rPr>
                <w:b/>
                <w:color w:val="FFFFFF"/>
                <w:sz w:val="16"/>
              </w:rPr>
              <w:t>Required Improvement</w:t>
            </w:r>
          </w:p>
        </w:tc>
      </w:tr>
      <w:tr>
        <w:trPr>
          <w:cantSplit/>
        </w:trPr>
        <w:tc>
          <w:tcPr>
            <w:tcW w:type="dxa" w:w="5155"/>
            <w:vAlign w:val="center"/>
          </w:tcPr>
          <w:p>
            <w:r>
              <w:rPr>
                <w:sz w:val="16"/>
              </w:rPr>
            </w:r>
            <w:r>
              <w:rPr>
                <w:b w:val="0"/>
                <w:sz w:val="16"/>
              </w:rPr>
              <w:t>“Remind staff”</w:t>
            </w:r>
          </w:p>
        </w:tc>
        <w:tc>
          <w:tcPr>
            <w:tcW w:type="dxa" w:w="5155"/>
            <w:vAlign w:val="center"/>
          </w:tcPr>
          <w:p>
            <w:r>
              <w:rPr>
                <w:sz w:val="16"/>
              </w:rPr>
            </w:r>
            <w:r>
              <w:rPr>
                <w:b w:val="0"/>
                <w:sz w:val="16"/>
              </w:rPr>
              <w:t>Define targeted training, population, completion evidence and supervisory control.</w:t>
            </w:r>
          </w:p>
        </w:tc>
      </w:tr>
      <w:tr>
        <w:trPr>
          <w:cantSplit/>
        </w:trPr>
        <w:tc>
          <w:tcPr>
            <w:tcW w:type="dxa" w:w="5155"/>
            <w:vAlign w:val="center"/>
          </w:tcPr>
          <w:p>
            <w:r>
              <w:rPr>
                <w:sz w:val="16"/>
              </w:rPr>
            </w:r>
            <w:r>
              <w:rPr>
                <w:b w:val="0"/>
                <w:sz w:val="16"/>
              </w:rPr>
              <w:t>“Fix system”</w:t>
            </w:r>
          </w:p>
        </w:tc>
        <w:tc>
          <w:tcPr>
            <w:tcW w:type="dxa" w:w="5155"/>
            <w:vAlign w:val="center"/>
          </w:tcPr>
          <w:p>
            <w:r>
              <w:rPr>
                <w:sz w:val="16"/>
              </w:rPr>
            </w:r>
            <w:r>
              <w:rPr>
                <w:b w:val="0"/>
                <w:sz w:val="16"/>
              </w:rPr>
              <w:t>Specify rule/configuration change, testing, deployment and validation.</w:t>
            </w:r>
          </w:p>
        </w:tc>
      </w:tr>
      <w:tr>
        <w:trPr>
          <w:cantSplit/>
        </w:trPr>
        <w:tc>
          <w:tcPr>
            <w:tcW w:type="dxa" w:w="5155"/>
            <w:vAlign w:val="center"/>
          </w:tcPr>
          <w:p>
            <w:r>
              <w:rPr>
                <w:sz w:val="16"/>
              </w:rPr>
            </w:r>
            <w:r>
              <w:rPr>
                <w:b w:val="0"/>
                <w:sz w:val="16"/>
              </w:rPr>
              <w:t>“Monitor closely”</w:t>
            </w:r>
          </w:p>
        </w:tc>
        <w:tc>
          <w:tcPr>
            <w:tcW w:type="dxa" w:w="5155"/>
            <w:vAlign w:val="center"/>
          </w:tcPr>
          <w:p>
            <w:r>
              <w:rPr>
                <w:sz w:val="16"/>
              </w:rPr>
            </w:r>
            <w:r>
              <w:rPr>
                <w:b w:val="0"/>
                <w:sz w:val="16"/>
              </w:rPr>
              <w:t>Define metric, threshold, frequency, owner and escalation.</w:t>
            </w:r>
          </w:p>
        </w:tc>
      </w:tr>
      <w:tr>
        <w:trPr>
          <w:cantSplit/>
        </w:trPr>
        <w:tc>
          <w:tcPr>
            <w:tcW w:type="dxa" w:w="5155"/>
            <w:vAlign w:val="center"/>
          </w:tcPr>
          <w:p>
            <w:r>
              <w:rPr>
                <w:sz w:val="16"/>
              </w:rPr>
            </w:r>
            <w:r>
              <w:rPr>
                <w:b w:val="0"/>
                <w:sz w:val="16"/>
              </w:rPr>
              <w:t>“Update policy”</w:t>
            </w:r>
          </w:p>
        </w:tc>
        <w:tc>
          <w:tcPr>
            <w:tcW w:type="dxa" w:w="5155"/>
            <w:vAlign w:val="center"/>
          </w:tcPr>
          <w:p>
            <w:r>
              <w:rPr>
                <w:sz w:val="16"/>
              </w:rPr>
            </w:r>
            <w:r>
              <w:rPr>
                <w:b w:val="0"/>
                <w:sz w:val="16"/>
              </w:rPr>
              <w:t>Identify document, approval path, effective date and implementation communication.</w:t>
            </w:r>
          </w:p>
        </w:tc>
      </w:tr>
    </w:tbl>
    <w:p/>
    <w:p>
      <w:pPr>
        <w:pStyle w:val="Heading1"/>
      </w:pPr>
      <w:r>
        <w:t>20. Extensions and Risk Acceptance</w:t>
      </w:r>
    </w:p>
    <w:p>
      <w:r>
        <w:t>An action deadline may be extended with documented rationale and authority. An extension does not erase the breach or automatically constitute risk acceptance. Material residual risk must follow RMF-008 and RAS-009 governance.</w:t>
      </w:r>
    </w:p>
    <w:p>
      <w:pPr>
        <w:pStyle w:val="Heading1"/>
      </w:pPr>
      <w:r>
        <w:t>21. Validation and Closure</w:t>
      </w:r>
    </w:p>
    <w:p>
      <w:r>
        <w:t>Compliance closure requires evidence that agreed actions are implemented and, for material breaches, that the control is operating effectively or residual risk has been appropriately accepted.</w:t>
      </w:r>
    </w:p>
    <w:p>
      <w:pPr>
        <w:pStyle w:val="ListBullet"/>
      </w:pPr>
      <w:r>
        <w:t>Confirm population remediation where applicable.</w:t>
      </w:r>
    </w:p>
    <w:p>
      <w:pPr>
        <w:pStyle w:val="ListBullet"/>
      </w:pPr>
      <w:r>
        <w:t>Re-test material controls where necessary.</w:t>
      </w:r>
    </w:p>
    <w:p>
      <w:pPr>
        <w:pStyle w:val="ListBullet"/>
      </w:pPr>
      <w:r>
        <w:t>Verify system/configuration changes.</w:t>
      </w:r>
    </w:p>
    <w:p>
      <w:pPr>
        <w:pStyle w:val="ListBullet"/>
      </w:pPr>
      <w:r>
        <w:t>Confirm documentation and training updates.</w:t>
      </w:r>
    </w:p>
    <w:p>
      <w:pPr>
        <w:pStyle w:val="ListBullet"/>
      </w:pPr>
      <w:r>
        <w:t>Record final residual risk and lessons learned.</w:t>
      </w:r>
    </w:p>
    <w:p>
      <w:pPr>
        <w:pStyle w:val="Heading1"/>
      </w:pPr>
      <w:r>
        <w:t>22. Historical Cases and Transition</w:t>
      </w:r>
    </w:p>
    <w:p>
      <w:r>
        <w:t>Legacy departmental guidance used Low/Medium/High labels. From 15 March 2026, new breaches use C1–C4. Open legacy material cases shall be mapped to the current severity for governance while retaining the historical label in the archive.</w:t>
      </w:r>
    </w:p>
    <w:p>
      <w:pPr>
        <w:pStyle w:val="Heading1"/>
      </w:pPr>
      <w:r>
        <w:t>23. Breach Registers and Reporting</w:t>
      </w:r>
    </w:p>
    <w:p>
      <w:r>
        <w:t>Compliance shall maintain a breach register and report trends including severity, root cause, ageing, repeat themes, customer impact, overdue actions and control domains.</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Frequency</w:t>
            </w:r>
          </w:p>
        </w:tc>
        <w:tc>
          <w:tcPr>
            <w:tcW w:type="dxa" w:w="5155"/>
            <w:vAlign w:val="center"/>
            <w:shd w:fill="17365D"/>
          </w:tcPr>
          <w:p>
            <w:r>
              <w:rPr>
                <w:sz w:val="16"/>
              </w:rPr>
            </w:r>
            <w:r>
              <w:rPr>
                <w:b/>
                <w:color w:val="FFFFFF"/>
                <w:sz w:val="16"/>
              </w:rPr>
              <w:t>Reporting</w:t>
            </w:r>
          </w:p>
        </w:tc>
      </w:tr>
      <w:tr>
        <w:trPr>
          <w:cantSplit/>
        </w:trPr>
        <w:tc>
          <w:tcPr>
            <w:tcW w:type="dxa" w:w="5155"/>
            <w:vAlign w:val="center"/>
          </w:tcPr>
          <w:p>
            <w:r>
              <w:rPr>
                <w:sz w:val="16"/>
              </w:rPr>
            </w:r>
            <w:r>
              <w:rPr>
                <w:b w:val="0"/>
                <w:sz w:val="16"/>
              </w:rPr>
              <w:t>Weekly</w:t>
            </w:r>
          </w:p>
        </w:tc>
        <w:tc>
          <w:tcPr>
            <w:tcW w:type="dxa" w:w="5155"/>
            <w:vAlign w:val="center"/>
          </w:tcPr>
          <w:p>
            <w:r>
              <w:rPr>
                <w:sz w:val="16"/>
              </w:rPr>
            </w:r>
            <w:r>
              <w:rPr>
                <w:b w:val="0"/>
                <w:sz w:val="16"/>
              </w:rPr>
              <w:t>Open C3/C4 and urgent ageing items</w:t>
            </w:r>
          </w:p>
        </w:tc>
      </w:tr>
      <w:tr>
        <w:trPr>
          <w:cantSplit/>
        </w:trPr>
        <w:tc>
          <w:tcPr>
            <w:tcW w:type="dxa" w:w="5155"/>
            <w:vAlign w:val="center"/>
          </w:tcPr>
          <w:p>
            <w:r>
              <w:rPr>
                <w:sz w:val="16"/>
              </w:rPr>
            </w:r>
            <w:r>
              <w:rPr>
                <w:b w:val="0"/>
                <w:sz w:val="16"/>
              </w:rPr>
              <w:t>Monthly</w:t>
            </w:r>
          </w:p>
        </w:tc>
        <w:tc>
          <w:tcPr>
            <w:tcW w:type="dxa" w:w="5155"/>
            <w:vAlign w:val="center"/>
          </w:tcPr>
          <w:p>
            <w:r>
              <w:rPr>
                <w:sz w:val="16"/>
              </w:rPr>
            </w:r>
            <w:r>
              <w:rPr>
                <w:b w:val="0"/>
                <w:sz w:val="16"/>
              </w:rPr>
              <w:t>All material breaches, repeat themes, overdue remediation</w:t>
            </w:r>
          </w:p>
        </w:tc>
      </w:tr>
      <w:tr>
        <w:trPr>
          <w:cantSplit/>
        </w:trPr>
        <w:tc>
          <w:tcPr>
            <w:tcW w:type="dxa" w:w="5155"/>
            <w:vAlign w:val="center"/>
          </w:tcPr>
          <w:p>
            <w:r>
              <w:rPr>
                <w:sz w:val="16"/>
              </w:rPr>
            </w:r>
            <w:r>
              <w:rPr>
                <w:b w:val="0"/>
                <w:sz w:val="16"/>
              </w:rPr>
              <w:t>Quarterly</w:t>
            </w:r>
          </w:p>
        </w:tc>
        <w:tc>
          <w:tcPr>
            <w:tcW w:type="dxa" w:w="5155"/>
            <w:vAlign w:val="center"/>
          </w:tcPr>
          <w:p>
            <w:r>
              <w:rPr>
                <w:sz w:val="16"/>
              </w:rPr>
            </w:r>
            <w:r>
              <w:rPr>
                <w:b w:val="0"/>
                <w:sz w:val="16"/>
              </w:rPr>
              <w:t>Committee trend analysis and RAS alignment</w:t>
            </w:r>
          </w:p>
        </w:tc>
      </w:tr>
      <w:tr>
        <w:trPr>
          <w:cantSplit/>
        </w:trPr>
        <w:tc>
          <w:tcPr>
            <w:tcW w:type="dxa" w:w="5155"/>
            <w:vAlign w:val="center"/>
          </w:tcPr>
          <w:p>
            <w:r>
              <w:rPr>
                <w:sz w:val="16"/>
              </w:rPr>
            </w:r>
            <w:r>
              <w:rPr>
                <w:b w:val="0"/>
                <w:sz w:val="16"/>
              </w:rPr>
              <w:t>Annual</w:t>
            </w:r>
          </w:p>
        </w:tc>
        <w:tc>
          <w:tcPr>
            <w:tcW w:type="dxa" w:w="5155"/>
            <w:vAlign w:val="center"/>
          </w:tcPr>
          <w:p>
            <w:r>
              <w:rPr>
                <w:sz w:val="16"/>
              </w:rPr>
            </w:r>
            <w:r>
              <w:rPr>
                <w:b w:val="0"/>
                <w:sz w:val="16"/>
              </w:rPr>
              <w:t>Program effectiveness and recurrent root causes</w:t>
            </w:r>
          </w:p>
        </w:tc>
      </w:tr>
    </w:tbl>
    <w:p/>
    <w:p>
      <w:pPr>
        <w:pStyle w:val="Heading1"/>
      </w:pPr>
      <w:r>
        <w:t>24. Interaction with Credit Exceptions</w:t>
      </w:r>
    </w:p>
    <w:p>
      <w:r>
        <w:t>CEP-006 governs prospective credit-policy exceptions. If credit approval or disbursement occurs without required exception approval, CBP-043 may apply in parallel to the resulting control breach. Retrospective credit endorsement does not eliminate the compliance event.</w:t>
      </w:r>
    </w:p>
    <w:p>
      <w:pPr>
        <w:pStyle w:val="Heading1"/>
      </w:pPr>
      <w:r>
        <w:t>25. Interaction with Investment Breaches</w:t>
      </w:r>
    </w:p>
    <w:p>
      <w:r>
        <w:t>IMP-041 classifies passive and active investment breaches. A material failure to follow INV-010, IDS-042 or monitoring controls may also be a Compliance breach. The same event may have both risk-limit and compliance classifications.</w:t>
      </w:r>
    </w:p>
    <w:p>
      <w:pPr>
        <w:pStyle w:val="Heading1"/>
      </w:pPr>
      <w:r>
        <w:t>26. Interaction with KYC and AML</w:t>
      </w:r>
    </w:p>
    <w:p>
      <w:r>
        <w:t>KYC/AML specialists retain decision ownership for KYC restrictions, sanctions, PEP and AML risk. Compliance breach management assesses control failure and governance but does not substitute for specialist release or investigation.</w:t>
      </w:r>
    </w:p>
    <w:p>
      <w:pPr>
        <w:pStyle w:val="Heading1"/>
      </w:pPr>
      <w:r>
        <w:t>27. Confidentiality</w:t>
      </w:r>
    </w:p>
    <w:p>
      <w:r>
        <w:t>Breach information shall be restricted to personnel with a legitimate need to know. Investigation records may include sensitive customer, employee, financial or security information and require appropriate handling.</w:t>
      </w:r>
    </w:p>
    <w:p>
      <w:pPr>
        <w:pStyle w:val="Heading1"/>
      </w:pPr>
      <w:r>
        <w:t>28. Appendix A — Severity Decision Matrix</w:t>
      </w:r>
    </w:p>
    <w:p>
      <w:r>
        <w:t>The matrix supports consistent severity but professional judgment remains required.</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cantSplit/>
        </w:trPr>
        <w:tc>
          <w:tcPr>
            <w:tcW w:type="dxa" w:w="2062"/>
            <w:vAlign w:val="center"/>
            <w:shd w:fill="17365D"/>
          </w:tcPr>
          <w:p>
            <w:r>
              <w:rPr>
                <w:sz w:val="16"/>
              </w:rPr>
            </w:r>
            <w:r>
              <w:rPr>
                <w:b/>
                <w:color w:val="FFFFFF"/>
                <w:sz w:val="16"/>
              </w:rPr>
              <w:t>Factor</w:t>
            </w:r>
          </w:p>
        </w:tc>
        <w:tc>
          <w:tcPr>
            <w:tcW w:type="dxa" w:w="2062"/>
            <w:vAlign w:val="center"/>
            <w:shd w:fill="17365D"/>
          </w:tcPr>
          <w:p>
            <w:r>
              <w:rPr>
                <w:sz w:val="16"/>
              </w:rPr>
            </w:r>
            <w:r>
              <w:rPr>
                <w:b/>
                <w:color w:val="FFFFFF"/>
                <w:sz w:val="16"/>
              </w:rPr>
              <w:t>C1</w:t>
            </w:r>
          </w:p>
        </w:tc>
        <w:tc>
          <w:tcPr>
            <w:tcW w:type="dxa" w:w="2062"/>
            <w:vAlign w:val="center"/>
            <w:shd w:fill="17365D"/>
          </w:tcPr>
          <w:p>
            <w:r>
              <w:rPr>
                <w:sz w:val="16"/>
              </w:rPr>
            </w:r>
            <w:r>
              <w:rPr>
                <w:b/>
                <w:color w:val="FFFFFF"/>
                <w:sz w:val="16"/>
              </w:rPr>
              <w:t>C2</w:t>
            </w:r>
          </w:p>
        </w:tc>
        <w:tc>
          <w:tcPr>
            <w:tcW w:type="dxa" w:w="2062"/>
            <w:vAlign w:val="center"/>
            <w:shd w:fill="17365D"/>
          </w:tcPr>
          <w:p>
            <w:r>
              <w:rPr>
                <w:sz w:val="16"/>
              </w:rPr>
            </w:r>
            <w:r>
              <w:rPr>
                <w:b/>
                <w:color w:val="FFFFFF"/>
                <w:sz w:val="16"/>
              </w:rPr>
              <w:t>C3</w:t>
            </w:r>
          </w:p>
        </w:tc>
        <w:tc>
          <w:tcPr>
            <w:tcW w:type="dxa" w:w="2062"/>
            <w:vAlign w:val="center"/>
            <w:shd w:fill="17365D"/>
          </w:tcPr>
          <w:p>
            <w:r>
              <w:rPr>
                <w:sz w:val="16"/>
              </w:rPr>
            </w:r>
            <w:r>
              <w:rPr>
                <w:b/>
                <w:color w:val="FFFFFF"/>
                <w:sz w:val="16"/>
              </w:rPr>
              <w:t>C4</w:t>
            </w:r>
          </w:p>
        </w:tc>
      </w:tr>
      <w:tr>
        <w:trPr>
          <w:cantSplit/>
        </w:trPr>
        <w:tc>
          <w:tcPr>
            <w:tcW w:type="dxa" w:w="2062"/>
            <w:vAlign w:val="center"/>
          </w:tcPr>
          <w:p>
            <w:r>
              <w:rPr>
                <w:sz w:val="16"/>
              </w:rPr>
            </w:r>
            <w:r>
              <w:rPr>
                <w:b w:val="0"/>
                <w:sz w:val="16"/>
              </w:rPr>
              <w:t>Customer impact</w:t>
            </w:r>
          </w:p>
        </w:tc>
        <w:tc>
          <w:tcPr>
            <w:tcW w:type="dxa" w:w="2062"/>
            <w:vAlign w:val="center"/>
          </w:tcPr>
          <w:p>
            <w:r>
              <w:rPr>
                <w:sz w:val="16"/>
              </w:rPr>
            </w:r>
            <w:r>
              <w:rPr>
                <w:b w:val="0"/>
                <w:sz w:val="16"/>
              </w:rPr>
              <w:t>None/minor</w:t>
            </w:r>
          </w:p>
        </w:tc>
        <w:tc>
          <w:tcPr>
            <w:tcW w:type="dxa" w:w="2062"/>
            <w:vAlign w:val="center"/>
          </w:tcPr>
          <w:p>
            <w:r>
              <w:rPr>
                <w:sz w:val="16"/>
              </w:rPr>
            </w:r>
            <w:r>
              <w:rPr>
                <w:b w:val="0"/>
                <w:sz w:val="16"/>
              </w:rPr>
              <w:t>Limited/reversible</w:t>
            </w:r>
          </w:p>
        </w:tc>
        <w:tc>
          <w:tcPr>
            <w:tcW w:type="dxa" w:w="2062"/>
            <w:vAlign w:val="center"/>
          </w:tcPr>
          <w:p>
            <w:r>
              <w:rPr>
                <w:sz w:val="16"/>
              </w:rPr>
            </w:r>
            <w:r>
              <w:rPr>
                <w:b w:val="0"/>
                <w:sz w:val="16"/>
              </w:rPr>
              <w:t>Material or multiple customers</w:t>
            </w:r>
          </w:p>
        </w:tc>
        <w:tc>
          <w:tcPr>
            <w:tcW w:type="dxa" w:w="2062"/>
            <w:vAlign w:val="center"/>
          </w:tcPr>
          <w:p>
            <w:r>
              <w:rPr>
                <w:sz w:val="16"/>
              </w:rPr>
            </w:r>
            <w:r>
              <w:rPr>
                <w:b w:val="0"/>
                <w:sz w:val="16"/>
              </w:rPr>
              <w:t>Severe/systemic</w:t>
            </w:r>
          </w:p>
        </w:tc>
      </w:tr>
      <w:tr>
        <w:trPr>
          <w:cantSplit/>
        </w:trPr>
        <w:tc>
          <w:tcPr>
            <w:tcW w:type="dxa" w:w="2062"/>
            <w:vAlign w:val="center"/>
          </w:tcPr>
          <w:p>
            <w:r>
              <w:rPr>
                <w:sz w:val="16"/>
              </w:rPr>
            </w:r>
            <w:r>
              <w:rPr>
                <w:b w:val="0"/>
                <w:sz w:val="16"/>
              </w:rPr>
              <w:t>Control scope</w:t>
            </w:r>
          </w:p>
        </w:tc>
        <w:tc>
          <w:tcPr>
            <w:tcW w:type="dxa" w:w="2062"/>
            <w:vAlign w:val="center"/>
          </w:tcPr>
          <w:p>
            <w:r>
              <w:rPr>
                <w:sz w:val="16"/>
              </w:rPr>
            </w:r>
            <w:r>
              <w:rPr>
                <w:b w:val="0"/>
                <w:sz w:val="16"/>
              </w:rPr>
              <w:t>Isolated</w:t>
            </w:r>
          </w:p>
        </w:tc>
        <w:tc>
          <w:tcPr>
            <w:tcW w:type="dxa" w:w="2062"/>
            <w:vAlign w:val="center"/>
          </w:tcPr>
          <w:p>
            <w:r>
              <w:rPr>
                <w:sz w:val="16"/>
              </w:rPr>
            </w:r>
            <w:r>
              <w:rPr>
                <w:b w:val="0"/>
                <w:sz w:val="16"/>
              </w:rPr>
              <w:t>Repeat/local</w:t>
            </w:r>
          </w:p>
        </w:tc>
        <w:tc>
          <w:tcPr>
            <w:tcW w:type="dxa" w:w="2062"/>
            <w:vAlign w:val="center"/>
          </w:tcPr>
          <w:p>
            <w:r>
              <w:rPr>
                <w:sz w:val="16"/>
              </w:rPr>
            </w:r>
            <w:r>
              <w:rPr>
                <w:b w:val="0"/>
                <w:sz w:val="16"/>
              </w:rPr>
              <w:t>Material process weakness</w:t>
            </w:r>
          </w:p>
        </w:tc>
        <w:tc>
          <w:tcPr>
            <w:tcW w:type="dxa" w:w="2062"/>
            <w:vAlign w:val="center"/>
          </w:tcPr>
          <w:p>
            <w:r>
              <w:rPr>
                <w:sz w:val="16"/>
              </w:rPr>
            </w:r>
            <w:r>
              <w:rPr>
                <w:b w:val="0"/>
                <w:sz w:val="16"/>
              </w:rPr>
              <w:t>Enterprise/systemic</w:t>
            </w:r>
          </w:p>
        </w:tc>
      </w:tr>
      <w:tr>
        <w:trPr>
          <w:cantSplit/>
        </w:trPr>
        <w:tc>
          <w:tcPr>
            <w:tcW w:type="dxa" w:w="2062"/>
            <w:vAlign w:val="center"/>
          </w:tcPr>
          <w:p>
            <w:r>
              <w:rPr>
                <w:sz w:val="16"/>
              </w:rPr>
            </w:r>
            <w:r>
              <w:rPr>
                <w:b w:val="0"/>
                <w:sz w:val="16"/>
              </w:rPr>
              <w:t>Financial impact</w:t>
            </w:r>
          </w:p>
        </w:tc>
        <w:tc>
          <w:tcPr>
            <w:tcW w:type="dxa" w:w="2062"/>
            <w:vAlign w:val="center"/>
          </w:tcPr>
          <w:p>
            <w:r>
              <w:rPr>
                <w:sz w:val="16"/>
              </w:rPr>
            </w:r>
            <w:r>
              <w:rPr>
                <w:b w:val="0"/>
                <w:sz w:val="16"/>
              </w:rPr>
              <w:t>Immaterial</w:t>
            </w:r>
          </w:p>
        </w:tc>
        <w:tc>
          <w:tcPr>
            <w:tcW w:type="dxa" w:w="2062"/>
            <w:vAlign w:val="center"/>
          </w:tcPr>
          <w:p>
            <w:r>
              <w:rPr>
                <w:sz w:val="16"/>
              </w:rPr>
            </w:r>
            <w:r>
              <w:rPr>
                <w:b w:val="0"/>
                <w:sz w:val="16"/>
              </w:rPr>
              <w:t>Moderate</w:t>
            </w:r>
          </w:p>
        </w:tc>
        <w:tc>
          <w:tcPr>
            <w:tcW w:type="dxa" w:w="2062"/>
            <w:vAlign w:val="center"/>
          </w:tcPr>
          <w:p>
            <w:r>
              <w:rPr>
                <w:sz w:val="16"/>
              </w:rPr>
            </w:r>
            <w:r>
              <w:rPr>
                <w:b w:val="0"/>
                <w:sz w:val="16"/>
              </w:rPr>
              <w:t>Material</w:t>
            </w:r>
          </w:p>
        </w:tc>
        <w:tc>
          <w:tcPr>
            <w:tcW w:type="dxa" w:w="2062"/>
            <w:vAlign w:val="center"/>
          </w:tcPr>
          <w:p>
            <w:r>
              <w:rPr>
                <w:sz w:val="16"/>
              </w:rPr>
            </w:r>
            <w:r>
              <w:rPr>
                <w:b w:val="0"/>
                <w:sz w:val="16"/>
              </w:rPr>
              <w:t>Severe</w:t>
            </w:r>
          </w:p>
        </w:tc>
      </w:tr>
      <w:tr>
        <w:trPr>
          <w:cantSplit/>
        </w:trPr>
        <w:tc>
          <w:tcPr>
            <w:tcW w:type="dxa" w:w="2062"/>
            <w:vAlign w:val="center"/>
          </w:tcPr>
          <w:p>
            <w:r>
              <w:rPr>
                <w:sz w:val="16"/>
              </w:rPr>
            </w:r>
            <w:r>
              <w:rPr>
                <w:b w:val="0"/>
                <w:sz w:val="16"/>
              </w:rPr>
              <w:t>Intent</w:t>
            </w:r>
          </w:p>
        </w:tc>
        <w:tc>
          <w:tcPr>
            <w:tcW w:type="dxa" w:w="2062"/>
            <w:vAlign w:val="center"/>
          </w:tcPr>
          <w:p>
            <w:r>
              <w:rPr>
                <w:sz w:val="16"/>
              </w:rPr>
            </w:r>
            <w:r>
              <w:rPr>
                <w:b w:val="0"/>
                <w:sz w:val="16"/>
              </w:rPr>
              <w:t>Inadvertent</w:t>
            </w:r>
          </w:p>
        </w:tc>
        <w:tc>
          <w:tcPr>
            <w:tcW w:type="dxa" w:w="2062"/>
            <w:vAlign w:val="center"/>
          </w:tcPr>
          <w:p>
            <w:r>
              <w:rPr>
                <w:sz w:val="16"/>
              </w:rPr>
            </w:r>
            <w:r>
              <w:rPr>
                <w:b w:val="0"/>
                <w:sz w:val="16"/>
              </w:rPr>
              <w:t>Inadvertent/repeat</w:t>
            </w:r>
          </w:p>
        </w:tc>
        <w:tc>
          <w:tcPr>
            <w:tcW w:type="dxa" w:w="2062"/>
            <w:vAlign w:val="center"/>
          </w:tcPr>
          <w:p>
            <w:r>
              <w:rPr>
                <w:sz w:val="16"/>
              </w:rPr>
            </w:r>
            <w:r>
              <w:rPr>
                <w:b w:val="0"/>
                <w:sz w:val="16"/>
              </w:rPr>
              <w:t>Serious override</w:t>
            </w:r>
          </w:p>
        </w:tc>
        <w:tc>
          <w:tcPr>
            <w:tcW w:type="dxa" w:w="2062"/>
            <w:vAlign w:val="center"/>
          </w:tcPr>
          <w:p>
            <w:r>
              <w:rPr>
                <w:sz w:val="16"/>
              </w:rPr>
            </w:r>
            <w:r>
              <w:rPr>
                <w:b w:val="0"/>
                <w:sz w:val="16"/>
              </w:rPr>
              <w:t>Deliberate concealment/misconduct</w:t>
            </w:r>
          </w:p>
        </w:tc>
      </w:tr>
      <w:tr>
        <w:trPr>
          <w:cantSplit/>
        </w:trPr>
        <w:tc>
          <w:tcPr>
            <w:tcW w:type="dxa" w:w="2062"/>
            <w:vAlign w:val="center"/>
          </w:tcPr>
          <w:p>
            <w:r>
              <w:rPr>
                <w:sz w:val="16"/>
              </w:rPr>
            </w:r>
            <w:r>
              <w:rPr>
                <w:b w:val="0"/>
                <w:sz w:val="16"/>
              </w:rPr>
              <w:t>External significance</w:t>
            </w:r>
          </w:p>
        </w:tc>
        <w:tc>
          <w:tcPr>
            <w:tcW w:type="dxa" w:w="2062"/>
            <w:vAlign w:val="center"/>
          </w:tcPr>
          <w:p>
            <w:r>
              <w:rPr>
                <w:sz w:val="16"/>
              </w:rPr>
            </w:r>
            <w:r>
              <w:rPr>
                <w:b w:val="0"/>
                <w:sz w:val="16"/>
              </w:rPr>
              <w:t>None known</w:t>
            </w:r>
          </w:p>
        </w:tc>
        <w:tc>
          <w:tcPr>
            <w:tcW w:type="dxa" w:w="2062"/>
            <w:vAlign w:val="center"/>
          </w:tcPr>
          <w:p>
            <w:r>
              <w:rPr>
                <w:sz w:val="16"/>
              </w:rPr>
            </w:r>
            <w:r>
              <w:rPr>
                <w:b w:val="0"/>
                <w:sz w:val="16"/>
              </w:rPr>
              <w:t>Unlikely</w:t>
            </w:r>
          </w:p>
        </w:tc>
        <w:tc>
          <w:tcPr>
            <w:tcW w:type="dxa" w:w="2062"/>
            <w:vAlign w:val="center"/>
          </w:tcPr>
          <w:p>
            <w:r>
              <w:rPr>
                <w:sz w:val="16"/>
              </w:rPr>
            </w:r>
            <w:r>
              <w:rPr>
                <w:b w:val="0"/>
                <w:sz w:val="16"/>
              </w:rPr>
              <w:t>Possible/material</w:t>
            </w:r>
          </w:p>
        </w:tc>
        <w:tc>
          <w:tcPr>
            <w:tcW w:type="dxa" w:w="2062"/>
            <w:vAlign w:val="center"/>
          </w:tcPr>
          <w:p>
            <w:r>
              <w:rPr>
                <w:sz w:val="16"/>
              </w:rPr>
            </w:r>
            <w:r>
              <w:rPr>
                <w:b w:val="0"/>
                <w:sz w:val="16"/>
              </w:rPr>
              <w:t>Likely/urgent</w:t>
            </w:r>
          </w:p>
        </w:tc>
      </w:tr>
    </w:tbl>
    <w:p/>
    <w:p>
      <w:pPr>
        <w:pStyle w:val="Heading1"/>
      </w:pPr>
      <w:r>
        <w:t>29. Appendix B — Breach Examples</w:t>
      </w:r>
    </w:p>
    <w:p>
      <w:r>
        <w:t>Examples are illustrative.</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vAlign w:val="center"/>
            <w:shd w:fill="17365D"/>
          </w:tcPr>
          <w:p>
            <w:r>
              <w:rPr>
                <w:sz w:val="16"/>
              </w:rPr>
            </w:r>
            <w:r>
              <w:rPr>
                <w:b/>
                <w:color w:val="FFFFFF"/>
                <w:sz w:val="16"/>
              </w:rPr>
              <w:t>Scenario</w:t>
            </w:r>
          </w:p>
        </w:tc>
        <w:tc>
          <w:tcPr>
            <w:tcW w:type="dxa" w:w="3437"/>
            <w:vAlign w:val="center"/>
            <w:shd w:fill="17365D"/>
          </w:tcPr>
          <w:p>
            <w:r>
              <w:rPr>
                <w:sz w:val="16"/>
              </w:rPr>
            </w:r>
            <w:r>
              <w:rPr>
                <w:b/>
                <w:color w:val="FFFFFF"/>
                <w:sz w:val="16"/>
              </w:rPr>
              <w:t>Likely Starting Severity</w:t>
            </w:r>
          </w:p>
        </w:tc>
        <w:tc>
          <w:tcPr>
            <w:tcW w:type="dxa" w:w="3437"/>
            <w:vAlign w:val="center"/>
            <w:shd w:fill="17365D"/>
          </w:tcPr>
          <w:p>
            <w:r>
              <w:rPr>
                <w:sz w:val="16"/>
              </w:rPr>
            </w:r>
            <w:r>
              <w:rPr>
                <w:b/>
                <w:color w:val="FFFFFF"/>
                <w:sz w:val="16"/>
              </w:rPr>
              <w:t>Reason</w:t>
            </w:r>
          </w:p>
        </w:tc>
      </w:tr>
      <w:tr>
        <w:trPr>
          <w:cantSplit/>
        </w:trPr>
        <w:tc>
          <w:tcPr>
            <w:tcW w:type="dxa" w:w="3437"/>
            <w:vAlign w:val="center"/>
          </w:tcPr>
          <w:p>
            <w:r>
              <w:rPr>
                <w:sz w:val="16"/>
              </w:rPr>
            </w:r>
            <w:r>
              <w:rPr>
                <w:b w:val="0"/>
                <w:sz w:val="16"/>
              </w:rPr>
              <w:t>One investment trade executed above IA2 authority because system entitlement was stale</w:t>
            </w:r>
          </w:p>
        </w:tc>
        <w:tc>
          <w:tcPr>
            <w:tcW w:type="dxa" w:w="3437"/>
            <w:vAlign w:val="center"/>
          </w:tcPr>
          <w:p>
            <w:r>
              <w:rPr>
                <w:sz w:val="16"/>
              </w:rPr>
            </w:r>
            <w:r>
              <w:rPr>
                <w:b w:val="0"/>
                <w:sz w:val="16"/>
              </w:rPr>
              <w:t>C3</w:t>
            </w:r>
          </w:p>
        </w:tc>
        <w:tc>
          <w:tcPr>
            <w:tcW w:type="dxa" w:w="3437"/>
            <w:vAlign w:val="center"/>
          </w:tcPr>
          <w:p>
            <w:r>
              <w:rPr>
                <w:sz w:val="16"/>
              </w:rPr>
            </w:r>
            <w:r>
              <w:rPr>
                <w:b w:val="0"/>
                <w:sz w:val="16"/>
              </w:rPr>
              <w:t>Material authority failure; value and impact may adjust final rating.</w:t>
            </w:r>
          </w:p>
        </w:tc>
      </w:tr>
      <w:tr>
        <w:trPr>
          <w:cantSplit/>
        </w:trPr>
        <w:tc>
          <w:tcPr>
            <w:tcW w:type="dxa" w:w="3437"/>
            <w:vAlign w:val="center"/>
          </w:tcPr>
          <w:p>
            <w:r>
              <w:rPr>
                <w:sz w:val="16"/>
              </w:rPr>
            </w:r>
            <w:r>
              <w:rPr>
                <w:b w:val="0"/>
                <w:sz w:val="16"/>
              </w:rPr>
              <w:t>High-risk KYC review 3 days late with no customer activity and immediate completion</w:t>
            </w:r>
          </w:p>
        </w:tc>
        <w:tc>
          <w:tcPr>
            <w:tcW w:type="dxa" w:w="3437"/>
            <w:vAlign w:val="center"/>
          </w:tcPr>
          <w:p>
            <w:r>
              <w:rPr>
                <w:sz w:val="16"/>
              </w:rPr>
            </w:r>
            <w:r>
              <w:rPr>
                <w:b w:val="0"/>
                <w:sz w:val="16"/>
              </w:rPr>
              <w:t>C1/C2</w:t>
            </w:r>
          </w:p>
        </w:tc>
        <w:tc>
          <w:tcPr>
            <w:tcW w:type="dxa" w:w="3437"/>
            <w:vAlign w:val="center"/>
          </w:tcPr>
          <w:p>
            <w:r>
              <w:rPr>
                <w:sz w:val="16"/>
              </w:rPr>
            </w:r>
            <w:r>
              <w:rPr>
                <w:b w:val="0"/>
                <w:sz w:val="16"/>
              </w:rPr>
              <w:t>Timeliness failure with limited impact; repeat history matters.</w:t>
            </w:r>
          </w:p>
        </w:tc>
      </w:tr>
      <w:tr>
        <w:trPr>
          <w:cantSplit/>
        </w:trPr>
        <w:tc>
          <w:tcPr>
            <w:tcW w:type="dxa" w:w="3437"/>
            <w:vAlign w:val="center"/>
          </w:tcPr>
          <w:p>
            <w:r>
              <w:rPr>
                <w:sz w:val="16"/>
              </w:rPr>
            </w:r>
            <w:r>
              <w:rPr>
                <w:b w:val="0"/>
                <w:sz w:val="16"/>
              </w:rPr>
              <w:t>Confirmed PEP customer activated without required AML senior approval</w:t>
            </w:r>
          </w:p>
        </w:tc>
        <w:tc>
          <w:tcPr>
            <w:tcW w:type="dxa" w:w="3437"/>
            <w:vAlign w:val="center"/>
          </w:tcPr>
          <w:p>
            <w:r>
              <w:rPr>
                <w:sz w:val="16"/>
              </w:rPr>
            </w:r>
            <w:r>
              <w:rPr>
                <w:b w:val="0"/>
                <w:sz w:val="16"/>
              </w:rPr>
              <w:t>C3 or C4</w:t>
            </w:r>
          </w:p>
        </w:tc>
        <w:tc>
          <w:tcPr>
            <w:tcW w:type="dxa" w:w="3437"/>
            <w:vAlign w:val="center"/>
          </w:tcPr>
          <w:p>
            <w:r>
              <w:rPr>
                <w:sz w:val="16"/>
              </w:rPr>
            </w:r>
            <w:r>
              <w:rPr>
                <w:b w:val="0"/>
                <w:sz w:val="16"/>
              </w:rPr>
              <w:t>Zero-tolerance governance failure depending scale and exposure.</w:t>
            </w:r>
          </w:p>
        </w:tc>
      </w:tr>
      <w:tr>
        <w:trPr>
          <w:cantSplit/>
        </w:trPr>
        <w:tc>
          <w:tcPr>
            <w:tcW w:type="dxa" w:w="3437"/>
            <w:vAlign w:val="center"/>
          </w:tcPr>
          <w:p>
            <w:r>
              <w:rPr>
                <w:sz w:val="16"/>
              </w:rPr>
            </w:r>
            <w:r>
              <w:rPr>
                <w:b w:val="0"/>
                <w:sz w:val="16"/>
              </w:rPr>
              <w:t>Gift of ₹8,000 accepted on 5 Mar 2026 without prior Compliance approval</w:t>
            </w:r>
          </w:p>
        </w:tc>
        <w:tc>
          <w:tcPr>
            <w:tcW w:type="dxa" w:w="3437"/>
            <w:vAlign w:val="center"/>
          </w:tcPr>
          <w:p>
            <w:r>
              <w:rPr>
                <w:sz w:val="16"/>
              </w:rPr>
            </w:r>
            <w:r>
              <w:rPr>
                <w:b w:val="0"/>
                <w:sz w:val="16"/>
              </w:rPr>
              <w:t>C2</w:t>
            </w:r>
          </w:p>
        </w:tc>
        <w:tc>
          <w:tcPr>
            <w:tcW w:type="dxa" w:w="3437"/>
            <w:vAlign w:val="center"/>
          </w:tcPr>
          <w:p>
            <w:r>
              <w:rPr>
                <w:sz w:val="16"/>
              </w:rPr>
            </w:r>
            <w:r>
              <w:rPr>
                <w:b w:val="0"/>
                <w:sz w:val="16"/>
              </w:rPr>
              <w:t>Current CMP-012 threshold is ₹5,000; conflict context may increase severity.</w:t>
            </w:r>
          </w:p>
        </w:tc>
      </w:tr>
      <w:tr>
        <w:trPr>
          <w:cantSplit/>
        </w:trPr>
        <w:tc>
          <w:tcPr>
            <w:tcW w:type="dxa" w:w="3437"/>
            <w:vAlign w:val="center"/>
          </w:tcPr>
          <w:p>
            <w:r>
              <w:rPr>
                <w:sz w:val="16"/>
              </w:rPr>
            </w:r>
            <w:r>
              <w:rPr>
                <w:b w:val="0"/>
                <w:sz w:val="16"/>
              </w:rPr>
              <w:t>Market movement causes passive issuer breach and team escalates same day</w:t>
            </w:r>
          </w:p>
        </w:tc>
        <w:tc>
          <w:tcPr>
            <w:tcW w:type="dxa" w:w="3437"/>
            <w:vAlign w:val="center"/>
          </w:tcPr>
          <w:p>
            <w:r>
              <w:rPr>
                <w:sz w:val="16"/>
              </w:rPr>
            </w:r>
            <w:r>
              <w:rPr>
                <w:b w:val="0"/>
                <w:sz w:val="16"/>
              </w:rPr>
              <w:t>Not automatically compliance breach</w:t>
            </w:r>
          </w:p>
        </w:tc>
        <w:tc>
          <w:tcPr>
            <w:tcW w:type="dxa" w:w="3437"/>
            <w:vAlign w:val="center"/>
          </w:tcPr>
          <w:p>
            <w:r>
              <w:rPr>
                <w:sz w:val="16"/>
              </w:rPr>
            </w:r>
            <w:r>
              <w:rPr>
                <w:b w:val="0"/>
                <w:sz w:val="16"/>
              </w:rPr>
              <w:t>Risk breach properly handled; compliance breach only if required control failed.</w:t>
            </w:r>
          </w:p>
        </w:tc>
      </w:tr>
    </w:tbl>
    <w:p/>
    <w:p>
      <w:pPr>
        <w:pStyle w:val="Heading1"/>
      </w:pPr>
      <w:r>
        <w:t>30. Appendix C — Minimum Breach File</w:t>
      </w:r>
    </w:p>
    <w:p>
      <w:r>
        <w:t>A complete material breach file should contain the intake record, applicable rule/version, fact chronology, evidence log, impact assessment, containment, severity rationale, investigation, customer remediation, action plan, approvals, validation and closure record.</w:t>
      </w:r>
    </w:p>
    <w:p>
      <w:r>
        <w:br w:type="page"/>
      </w:r>
    </w:p>
    <w:p>
      <w:pPr>
        <w:pStyle w:val="Heading1"/>
      </w:pPr>
      <w:r>
        <w:t>Appendix D — Breach Triage Questionnaire</w:t>
      </w:r>
    </w:p>
    <w:p>
      <w:pPr>
        <w:spacing w:after="100"/>
      </w:pPr>
      <w:r>
        <w:t>The triage questionnaire is designed to support rapid, consistent escalation. It should not delay containment.</w:t>
      </w:r>
    </w:p>
    <w:tbl>
      <w:tblPr>
        <w:tblStyle w:val="TableGrid"/>
        <w:tblW w:type="auto" w:w="0"/>
        <w:jc w:val="center"/>
        <w:tblLook w:firstColumn="1" w:firstRow="1" w:lastColumn="0" w:lastRow="0" w:noHBand="0" w:noVBand="1" w:val="04A0"/>
      </w:tblPr>
      <w:tblGrid>
        <w:gridCol w:w="5054"/>
        <w:gridCol w:w="5054"/>
      </w:tblGrid>
      <w:tr>
        <w:trPr>
          <w:tblHeader w:val="true"/>
          <w:cantSplit/>
        </w:trPr>
        <w:tc>
          <w:tcPr>
            <w:tcW w:type="dxa" w:w="5054"/>
            <w:vAlign w:val="center"/>
            <w:shd w:fill="17365D"/>
          </w:tcPr>
          <w:p>
            <w:r/>
            <w:r>
              <w:rPr>
                <w:b/>
                <w:color w:val="FFFFFF"/>
                <w:sz w:val="16"/>
              </w:rPr>
              <w:t>Question</w:t>
            </w:r>
          </w:p>
        </w:tc>
        <w:tc>
          <w:tcPr>
            <w:tcW w:type="dxa" w:w="5054"/>
            <w:vAlign w:val="center"/>
            <w:shd w:fill="17365D"/>
          </w:tcPr>
          <w:p>
            <w:r/>
            <w:r>
              <w:rPr>
                <w:b/>
                <w:color w:val="FFFFFF"/>
                <w:sz w:val="16"/>
              </w:rPr>
              <w:t>Why It Matters</w:t>
            </w:r>
          </w:p>
        </w:tc>
      </w:tr>
      <w:tr>
        <w:trPr>
          <w:cantSplit/>
        </w:trPr>
        <w:tc>
          <w:tcPr>
            <w:tcW w:type="dxa" w:w="5054"/>
            <w:vAlign w:val="center"/>
          </w:tcPr>
          <w:p>
            <w:r/>
            <w:r>
              <w:rPr>
                <w:b w:val="0"/>
                <w:sz w:val="16"/>
              </w:rPr>
              <w:t>What exact requirement may have been breached?</w:t>
            </w:r>
          </w:p>
        </w:tc>
        <w:tc>
          <w:tcPr>
            <w:tcW w:type="dxa" w:w="5054"/>
            <w:vAlign w:val="center"/>
          </w:tcPr>
          <w:p>
            <w:r/>
            <w:r>
              <w:rPr>
                <w:b w:val="0"/>
                <w:sz w:val="16"/>
              </w:rPr>
              <w:t>Prevents vague issue classification.</w:t>
            </w:r>
          </w:p>
        </w:tc>
      </w:tr>
      <w:tr>
        <w:trPr>
          <w:cantSplit/>
        </w:trPr>
        <w:tc>
          <w:tcPr>
            <w:tcW w:type="dxa" w:w="5054"/>
            <w:vAlign w:val="center"/>
          </w:tcPr>
          <w:p>
            <w:r/>
            <w:r>
              <w:rPr>
                <w:b w:val="0"/>
                <w:sz w:val="16"/>
              </w:rPr>
              <w:t>Which version/effective date applied?</w:t>
            </w:r>
          </w:p>
        </w:tc>
        <w:tc>
          <w:tcPr>
            <w:tcW w:type="dxa" w:w="5054"/>
            <w:vAlign w:val="center"/>
          </w:tcPr>
          <w:p>
            <w:r/>
            <w:r>
              <w:rPr>
                <w:b w:val="0"/>
                <w:sz w:val="16"/>
              </w:rPr>
              <w:t>Avoids retrospective use of newer rules.</w:t>
            </w:r>
          </w:p>
        </w:tc>
      </w:tr>
      <w:tr>
        <w:trPr>
          <w:cantSplit/>
        </w:trPr>
        <w:tc>
          <w:tcPr>
            <w:tcW w:type="dxa" w:w="5054"/>
            <w:vAlign w:val="center"/>
          </w:tcPr>
          <w:p>
            <w:r/>
            <w:r>
              <w:rPr>
                <w:b w:val="0"/>
                <w:sz w:val="16"/>
              </w:rPr>
              <w:t>Is the event continuing?</w:t>
            </w:r>
          </w:p>
        </w:tc>
        <w:tc>
          <w:tcPr>
            <w:tcW w:type="dxa" w:w="5054"/>
            <w:vAlign w:val="center"/>
          </w:tcPr>
          <w:p>
            <w:r/>
            <w:r>
              <w:rPr>
                <w:b w:val="0"/>
                <w:sz w:val="16"/>
              </w:rPr>
              <w:t>Determines immediate containment need.</w:t>
            </w:r>
          </w:p>
        </w:tc>
      </w:tr>
      <w:tr>
        <w:trPr>
          <w:cantSplit/>
        </w:trPr>
        <w:tc>
          <w:tcPr>
            <w:tcW w:type="dxa" w:w="5054"/>
            <w:vAlign w:val="center"/>
          </w:tcPr>
          <w:p>
            <w:r/>
            <w:r>
              <w:rPr>
                <w:b w:val="0"/>
                <w:sz w:val="16"/>
              </w:rPr>
              <w:t>How many customers/transactions/decisions may be affected?</w:t>
            </w:r>
          </w:p>
        </w:tc>
        <w:tc>
          <w:tcPr>
            <w:tcW w:type="dxa" w:w="5054"/>
            <w:vAlign w:val="center"/>
          </w:tcPr>
          <w:p>
            <w:r/>
            <w:r>
              <w:rPr>
                <w:b w:val="0"/>
                <w:sz w:val="16"/>
              </w:rPr>
              <w:t>Measures scale and systemic risk.</w:t>
            </w:r>
          </w:p>
        </w:tc>
      </w:tr>
      <w:tr>
        <w:trPr>
          <w:cantSplit/>
        </w:trPr>
        <w:tc>
          <w:tcPr>
            <w:tcW w:type="dxa" w:w="5054"/>
            <w:vAlign w:val="center"/>
          </w:tcPr>
          <w:p>
            <w:r/>
            <w:r>
              <w:rPr>
                <w:b w:val="0"/>
                <w:sz w:val="16"/>
              </w:rPr>
              <w:t>Could a specialist hold or restriction have been bypassed?</w:t>
            </w:r>
          </w:p>
        </w:tc>
        <w:tc>
          <w:tcPr>
            <w:tcW w:type="dxa" w:w="5054"/>
            <w:vAlign w:val="center"/>
          </w:tcPr>
          <w:p>
            <w:r/>
            <w:r>
              <w:rPr>
                <w:b w:val="0"/>
                <w:sz w:val="16"/>
              </w:rPr>
              <w:t>Identifies KYC/AML/security severity.</w:t>
            </w:r>
          </w:p>
        </w:tc>
      </w:tr>
      <w:tr>
        <w:trPr>
          <w:cantSplit/>
        </w:trPr>
        <w:tc>
          <w:tcPr>
            <w:tcW w:type="dxa" w:w="5054"/>
            <w:vAlign w:val="center"/>
          </w:tcPr>
          <w:p>
            <w:r/>
            <w:r>
              <w:rPr>
                <w:b w:val="0"/>
                <w:sz w:val="16"/>
              </w:rPr>
              <w:t>Was delegated authority exceeded?</w:t>
            </w:r>
          </w:p>
        </w:tc>
        <w:tc>
          <w:tcPr>
            <w:tcW w:type="dxa" w:w="5054"/>
            <w:vAlign w:val="center"/>
          </w:tcPr>
          <w:p>
            <w:r/>
            <w:r>
              <w:rPr>
                <w:b w:val="0"/>
                <w:sz w:val="16"/>
              </w:rPr>
              <w:t>Tests governance and approval integrity.</w:t>
            </w:r>
          </w:p>
        </w:tc>
      </w:tr>
      <w:tr>
        <w:trPr>
          <w:cantSplit/>
        </w:trPr>
        <w:tc>
          <w:tcPr>
            <w:tcW w:type="dxa" w:w="5054"/>
            <w:vAlign w:val="center"/>
          </w:tcPr>
          <w:p>
            <w:r/>
            <w:r>
              <w:rPr>
                <w:b w:val="0"/>
                <w:sz w:val="16"/>
              </w:rPr>
              <w:t>Was there concealment or deliberate override?</w:t>
            </w:r>
          </w:p>
        </w:tc>
        <w:tc>
          <w:tcPr>
            <w:tcW w:type="dxa" w:w="5054"/>
            <w:vAlign w:val="center"/>
          </w:tcPr>
          <w:p>
            <w:r/>
            <w:r>
              <w:rPr>
                <w:b w:val="0"/>
                <w:sz w:val="16"/>
              </w:rPr>
              <w:t>May increase severity substantially.</w:t>
            </w:r>
          </w:p>
        </w:tc>
      </w:tr>
      <w:tr>
        <w:trPr>
          <w:cantSplit/>
        </w:trPr>
        <w:tc>
          <w:tcPr>
            <w:tcW w:type="dxa" w:w="5054"/>
            <w:vAlign w:val="center"/>
          </w:tcPr>
          <w:p>
            <w:r/>
            <w:r>
              <w:rPr>
                <w:b w:val="0"/>
                <w:sz w:val="16"/>
              </w:rPr>
              <w:t>Is external reporting potentially required?</w:t>
            </w:r>
          </w:p>
        </w:tc>
        <w:tc>
          <w:tcPr>
            <w:tcW w:type="dxa" w:w="5054"/>
            <w:vAlign w:val="center"/>
          </w:tcPr>
          <w:p>
            <w:r/>
            <w:r>
              <w:rPr>
                <w:b w:val="0"/>
                <w:sz w:val="16"/>
              </w:rPr>
              <w:t>Triggers Legal/Compliance confirmation.</w:t>
            </w:r>
          </w:p>
        </w:tc>
      </w:tr>
      <w:tr>
        <w:trPr>
          <w:cantSplit/>
        </w:trPr>
        <w:tc>
          <w:tcPr>
            <w:tcW w:type="dxa" w:w="5054"/>
            <w:vAlign w:val="center"/>
          </w:tcPr>
          <w:p>
            <w:r/>
            <w:r>
              <w:rPr>
                <w:b w:val="0"/>
                <w:sz w:val="16"/>
              </w:rPr>
              <w:t>What evidence could be lost or overwritten?</w:t>
            </w:r>
          </w:p>
        </w:tc>
        <w:tc>
          <w:tcPr>
            <w:tcW w:type="dxa" w:w="5054"/>
            <w:vAlign w:val="center"/>
          </w:tcPr>
          <w:p>
            <w:r/>
            <w:r>
              <w:rPr>
                <w:b w:val="0"/>
                <w:sz w:val="16"/>
              </w:rPr>
              <w:t>Drives preservation action.</w:t>
            </w:r>
          </w:p>
        </w:tc>
      </w:tr>
    </w:tbl>
    <w:p/>
    <w:p>
      <w:r>
        <w:br w:type="page"/>
      </w:r>
    </w:p>
    <w:p>
      <w:pPr>
        <w:pStyle w:val="Heading1"/>
      </w:pPr>
      <w:r>
        <w:t>Appendix E — Evidence Preservation Protocol</w:t>
      </w:r>
    </w:p>
    <w:p>
      <w:pPr>
        <w:spacing w:after="100"/>
      </w:pPr>
      <w:r>
        <w:t>Preservation shall be proportionate to the event and must not rely on employees manually reconstructing data after the fact.</w:t>
      </w:r>
    </w:p>
    <w:p>
      <w:pPr>
        <w:pStyle w:val="ListBullet"/>
      </w:pPr>
      <w:r>
        <w:t>Identify relevant systems, shared drives, emails, approval tools, recordings and physical documents.</w:t>
      </w:r>
    </w:p>
    <w:p>
      <w:pPr>
        <w:pStyle w:val="ListBullet"/>
      </w:pPr>
      <w:r>
        <w:t>Preserve original timestamps and metadata where available.</w:t>
      </w:r>
    </w:p>
    <w:p>
      <w:pPr>
        <w:pStyle w:val="ListBullet"/>
      </w:pPr>
      <w:r>
        <w:t>Do not overwrite incorrect records merely to make systems look clean; correct them through auditable change.</w:t>
      </w:r>
    </w:p>
    <w:p>
      <w:pPr>
        <w:pStyle w:val="ListBullet"/>
      </w:pPr>
      <w:r>
        <w:t>Limit access to sensitive investigation material.</w:t>
      </w:r>
    </w:p>
    <w:p>
      <w:pPr>
        <w:pStyle w:val="ListBullet"/>
      </w:pPr>
      <w:r>
        <w:t>Document any evidence that could not be preserved and why.</w:t>
      </w:r>
    </w:p>
    <w:p>
      <w:pPr>
        <w:pStyle w:val="ListBullet"/>
      </w:pPr>
      <w:r>
        <w:t>Coordinate with Information Security once the relevant Batch 5 procedures are issued where technical logs or devices are involved.</w:t>
      </w:r>
    </w:p>
    <w:p>
      <w:r>
        <w:br w:type="page"/>
      </w:r>
    </w:p>
    <w:p>
      <w:pPr>
        <w:pStyle w:val="Heading1"/>
      </w:pPr>
      <w:r>
        <w:t>Appendix F — Customer Remediation Assessment</w:t>
      </w:r>
    </w:p>
    <w:p>
      <w:pPr>
        <w:spacing w:after="100"/>
      </w:pPr>
      <w:r>
        <w:t>Customer remediation decisions should be consistent for similarly affected customers and should address both financial and non-financial harm.</w:t>
      </w:r>
    </w:p>
    <w:tbl>
      <w:tblPr>
        <w:tblStyle w:val="TableGrid"/>
        <w:tblW w:type="auto" w:w="0"/>
        <w:jc w:val="center"/>
        <w:tblLook w:firstColumn="1" w:firstRow="1" w:lastColumn="0" w:lastRow="0" w:noHBand="0" w:noVBand="1" w:val="04A0"/>
      </w:tblPr>
      <w:tblGrid>
        <w:gridCol w:w="5054"/>
        <w:gridCol w:w="5054"/>
      </w:tblGrid>
      <w:tr>
        <w:trPr>
          <w:tblHeader w:val="true"/>
          <w:cantSplit/>
        </w:trPr>
        <w:tc>
          <w:tcPr>
            <w:tcW w:type="dxa" w:w="5054"/>
            <w:vAlign w:val="center"/>
            <w:shd w:fill="17365D"/>
          </w:tcPr>
          <w:p>
            <w:r/>
            <w:r>
              <w:rPr>
                <w:b/>
                <w:color w:val="FFFFFF"/>
                <w:sz w:val="16"/>
              </w:rPr>
              <w:t>Assessment</w:t>
            </w:r>
          </w:p>
        </w:tc>
        <w:tc>
          <w:tcPr>
            <w:tcW w:type="dxa" w:w="5054"/>
            <w:vAlign w:val="center"/>
            <w:shd w:fill="17365D"/>
          </w:tcPr>
          <w:p>
            <w:r/>
            <w:r>
              <w:rPr>
                <w:b/>
                <w:color w:val="FFFFFF"/>
                <w:sz w:val="16"/>
              </w:rPr>
              <w:t>Questions</w:t>
            </w:r>
          </w:p>
        </w:tc>
      </w:tr>
      <w:tr>
        <w:trPr>
          <w:cantSplit/>
        </w:trPr>
        <w:tc>
          <w:tcPr>
            <w:tcW w:type="dxa" w:w="5054"/>
            <w:vAlign w:val="center"/>
          </w:tcPr>
          <w:p>
            <w:r/>
            <w:r>
              <w:rPr>
                <w:b w:val="0"/>
                <w:sz w:val="16"/>
              </w:rPr>
              <w:t>Population</w:t>
            </w:r>
          </w:p>
        </w:tc>
        <w:tc>
          <w:tcPr>
            <w:tcW w:type="dxa" w:w="5054"/>
            <w:vAlign w:val="center"/>
          </w:tcPr>
          <w:p>
            <w:r/>
            <w:r>
              <w:rPr>
                <w:b w:val="0"/>
                <w:sz w:val="16"/>
              </w:rPr>
              <w:t>Who was actually or potentially affected?</w:t>
            </w:r>
          </w:p>
        </w:tc>
      </w:tr>
      <w:tr>
        <w:trPr>
          <w:cantSplit/>
        </w:trPr>
        <w:tc>
          <w:tcPr>
            <w:tcW w:type="dxa" w:w="5054"/>
            <w:vAlign w:val="center"/>
          </w:tcPr>
          <w:p>
            <w:r/>
            <w:r>
              <w:rPr>
                <w:b w:val="0"/>
                <w:sz w:val="16"/>
              </w:rPr>
              <w:t>Financial impact</w:t>
            </w:r>
          </w:p>
        </w:tc>
        <w:tc>
          <w:tcPr>
            <w:tcW w:type="dxa" w:w="5054"/>
            <w:vAlign w:val="center"/>
          </w:tcPr>
          <w:p>
            <w:r/>
            <w:r>
              <w:rPr>
                <w:b w:val="0"/>
                <w:sz w:val="16"/>
              </w:rPr>
              <w:t>Fees, interest, loss, delay cost or other monetary effect?</w:t>
            </w:r>
          </w:p>
        </w:tc>
      </w:tr>
      <w:tr>
        <w:trPr>
          <w:cantSplit/>
        </w:trPr>
        <w:tc>
          <w:tcPr>
            <w:tcW w:type="dxa" w:w="5054"/>
            <w:vAlign w:val="center"/>
          </w:tcPr>
          <w:p>
            <w:r/>
            <w:r>
              <w:rPr>
                <w:b w:val="0"/>
                <w:sz w:val="16"/>
              </w:rPr>
              <w:t>Decision impact</w:t>
            </w:r>
          </w:p>
        </w:tc>
        <w:tc>
          <w:tcPr>
            <w:tcW w:type="dxa" w:w="5054"/>
            <w:vAlign w:val="center"/>
          </w:tcPr>
          <w:p>
            <w:r/>
            <w:r>
              <w:rPr>
                <w:b w:val="0"/>
                <w:sz w:val="16"/>
              </w:rPr>
              <w:t>Would correct control operation have changed approval, pricing, restriction or timing?</w:t>
            </w:r>
          </w:p>
        </w:tc>
      </w:tr>
      <w:tr>
        <w:trPr>
          <w:cantSplit/>
        </w:trPr>
        <w:tc>
          <w:tcPr>
            <w:tcW w:type="dxa" w:w="5054"/>
            <w:vAlign w:val="center"/>
          </w:tcPr>
          <w:p>
            <w:r/>
            <w:r>
              <w:rPr>
                <w:b w:val="0"/>
                <w:sz w:val="16"/>
              </w:rPr>
              <w:t>Communication</w:t>
            </w:r>
          </w:p>
        </w:tc>
        <w:tc>
          <w:tcPr>
            <w:tcW w:type="dxa" w:w="5054"/>
            <w:vAlign w:val="center"/>
          </w:tcPr>
          <w:p>
            <w:r/>
            <w:r>
              <w:rPr>
                <w:b w:val="0"/>
                <w:sz w:val="16"/>
              </w:rPr>
              <w:t>Was information misleading, missing or late?</w:t>
            </w:r>
          </w:p>
        </w:tc>
      </w:tr>
      <w:tr>
        <w:trPr>
          <w:cantSplit/>
        </w:trPr>
        <w:tc>
          <w:tcPr>
            <w:tcW w:type="dxa" w:w="5054"/>
            <w:vAlign w:val="center"/>
          </w:tcPr>
          <w:p>
            <w:r/>
            <w:r>
              <w:rPr>
                <w:b w:val="0"/>
                <w:sz w:val="16"/>
              </w:rPr>
              <w:t>Vulnerability</w:t>
            </w:r>
          </w:p>
        </w:tc>
        <w:tc>
          <w:tcPr>
            <w:tcW w:type="dxa" w:w="5054"/>
            <w:vAlign w:val="center"/>
          </w:tcPr>
          <w:p>
            <w:r/>
            <w:r>
              <w:rPr>
                <w:b w:val="0"/>
                <w:sz w:val="16"/>
              </w:rPr>
              <w:t>Did circumstances increase impact or need for tailored communication?</w:t>
            </w:r>
          </w:p>
        </w:tc>
      </w:tr>
      <w:tr>
        <w:trPr>
          <w:cantSplit/>
        </w:trPr>
        <w:tc>
          <w:tcPr>
            <w:tcW w:type="dxa" w:w="5054"/>
            <w:vAlign w:val="center"/>
          </w:tcPr>
          <w:p>
            <w:r/>
            <w:r>
              <w:rPr>
                <w:b w:val="0"/>
                <w:sz w:val="16"/>
              </w:rPr>
              <w:t>Correction</w:t>
            </w:r>
          </w:p>
        </w:tc>
        <w:tc>
          <w:tcPr>
            <w:tcW w:type="dxa" w:w="5054"/>
            <w:vAlign w:val="center"/>
          </w:tcPr>
          <w:p>
            <w:r/>
            <w:r>
              <w:rPr>
                <w:b w:val="0"/>
                <w:sz w:val="16"/>
              </w:rPr>
              <w:t>What action restores the customer to the appropriate position?</w:t>
            </w:r>
          </w:p>
        </w:tc>
      </w:tr>
      <w:tr>
        <w:trPr>
          <w:cantSplit/>
        </w:trPr>
        <w:tc>
          <w:tcPr>
            <w:tcW w:type="dxa" w:w="5054"/>
            <w:vAlign w:val="center"/>
          </w:tcPr>
          <w:p>
            <w:r/>
            <w:r>
              <w:rPr>
                <w:b w:val="0"/>
                <w:sz w:val="16"/>
              </w:rPr>
              <w:t>Validation</w:t>
            </w:r>
          </w:p>
        </w:tc>
        <w:tc>
          <w:tcPr>
            <w:tcW w:type="dxa" w:w="5054"/>
            <w:vAlign w:val="center"/>
          </w:tcPr>
          <w:p>
            <w:r/>
            <w:r>
              <w:rPr>
                <w:b w:val="0"/>
                <w:sz w:val="16"/>
              </w:rPr>
              <w:t>How will completeness and accuracy of remediation be checked?</w:t>
            </w:r>
          </w:p>
        </w:tc>
      </w:tr>
    </w:tbl>
    <w:p/>
    <w:p>
      <w:r>
        <w:br w:type="page"/>
      </w:r>
    </w:p>
    <w:p>
      <w:pPr>
        <w:pStyle w:val="Heading1"/>
      </w:pPr>
      <w:r>
        <w:t>Appendix G — Root-Cause Analysis Guide</w:t>
      </w:r>
    </w:p>
    <w:p>
      <w:pPr>
        <w:spacing w:after="100"/>
      </w:pPr>
      <w:r>
        <w:t>Root cause should explain why the breach could occur and why existing controls did not prevent or detect it earlier.</w:t>
      </w:r>
    </w:p>
    <w:p>
      <w:pPr>
        <w:pStyle w:val="Heading2"/>
      </w:pPr>
      <w:r>
        <w:t>G.1 Immediate cause</w:t>
      </w:r>
    </w:p>
    <w:p>
      <w:pPr>
        <w:spacing w:after="100"/>
      </w:pPr>
      <w:r>
        <w:t>The direct event, such as an approver clicking an unauthorized action, is usually only the starting point.</w:t>
      </w:r>
    </w:p>
    <w:p>
      <w:pPr>
        <w:pStyle w:val="Heading2"/>
      </w:pPr>
      <w:r>
        <w:t>G.2 Contributing conditions</w:t>
      </w:r>
    </w:p>
    <w:p>
      <w:pPr>
        <w:spacing w:after="100"/>
      </w:pPr>
      <w:r>
        <w:t>Consider workload, training, unclear wording, system configuration, conflicting incentives, weak supervision, incomplete data or vendor dependencies.</w:t>
      </w:r>
    </w:p>
    <w:p>
      <w:pPr>
        <w:pStyle w:val="Heading2"/>
      </w:pPr>
      <w:r>
        <w:t>G.3 Control failure</w:t>
      </w:r>
    </w:p>
    <w:p>
      <w:pPr>
        <w:spacing w:after="100"/>
      </w:pPr>
      <w:r>
        <w:t>Identify which preventive or detective control should have stopped or detected the event and why it failed.</w:t>
      </w:r>
    </w:p>
    <w:p>
      <w:pPr>
        <w:pStyle w:val="Heading2"/>
      </w:pPr>
      <w:r>
        <w:t>G.4 Governance cause</w:t>
      </w:r>
    </w:p>
    <w:p>
      <w:pPr>
        <w:spacing w:after="100"/>
      </w:pPr>
      <w:r>
        <w:t>Assess whether ownership, escalation or change management allowed the weakness to persist.</w:t>
      </w:r>
    </w:p>
    <w:p>
      <w:pPr>
        <w:pStyle w:val="Heading2"/>
      </w:pPr>
      <w:r>
        <w:t>G.5 Sustainable correction</w:t>
      </w:r>
    </w:p>
    <w:p>
      <w:pPr>
        <w:spacing w:after="100"/>
      </w:pPr>
      <w:r>
        <w:t>Actions should change the causal condition, not only remind the individual involved.</w:t>
      </w:r>
    </w:p>
    <w:p>
      <w:r>
        <w:br w:type="page"/>
      </w:r>
    </w:p>
    <w:p>
      <w:pPr>
        <w:pStyle w:val="Heading1"/>
      </w:pPr>
      <w:r>
        <w:t>Appendix H — Breach Investigation Plan Template</w:t>
      </w:r>
    </w:p>
    <w:p>
      <w:pPr>
        <w:spacing w:after="100"/>
      </w:pPr>
      <w:r>
        <w:t>C3/C4 investigations shall be planned so evidence collection and interviews are focused on the key questions.</w:t>
      </w:r>
    </w:p>
    <w:tbl>
      <w:tblPr>
        <w:tblStyle w:val="TableGrid"/>
        <w:tblW w:type="auto" w:w="0"/>
        <w:jc w:val="center"/>
        <w:tblLook w:firstColumn="1" w:firstRow="1" w:lastColumn="0" w:lastRow="0" w:noHBand="0" w:noVBand="1" w:val="04A0"/>
      </w:tblPr>
      <w:tblGrid>
        <w:gridCol w:w="5054"/>
        <w:gridCol w:w="5054"/>
      </w:tblGrid>
      <w:tr>
        <w:trPr>
          <w:tblHeader w:val="true"/>
          <w:cantSplit/>
        </w:trPr>
        <w:tc>
          <w:tcPr>
            <w:tcW w:type="dxa" w:w="5054"/>
            <w:vAlign w:val="center"/>
            <w:shd w:fill="17365D"/>
          </w:tcPr>
          <w:p>
            <w:r/>
            <w:r>
              <w:rPr>
                <w:b/>
                <w:color w:val="FFFFFF"/>
                <w:sz w:val="16"/>
              </w:rPr>
              <w:t>Section</w:t>
            </w:r>
          </w:p>
        </w:tc>
        <w:tc>
          <w:tcPr>
            <w:tcW w:type="dxa" w:w="5054"/>
            <w:vAlign w:val="center"/>
            <w:shd w:fill="17365D"/>
          </w:tcPr>
          <w:p>
            <w:r/>
            <w:r>
              <w:rPr>
                <w:b/>
                <w:color w:val="FFFFFF"/>
                <w:sz w:val="16"/>
              </w:rPr>
              <w:t>Required Detail</w:t>
            </w:r>
          </w:p>
        </w:tc>
      </w:tr>
      <w:tr>
        <w:trPr>
          <w:cantSplit/>
        </w:trPr>
        <w:tc>
          <w:tcPr>
            <w:tcW w:type="dxa" w:w="5054"/>
            <w:vAlign w:val="center"/>
          </w:tcPr>
          <w:p>
            <w:r/>
            <w:r>
              <w:rPr>
                <w:b w:val="0"/>
                <w:sz w:val="16"/>
              </w:rPr>
              <w:t>Allegation / issue</w:t>
            </w:r>
          </w:p>
        </w:tc>
        <w:tc>
          <w:tcPr>
            <w:tcW w:type="dxa" w:w="5054"/>
            <w:vAlign w:val="center"/>
          </w:tcPr>
          <w:p>
            <w:r/>
            <w:r>
              <w:rPr>
                <w:b w:val="0"/>
                <w:sz w:val="16"/>
              </w:rPr>
              <w:t>Clear statement of suspected breach</w:t>
            </w:r>
          </w:p>
        </w:tc>
      </w:tr>
      <w:tr>
        <w:trPr>
          <w:cantSplit/>
        </w:trPr>
        <w:tc>
          <w:tcPr>
            <w:tcW w:type="dxa" w:w="5054"/>
            <w:vAlign w:val="center"/>
          </w:tcPr>
          <w:p>
            <w:r/>
            <w:r>
              <w:rPr>
                <w:b w:val="0"/>
                <w:sz w:val="16"/>
              </w:rPr>
              <w:t>Scope period</w:t>
            </w:r>
          </w:p>
        </w:tc>
        <w:tc>
          <w:tcPr>
            <w:tcW w:type="dxa" w:w="5054"/>
            <w:vAlign w:val="center"/>
          </w:tcPr>
          <w:p>
            <w:r/>
            <w:r>
              <w:rPr>
                <w:b w:val="0"/>
                <w:sz w:val="16"/>
              </w:rPr>
              <w:t>Dates and business processes covered</w:t>
            </w:r>
          </w:p>
        </w:tc>
      </w:tr>
      <w:tr>
        <w:trPr>
          <w:cantSplit/>
        </w:trPr>
        <w:tc>
          <w:tcPr>
            <w:tcW w:type="dxa" w:w="5054"/>
            <w:vAlign w:val="center"/>
          </w:tcPr>
          <w:p>
            <w:r/>
            <w:r>
              <w:rPr>
                <w:b w:val="0"/>
                <w:sz w:val="16"/>
              </w:rPr>
              <w:t>Potential population</w:t>
            </w:r>
          </w:p>
        </w:tc>
        <w:tc>
          <w:tcPr>
            <w:tcW w:type="dxa" w:w="5054"/>
            <w:vAlign w:val="center"/>
          </w:tcPr>
          <w:p>
            <w:r/>
            <w:r>
              <w:rPr>
                <w:b w:val="0"/>
                <w:sz w:val="16"/>
              </w:rPr>
              <w:t>Customers, trades, applications, employees or systems</w:t>
            </w:r>
          </w:p>
        </w:tc>
      </w:tr>
      <w:tr>
        <w:trPr>
          <w:cantSplit/>
        </w:trPr>
        <w:tc>
          <w:tcPr>
            <w:tcW w:type="dxa" w:w="5054"/>
            <w:vAlign w:val="center"/>
          </w:tcPr>
          <w:p>
            <w:r/>
            <w:r>
              <w:rPr>
                <w:b w:val="0"/>
                <w:sz w:val="16"/>
              </w:rPr>
              <w:t>Key questions</w:t>
            </w:r>
          </w:p>
        </w:tc>
        <w:tc>
          <w:tcPr>
            <w:tcW w:type="dxa" w:w="5054"/>
            <w:vAlign w:val="center"/>
          </w:tcPr>
          <w:p>
            <w:r/>
            <w:r>
              <w:rPr>
                <w:b w:val="0"/>
                <w:sz w:val="16"/>
              </w:rPr>
              <w:t>Facts required to reach conclusion</w:t>
            </w:r>
          </w:p>
        </w:tc>
      </w:tr>
      <w:tr>
        <w:trPr>
          <w:cantSplit/>
        </w:trPr>
        <w:tc>
          <w:tcPr>
            <w:tcW w:type="dxa" w:w="5054"/>
            <w:vAlign w:val="center"/>
          </w:tcPr>
          <w:p>
            <w:r/>
            <w:r>
              <w:rPr>
                <w:b w:val="0"/>
                <w:sz w:val="16"/>
              </w:rPr>
              <w:t>Evidence sources</w:t>
            </w:r>
          </w:p>
        </w:tc>
        <w:tc>
          <w:tcPr>
            <w:tcW w:type="dxa" w:w="5054"/>
            <w:vAlign w:val="center"/>
          </w:tcPr>
          <w:p>
            <w:r/>
            <w:r>
              <w:rPr>
                <w:b w:val="0"/>
                <w:sz w:val="16"/>
              </w:rPr>
              <w:t>Systems, documents, communications, third parties</w:t>
            </w:r>
          </w:p>
        </w:tc>
      </w:tr>
      <w:tr>
        <w:trPr>
          <w:cantSplit/>
        </w:trPr>
        <w:tc>
          <w:tcPr>
            <w:tcW w:type="dxa" w:w="5054"/>
            <w:vAlign w:val="center"/>
          </w:tcPr>
          <w:p>
            <w:r/>
            <w:r>
              <w:rPr>
                <w:b w:val="0"/>
                <w:sz w:val="16"/>
              </w:rPr>
              <w:t>Interview plan</w:t>
            </w:r>
          </w:p>
        </w:tc>
        <w:tc>
          <w:tcPr>
            <w:tcW w:type="dxa" w:w="5054"/>
            <w:vAlign w:val="center"/>
          </w:tcPr>
          <w:p>
            <w:r/>
            <w:r>
              <w:rPr>
                <w:b w:val="0"/>
                <w:sz w:val="16"/>
              </w:rPr>
              <w:t>Relevant employees/owners and sequence</w:t>
            </w:r>
          </w:p>
        </w:tc>
      </w:tr>
      <w:tr>
        <w:trPr>
          <w:cantSplit/>
        </w:trPr>
        <w:tc>
          <w:tcPr>
            <w:tcW w:type="dxa" w:w="5054"/>
            <w:vAlign w:val="center"/>
          </w:tcPr>
          <w:p>
            <w:r/>
            <w:r>
              <w:rPr>
                <w:b w:val="0"/>
                <w:sz w:val="16"/>
              </w:rPr>
              <w:t>Specialist support</w:t>
            </w:r>
          </w:p>
        </w:tc>
        <w:tc>
          <w:tcPr>
            <w:tcW w:type="dxa" w:w="5054"/>
            <w:vAlign w:val="center"/>
          </w:tcPr>
          <w:p>
            <w:r/>
            <w:r>
              <w:rPr>
                <w:b w:val="0"/>
                <w:sz w:val="16"/>
              </w:rPr>
              <w:t>Legal, Fraud, AML, HR, Risk, Security, Audit</w:t>
            </w:r>
          </w:p>
        </w:tc>
      </w:tr>
      <w:tr>
        <w:trPr>
          <w:cantSplit/>
        </w:trPr>
        <w:tc>
          <w:tcPr>
            <w:tcW w:type="dxa" w:w="5054"/>
            <w:vAlign w:val="center"/>
          </w:tcPr>
          <w:p>
            <w:r/>
            <w:r>
              <w:rPr>
                <w:b w:val="0"/>
                <w:sz w:val="16"/>
              </w:rPr>
              <w:t>Milestones</w:t>
            </w:r>
          </w:p>
        </w:tc>
        <w:tc>
          <w:tcPr>
            <w:tcW w:type="dxa" w:w="5054"/>
            <w:vAlign w:val="center"/>
          </w:tcPr>
          <w:p>
            <w:r/>
            <w:r>
              <w:rPr>
                <w:b w:val="0"/>
                <w:sz w:val="16"/>
              </w:rPr>
              <w:t>Containment, interim update and final report dates</w:t>
            </w:r>
          </w:p>
        </w:tc>
      </w:tr>
    </w:tbl>
    <w:p/>
    <w:p>
      <w:r>
        <w:br w:type="page"/>
      </w:r>
    </w:p>
    <w:p>
      <w:pPr>
        <w:pStyle w:val="Heading1"/>
      </w:pPr>
      <w:r>
        <w:t>Appendix I — Event-Specific Classification Examples</w:t>
      </w:r>
    </w:p>
    <w:p>
      <w:pPr>
        <w:spacing w:after="100"/>
      </w:pPr>
      <w:r>
        <w:t>The examples below reinforce that impact, scale, intent and control response affect severity.</w:t>
      </w:r>
    </w:p>
    <w:tbl>
      <w:tblPr>
        <w:tblStyle w:val="TableGrid"/>
        <w:tblW w:type="auto" w:w="0"/>
        <w:jc w:val="center"/>
        <w:tblLook w:firstColumn="1" w:firstRow="1" w:lastColumn="0" w:lastRow="0" w:noHBand="0" w:noVBand="1" w:val="04A0"/>
      </w:tblPr>
      <w:tblGrid>
        <w:gridCol w:w="3369"/>
        <w:gridCol w:w="3369"/>
        <w:gridCol w:w="3369"/>
      </w:tblGrid>
      <w:tr>
        <w:trPr>
          <w:tblHeader w:val="true"/>
          <w:cantSplit/>
        </w:trPr>
        <w:tc>
          <w:tcPr>
            <w:tcW w:type="dxa" w:w="3369"/>
            <w:vAlign w:val="center"/>
            <w:shd w:fill="17365D"/>
          </w:tcPr>
          <w:p>
            <w:r/>
            <w:r>
              <w:rPr>
                <w:b/>
                <w:color w:val="FFFFFF"/>
                <w:sz w:val="16"/>
              </w:rPr>
              <w:t>Event</w:t>
            </w:r>
          </w:p>
        </w:tc>
        <w:tc>
          <w:tcPr>
            <w:tcW w:type="dxa" w:w="3369"/>
            <w:vAlign w:val="center"/>
            <w:shd w:fill="17365D"/>
          </w:tcPr>
          <w:p>
            <w:r/>
            <w:r>
              <w:rPr>
                <w:b/>
                <w:color w:val="FFFFFF"/>
                <w:sz w:val="16"/>
              </w:rPr>
              <w:t>Possible Classification</w:t>
            </w:r>
          </w:p>
        </w:tc>
        <w:tc>
          <w:tcPr>
            <w:tcW w:type="dxa" w:w="3369"/>
            <w:vAlign w:val="center"/>
            <w:shd w:fill="17365D"/>
          </w:tcPr>
          <w:p>
            <w:r/>
            <w:r>
              <w:rPr>
                <w:b/>
                <w:color w:val="FFFFFF"/>
                <w:sz w:val="16"/>
              </w:rPr>
              <w:t>Key Drivers</w:t>
            </w:r>
          </w:p>
        </w:tc>
      </w:tr>
      <w:tr>
        <w:trPr>
          <w:cantSplit/>
        </w:trPr>
        <w:tc>
          <w:tcPr>
            <w:tcW w:type="dxa" w:w="3369"/>
            <w:vAlign w:val="center"/>
          </w:tcPr>
          <w:p>
            <w:r/>
            <w:r>
              <w:rPr>
                <w:b w:val="0"/>
                <w:sz w:val="16"/>
              </w:rPr>
              <w:t>Loan approved ₹2 lakh above current officer authority; caught before disbursement</w:t>
            </w:r>
          </w:p>
        </w:tc>
        <w:tc>
          <w:tcPr>
            <w:tcW w:type="dxa" w:w="3369"/>
            <w:vAlign w:val="center"/>
          </w:tcPr>
          <w:p>
            <w:r/>
            <w:r>
              <w:rPr>
                <w:b w:val="0"/>
                <w:sz w:val="16"/>
              </w:rPr>
              <w:t>C2/C3 near miss</w:t>
            </w:r>
          </w:p>
        </w:tc>
        <w:tc>
          <w:tcPr>
            <w:tcW w:type="dxa" w:w="3369"/>
            <w:vAlign w:val="center"/>
          </w:tcPr>
          <w:p>
            <w:r/>
            <w:r>
              <w:rPr>
                <w:b w:val="0"/>
                <w:sz w:val="16"/>
              </w:rPr>
              <w:t>Authority gap, containment, repeat history</w:t>
            </w:r>
          </w:p>
        </w:tc>
      </w:tr>
      <w:tr>
        <w:trPr>
          <w:cantSplit/>
        </w:trPr>
        <w:tc>
          <w:tcPr>
            <w:tcW w:type="dxa" w:w="3369"/>
            <w:vAlign w:val="center"/>
          </w:tcPr>
          <w:p>
            <w:r/>
            <w:r>
              <w:rPr>
                <w:b w:val="0"/>
                <w:sz w:val="16"/>
              </w:rPr>
              <w:t>Loan disbursed above authority after checker warning was overridden</w:t>
            </w:r>
          </w:p>
        </w:tc>
        <w:tc>
          <w:tcPr>
            <w:tcW w:type="dxa" w:w="3369"/>
            <w:vAlign w:val="center"/>
          </w:tcPr>
          <w:p>
            <w:r/>
            <w:r>
              <w:rPr>
                <w:b w:val="0"/>
                <w:sz w:val="16"/>
              </w:rPr>
              <w:t>C3/C4</w:t>
            </w:r>
          </w:p>
        </w:tc>
        <w:tc>
          <w:tcPr>
            <w:tcW w:type="dxa" w:w="3369"/>
            <w:vAlign w:val="center"/>
          </w:tcPr>
          <w:p>
            <w:r/>
            <w:r>
              <w:rPr>
                <w:b w:val="0"/>
                <w:sz w:val="16"/>
              </w:rPr>
              <w:t>Deliberate override, financial exposure, governance</w:t>
            </w:r>
          </w:p>
        </w:tc>
      </w:tr>
      <w:tr>
        <w:trPr>
          <w:cantSplit/>
        </w:trPr>
        <w:tc>
          <w:tcPr>
            <w:tcW w:type="dxa" w:w="3369"/>
            <w:vAlign w:val="center"/>
          </w:tcPr>
          <w:p>
            <w:r/>
            <w:r>
              <w:rPr>
                <w:b w:val="0"/>
                <w:sz w:val="16"/>
              </w:rPr>
              <w:t>Investment passive limit breach from market move, escalated same day</w:t>
            </w:r>
          </w:p>
        </w:tc>
        <w:tc>
          <w:tcPr>
            <w:tcW w:type="dxa" w:w="3369"/>
            <w:vAlign w:val="center"/>
          </w:tcPr>
          <w:p>
            <w:r/>
            <w:r>
              <w:rPr>
                <w:b w:val="0"/>
                <w:sz w:val="16"/>
              </w:rPr>
              <w:t>Risk breach; no compliance breach if controls worked</w:t>
            </w:r>
          </w:p>
        </w:tc>
        <w:tc>
          <w:tcPr>
            <w:tcW w:type="dxa" w:w="3369"/>
            <w:vAlign w:val="center"/>
          </w:tcPr>
          <w:p>
            <w:r/>
            <w:r>
              <w:rPr>
                <w:b w:val="0"/>
                <w:sz w:val="16"/>
              </w:rPr>
              <w:t>No control failure</w:t>
            </w:r>
          </w:p>
        </w:tc>
      </w:tr>
      <w:tr>
        <w:trPr>
          <w:cantSplit/>
        </w:trPr>
        <w:tc>
          <w:tcPr>
            <w:tcW w:type="dxa" w:w="3369"/>
            <w:vAlign w:val="center"/>
          </w:tcPr>
          <w:p>
            <w:r/>
            <w:r>
              <w:rPr>
                <w:b w:val="0"/>
                <w:sz w:val="16"/>
              </w:rPr>
              <w:t>Investment active breach caused by trade without required exception</w:t>
            </w:r>
          </w:p>
        </w:tc>
        <w:tc>
          <w:tcPr>
            <w:tcW w:type="dxa" w:w="3369"/>
            <w:vAlign w:val="center"/>
          </w:tcPr>
          <w:p>
            <w:r/>
            <w:r>
              <w:rPr>
                <w:b w:val="0"/>
                <w:sz w:val="16"/>
              </w:rPr>
              <w:t>C3</w:t>
            </w:r>
          </w:p>
        </w:tc>
        <w:tc>
          <w:tcPr>
            <w:tcW w:type="dxa" w:w="3369"/>
            <w:vAlign w:val="center"/>
          </w:tcPr>
          <w:p>
            <w:r/>
            <w:r>
              <w:rPr>
                <w:b w:val="0"/>
                <w:sz w:val="16"/>
              </w:rPr>
              <w:t>Authority/policy failure and value</w:t>
            </w:r>
          </w:p>
        </w:tc>
      </w:tr>
      <w:tr>
        <w:trPr>
          <w:cantSplit/>
        </w:trPr>
        <w:tc>
          <w:tcPr>
            <w:tcW w:type="dxa" w:w="3369"/>
            <w:vAlign w:val="center"/>
          </w:tcPr>
          <w:p>
            <w:r/>
            <w:r>
              <w:rPr>
                <w:b w:val="0"/>
                <w:sz w:val="16"/>
              </w:rPr>
              <w:t>High-risk KYC review 20 days overdue but customer restricted throughout</w:t>
            </w:r>
          </w:p>
        </w:tc>
        <w:tc>
          <w:tcPr>
            <w:tcW w:type="dxa" w:w="3369"/>
            <w:vAlign w:val="center"/>
          </w:tcPr>
          <w:p>
            <w:r/>
            <w:r>
              <w:rPr>
                <w:b w:val="0"/>
                <w:sz w:val="16"/>
              </w:rPr>
              <w:t>C2</w:t>
            </w:r>
          </w:p>
        </w:tc>
        <w:tc>
          <w:tcPr>
            <w:tcW w:type="dxa" w:w="3369"/>
            <w:vAlign w:val="center"/>
          </w:tcPr>
          <w:p>
            <w:r/>
            <w:r>
              <w:rPr>
                <w:b w:val="0"/>
                <w:sz w:val="16"/>
              </w:rPr>
              <w:t>Control timeliness weakness with containment</w:t>
            </w:r>
          </w:p>
        </w:tc>
      </w:tr>
      <w:tr>
        <w:trPr>
          <w:cantSplit/>
        </w:trPr>
        <w:tc>
          <w:tcPr>
            <w:tcW w:type="dxa" w:w="3369"/>
            <w:vAlign w:val="center"/>
          </w:tcPr>
          <w:p>
            <w:r/>
            <w:r>
              <w:rPr>
                <w:b w:val="0"/>
                <w:sz w:val="16"/>
              </w:rPr>
              <w:t>Restricted KYC customer allowed new disbursement</w:t>
            </w:r>
          </w:p>
        </w:tc>
        <w:tc>
          <w:tcPr>
            <w:tcW w:type="dxa" w:w="3369"/>
            <w:vAlign w:val="center"/>
          </w:tcPr>
          <w:p>
            <w:r/>
            <w:r>
              <w:rPr>
                <w:b w:val="0"/>
                <w:sz w:val="16"/>
              </w:rPr>
              <w:t>C3/C4</w:t>
            </w:r>
          </w:p>
        </w:tc>
        <w:tc>
          <w:tcPr>
            <w:tcW w:type="dxa" w:w="3369"/>
            <w:vAlign w:val="center"/>
          </w:tcPr>
          <w:p>
            <w:r/>
            <w:r>
              <w:rPr>
                <w:b w:val="0"/>
                <w:sz w:val="16"/>
              </w:rPr>
              <w:t>Specialist restriction bypass and potential financial-crime risk</w:t>
            </w:r>
          </w:p>
        </w:tc>
      </w:tr>
      <w:tr>
        <w:trPr>
          <w:cantSplit/>
        </w:trPr>
        <w:tc>
          <w:tcPr>
            <w:tcW w:type="dxa" w:w="3369"/>
            <w:vAlign w:val="center"/>
          </w:tcPr>
          <w:p>
            <w:r/>
            <w:r>
              <w:rPr>
                <w:b w:val="0"/>
                <w:sz w:val="16"/>
              </w:rPr>
              <w:t>Gift ₹5,500 accepted without approval on 2 Mar 2026</w:t>
            </w:r>
          </w:p>
        </w:tc>
        <w:tc>
          <w:tcPr>
            <w:tcW w:type="dxa" w:w="3369"/>
            <w:vAlign w:val="center"/>
          </w:tcPr>
          <w:p>
            <w:r/>
            <w:r>
              <w:rPr>
                <w:b w:val="0"/>
                <w:sz w:val="16"/>
              </w:rPr>
              <w:t>C1/C2 depending context</w:t>
            </w:r>
          </w:p>
        </w:tc>
        <w:tc>
          <w:tcPr>
            <w:tcW w:type="dxa" w:w="3369"/>
            <w:vAlign w:val="center"/>
          </w:tcPr>
          <w:p>
            <w:r/>
            <w:r>
              <w:rPr>
                <w:b w:val="0"/>
                <w:sz w:val="16"/>
              </w:rPr>
              <w:t>Small threshold exceedance; conflict context matters</w:t>
            </w:r>
          </w:p>
        </w:tc>
      </w:tr>
      <w:tr>
        <w:trPr>
          <w:cantSplit/>
        </w:trPr>
        <w:tc>
          <w:tcPr>
            <w:tcW w:type="dxa" w:w="3369"/>
            <w:vAlign w:val="center"/>
          </w:tcPr>
          <w:p>
            <w:r/>
            <w:r>
              <w:rPr>
                <w:b w:val="0"/>
                <w:sz w:val="16"/>
              </w:rPr>
              <w:t>Gift ₹4,000 from bidder during procurement</w:t>
            </w:r>
          </w:p>
        </w:tc>
        <w:tc>
          <w:tcPr>
            <w:tcW w:type="dxa" w:w="3369"/>
            <w:vAlign w:val="center"/>
          </w:tcPr>
          <w:p>
            <w:r/>
            <w:r>
              <w:rPr>
                <w:b w:val="0"/>
                <w:sz w:val="16"/>
              </w:rPr>
              <w:t>Potential C2/C3</w:t>
            </w:r>
          </w:p>
        </w:tc>
        <w:tc>
          <w:tcPr>
            <w:tcW w:type="dxa" w:w="3369"/>
            <w:vAlign w:val="center"/>
          </w:tcPr>
          <w:p>
            <w:r/>
            <w:r>
              <w:rPr>
                <w:b w:val="0"/>
                <w:sz w:val="16"/>
              </w:rPr>
              <w:t>Conflict context outweighs amount threshold</w:t>
            </w:r>
          </w:p>
        </w:tc>
      </w:tr>
    </w:tbl>
    <w:p/>
    <w:p>
      <w:r>
        <w:br w:type="page"/>
      </w:r>
    </w:p>
    <w:p>
      <w:pPr>
        <w:pStyle w:val="Heading1"/>
      </w:pPr>
      <w:r>
        <w:t>Appendix J — Breach Action Plan Governance</w:t>
      </w:r>
    </w:p>
    <w:p>
      <w:pPr>
        <w:spacing w:after="100"/>
      </w:pPr>
      <w:r>
        <w:t>Material breach actions should be monitored as a portfolio so overdue or repeatedly extended actions become visible to management.</w:t>
      </w:r>
    </w:p>
    <w:tbl>
      <w:tblPr>
        <w:tblStyle w:val="TableGrid"/>
        <w:tblW w:type="auto" w:w="0"/>
        <w:jc w:val="center"/>
        <w:tblLook w:firstColumn="1" w:firstRow="1" w:lastColumn="0" w:lastRow="0" w:noHBand="0" w:noVBand="1" w:val="04A0"/>
      </w:tblPr>
      <w:tblGrid>
        <w:gridCol w:w="3369"/>
        <w:gridCol w:w="3369"/>
        <w:gridCol w:w="3369"/>
      </w:tblGrid>
      <w:tr>
        <w:trPr>
          <w:tblHeader w:val="true"/>
          <w:cantSplit/>
        </w:trPr>
        <w:tc>
          <w:tcPr>
            <w:tcW w:type="dxa" w:w="3369"/>
            <w:vAlign w:val="center"/>
            <w:shd w:fill="17365D"/>
          </w:tcPr>
          <w:p>
            <w:r/>
            <w:r>
              <w:rPr>
                <w:b/>
                <w:color w:val="FFFFFF"/>
                <w:sz w:val="16"/>
              </w:rPr>
              <w:t>Status</w:t>
            </w:r>
          </w:p>
        </w:tc>
        <w:tc>
          <w:tcPr>
            <w:tcW w:type="dxa" w:w="3369"/>
            <w:vAlign w:val="center"/>
            <w:shd w:fill="17365D"/>
          </w:tcPr>
          <w:p>
            <w:r/>
            <w:r>
              <w:rPr>
                <w:b/>
                <w:color w:val="FFFFFF"/>
                <w:sz w:val="16"/>
              </w:rPr>
              <w:t>Meaning</w:t>
            </w:r>
          </w:p>
        </w:tc>
        <w:tc>
          <w:tcPr>
            <w:tcW w:type="dxa" w:w="3369"/>
            <w:vAlign w:val="center"/>
            <w:shd w:fill="17365D"/>
          </w:tcPr>
          <w:p>
            <w:r/>
            <w:r>
              <w:rPr>
                <w:b/>
                <w:color w:val="FFFFFF"/>
                <w:sz w:val="16"/>
              </w:rPr>
              <w:t>Treatment</w:t>
            </w:r>
          </w:p>
        </w:tc>
      </w:tr>
      <w:tr>
        <w:trPr>
          <w:cantSplit/>
        </w:trPr>
        <w:tc>
          <w:tcPr>
            <w:tcW w:type="dxa" w:w="3369"/>
            <w:vAlign w:val="center"/>
          </w:tcPr>
          <w:p>
            <w:r/>
            <w:r>
              <w:rPr>
                <w:b w:val="0"/>
                <w:sz w:val="16"/>
              </w:rPr>
              <w:t>Open — on track</w:t>
            </w:r>
          </w:p>
        </w:tc>
        <w:tc>
          <w:tcPr>
            <w:tcW w:type="dxa" w:w="3369"/>
            <w:vAlign w:val="center"/>
          </w:tcPr>
          <w:p>
            <w:r/>
            <w:r>
              <w:rPr>
                <w:b w:val="0"/>
                <w:sz w:val="16"/>
              </w:rPr>
              <w:t>Milestones and due date remain credible</w:t>
            </w:r>
          </w:p>
        </w:tc>
        <w:tc>
          <w:tcPr>
            <w:tcW w:type="dxa" w:w="3369"/>
            <w:vAlign w:val="center"/>
          </w:tcPr>
          <w:p>
            <w:r/>
            <w:r>
              <w:rPr>
                <w:b w:val="0"/>
                <w:sz w:val="16"/>
              </w:rPr>
              <w:t>Routine monitoring</w:t>
            </w:r>
          </w:p>
        </w:tc>
      </w:tr>
      <w:tr>
        <w:trPr>
          <w:cantSplit/>
        </w:trPr>
        <w:tc>
          <w:tcPr>
            <w:tcW w:type="dxa" w:w="3369"/>
            <w:vAlign w:val="center"/>
          </w:tcPr>
          <w:p>
            <w:r/>
            <w:r>
              <w:rPr>
                <w:b w:val="0"/>
                <w:sz w:val="16"/>
              </w:rPr>
              <w:t>Open — at risk</w:t>
            </w:r>
          </w:p>
        </w:tc>
        <w:tc>
          <w:tcPr>
            <w:tcW w:type="dxa" w:w="3369"/>
            <w:vAlign w:val="center"/>
          </w:tcPr>
          <w:p>
            <w:r/>
            <w:r>
              <w:rPr>
                <w:b w:val="0"/>
                <w:sz w:val="16"/>
              </w:rPr>
              <w:t>Evidence indicates likely delay</w:t>
            </w:r>
          </w:p>
        </w:tc>
        <w:tc>
          <w:tcPr>
            <w:tcW w:type="dxa" w:w="3369"/>
            <w:vAlign w:val="center"/>
          </w:tcPr>
          <w:p>
            <w:r/>
            <w:r>
              <w:rPr>
                <w:b w:val="0"/>
                <w:sz w:val="16"/>
              </w:rPr>
              <w:t>Escalate to owner and agree recovery plan</w:t>
            </w:r>
          </w:p>
        </w:tc>
      </w:tr>
      <w:tr>
        <w:trPr>
          <w:cantSplit/>
        </w:trPr>
        <w:tc>
          <w:tcPr>
            <w:tcW w:type="dxa" w:w="3369"/>
            <w:vAlign w:val="center"/>
          </w:tcPr>
          <w:p>
            <w:r/>
            <w:r>
              <w:rPr>
                <w:b w:val="0"/>
                <w:sz w:val="16"/>
              </w:rPr>
              <w:t>Overdue</w:t>
            </w:r>
          </w:p>
        </w:tc>
        <w:tc>
          <w:tcPr>
            <w:tcW w:type="dxa" w:w="3369"/>
            <w:vAlign w:val="center"/>
          </w:tcPr>
          <w:p>
            <w:r/>
            <w:r>
              <w:rPr>
                <w:b w:val="0"/>
                <w:sz w:val="16"/>
              </w:rPr>
              <w:t>Past approved date without closure</w:t>
            </w:r>
          </w:p>
        </w:tc>
        <w:tc>
          <w:tcPr>
            <w:tcW w:type="dxa" w:w="3369"/>
            <w:vAlign w:val="center"/>
          </w:tcPr>
          <w:p>
            <w:r/>
            <w:r>
              <w:rPr>
                <w:b w:val="0"/>
                <w:sz w:val="16"/>
              </w:rPr>
              <w:t>Governance escalation</w:t>
            </w:r>
          </w:p>
        </w:tc>
      </w:tr>
      <w:tr>
        <w:trPr>
          <w:cantSplit/>
        </w:trPr>
        <w:tc>
          <w:tcPr>
            <w:tcW w:type="dxa" w:w="3369"/>
            <w:vAlign w:val="center"/>
          </w:tcPr>
          <w:p>
            <w:r/>
            <w:r>
              <w:rPr>
                <w:b w:val="0"/>
                <w:sz w:val="16"/>
              </w:rPr>
              <w:t>Extended</w:t>
            </w:r>
          </w:p>
        </w:tc>
        <w:tc>
          <w:tcPr>
            <w:tcW w:type="dxa" w:w="3369"/>
            <w:vAlign w:val="center"/>
          </w:tcPr>
          <w:p>
            <w:r/>
            <w:r>
              <w:rPr>
                <w:b w:val="0"/>
                <w:sz w:val="16"/>
              </w:rPr>
              <w:t>New date formally approved before/after lapse as documented</w:t>
            </w:r>
          </w:p>
        </w:tc>
        <w:tc>
          <w:tcPr>
            <w:tcW w:type="dxa" w:w="3369"/>
            <w:vAlign w:val="center"/>
          </w:tcPr>
          <w:p>
            <w:r/>
            <w:r>
              <w:rPr>
                <w:b w:val="0"/>
                <w:sz w:val="16"/>
              </w:rPr>
              <w:t>Retain original due date and reason</w:t>
            </w:r>
          </w:p>
        </w:tc>
      </w:tr>
      <w:tr>
        <w:trPr>
          <w:cantSplit/>
        </w:trPr>
        <w:tc>
          <w:tcPr>
            <w:tcW w:type="dxa" w:w="3369"/>
            <w:vAlign w:val="center"/>
          </w:tcPr>
          <w:p>
            <w:r/>
            <w:r>
              <w:rPr>
                <w:b w:val="0"/>
                <w:sz w:val="16"/>
              </w:rPr>
              <w:t>Risk accepted</w:t>
            </w:r>
          </w:p>
        </w:tc>
        <w:tc>
          <w:tcPr>
            <w:tcW w:type="dxa" w:w="3369"/>
            <w:vAlign w:val="center"/>
          </w:tcPr>
          <w:p>
            <w:r/>
            <w:r>
              <w:rPr>
                <w:b w:val="0"/>
                <w:sz w:val="16"/>
              </w:rPr>
              <w:t>Residual risk explicitly accepted under RMF/RAS governance</w:t>
            </w:r>
          </w:p>
        </w:tc>
        <w:tc>
          <w:tcPr>
            <w:tcW w:type="dxa" w:w="3369"/>
            <w:vAlign w:val="center"/>
          </w:tcPr>
          <w:p>
            <w:r/>
            <w:r>
              <w:rPr>
                <w:b w:val="0"/>
                <w:sz w:val="16"/>
              </w:rPr>
              <w:t>Track expiry/conditions</w:t>
            </w:r>
          </w:p>
        </w:tc>
      </w:tr>
      <w:tr>
        <w:trPr>
          <w:cantSplit/>
        </w:trPr>
        <w:tc>
          <w:tcPr>
            <w:tcW w:type="dxa" w:w="3369"/>
            <w:vAlign w:val="center"/>
          </w:tcPr>
          <w:p>
            <w:r/>
            <w:r>
              <w:rPr>
                <w:b w:val="0"/>
                <w:sz w:val="16"/>
              </w:rPr>
              <w:t>Closed</w:t>
            </w:r>
          </w:p>
        </w:tc>
        <w:tc>
          <w:tcPr>
            <w:tcW w:type="dxa" w:w="3369"/>
            <w:vAlign w:val="center"/>
          </w:tcPr>
          <w:p>
            <w:r/>
            <w:r>
              <w:rPr>
                <w:b w:val="0"/>
                <w:sz w:val="16"/>
              </w:rPr>
              <w:t>Implementation and validation evidence complete</w:t>
            </w:r>
          </w:p>
        </w:tc>
        <w:tc>
          <w:tcPr>
            <w:tcW w:type="dxa" w:w="3369"/>
            <w:vAlign w:val="center"/>
          </w:tcPr>
          <w:p>
            <w:r/>
            <w:r>
              <w:rPr>
                <w:b w:val="0"/>
                <w:sz w:val="16"/>
              </w:rPr>
              <w:t>Preserve closure record</w:t>
            </w:r>
          </w:p>
        </w:tc>
      </w:tr>
    </w:tbl>
    <w:p/>
    <w:p>
      <w:r>
        <w:br w:type="page"/>
      </w:r>
    </w:p>
    <w:p>
      <w:pPr>
        <w:pStyle w:val="Heading1"/>
      </w:pPr>
      <w:r>
        <w:t>Appendix K — Closure Validation Tests</w:t>
      </w:r>
    </w:p>
    <w:p>
      <w:pPr>
        <w:spacing w:after="100"/>
      </w:pPr>
      <w:r>
        <w:t>Validation depth depends on severity and nature of remediation.</w:t>
      </w:r>
    </w:p>
    <w:tbl>
      <w:tblPr>
        <w:tblStyle w:val="TableGrid"/>
        <w:tblW w:type="auto" w:w="0"/>
        <w:jc w:val="center"/>
        <w:tblLook w:firstColumn="1" w:firstRow="1" w:lastColumn="0" w:lastRow="0" w:noHBand="0" w:noVBand="1" w:val="04A0"/>
      </w:tblPr>
      <w:tblGrid>
        <w:gridCol w:w="5054"/>
        <w:gridCol w:w="5054"/>
      </w:tblGrid>
      <w:tr>
        <w:trPr>
          <w:tblHeader w:val="true"/>
          <w:cantSplit/>
        </w:trPr>
        <w:tc>
          <w:tcPr>
            <w:tcW w:type="dxa" w:w="5054"/>
            <w:vAlign w:val="center"/>
            <w:shd w:fill="17365D"/>
          </w:tcPr>
          <w:p>
            <w:r/>
            <w:r>
              <w:rPr>
                <w:b/>
                <w:color w:val="FFFFFF"/>
                <w:sz w:val="16"/>
              </w:rPr>
              <w:t>Remediation</w:t>
            </w:r>
          </w:p>
        </w:tc>
        <w:tc>
          <w:tcPr>
            <w:tcW w:type="dxa" w:w="5054"/>
            <w:vAlign w:val="center"/>
            <w:shd w:fill="17365D"/>
          </w:tcPr>
          <w:p>
            <w:r/>
            <w:r>
              <w:rPr>
                <w:b/>
                <w:color w:val="FFFFFF"/>
                <w:sz w:val="16"/>
              </w:rPr>
              <w:t>Validation</w:t>
            </w:r>
          </w:p>
        </w:tc>
      </w:tr>
      <w:tr>
        <w:trPr>
          <w:cantSplit/>
        </w:trPr>
        <w:tc>
          <w:tcPr>
            <w:tcW w:type="dxa" w:w="5054"/>
            <w:vAlign w:val="center"/>
          </w:tcPr>
          <w:p>
            <w:r/>
            <w:r>
              <w:rPr>
                <w:b w:val="0"/>
                <w:sz w:val="16"/>
              </w:rPr>
              <w:t>System rule corrected</w:t>
            </w:r>
          </w:p>
        </w:tc>
        <w:tc>
          <w:tcPr>
            <w:tcW w:type="dxa" w:w="5054"/>
            <w:vAlign w:val="center"/>
          </w:tcPr>
          <w:p>
            <w:r/>
            <w:r>
              <w:rPr>
                <w:b w:val="0"/>
                <w:sz w:val="16"/>
              </w:rPr>
              <w:t>Reperform positive/negative test cases and confirm production configuration</w:t>
            </w:r>
          </w:p>
        </w:tc>
      </w:tr>
      <w:tr>
        <w:trPr>
          <w:cantSplit/>
        </w:trPr>
        <w:tc>
          <w:tcPr>
            <w:tcW w:type="dxa" w:w="5054"/>
            <w:vAlign w:val="center"/>
          </w:tcPr>
          <w:p>
            <w:r/>
            <w:r>
              <w:rPr>
                <w:b w:val="0"/>
                <w:sz w:val="16"/>
              </w:rPr>
              <w:t>Authority access corrected</w:t>
            </w:r>
          </w:p>
        </w:tc>
        <w:tc>
          <w:tcPr>
            <w:tcW w:type="dxa" w:w="5054"/>
            <w:vAlign w:val="center"/>
          </w:tcPr>
          <w:p>
            <w:r/>
            <w:r>
              <w:rPr>
                <w:b w:val="0"/>
                <w:sz w:val="16"/>
              </w:rPr>
              <w:t>Reconcile system entitlements to controlled schedule and sample decisions</w:t>
            </w:r>
          </w:p>
        </w:tc>
      </w:tr>
      <w:tr>
        <w:trPr>
          <w:cantSplit/>
        </w:trPr>
        <w:tc>
          <w:tcPr>
            <w:tcW w:type="dxa" w:w="5054"/>
            <w:vAlign w:val="center"/>
          </w:tcPr>
          <w:p>
            <w:r/>
            <w:r>
              <w:rPr>
                <w:b w:val="0"/>
                <w:sz w:val="16"/>
              </w:rPr>
              <w:t>Procedure revised</w:t>
            </w:r>
          </w:p>
        </w:tc>
        <w:tc>
          <w:tcPr>
            <w:tcW w:type="dxa" w:w="5054"/>
            <w:vAlign w:val="center"/>
          </w:tcPr>
          <w:p>
            <w:r/>
            <w:r>
              <w:rPr>
                <w:b w:val="0"/>
                <w:sz w:val="16"/>
              </w:rPr>
              <w:t>Confirm effective document, communication and observed use in sampled cases</w:t>
            </w:r>
          </w:p>
        </w:tc>
      </w:tr>
      <w:tr>
        <w:trPr>
          <w:cantSplit/>
        </w:trPr>
        <w:tc>
          <w:tcPr>
            <w:tcW w:type="dxa" w:w="5054"/>
            <w:vAlign w:val="center"/>
          </w:tcPr>
          <w:p>
            <w:r/>
            <w:r>
              <w:rPr>
                <w:b w:val="0"/>
                <w:sz w:val="16"/>
              </w:rPr>
              <w:t>Population remediation</w:t>
            </w:r>
          </w:p>
        </w:tc>
        <w:tc>
          <w:tcPr>
            <w:tcW w:type="dxa" w:w="5054"/>
            <w:vAlign w:val="center"/>
          </w:tcPr>
          <w:p>
            <w:r/>
            <w:r>
              <w:rPr>
                <w:b w:val="0"/>
                <w:sz w:val="16"/>
              </w:rPr>
              <w:t>Reconcile identified population to completed corrections/refunds</w:t>
            </w:r>
          </w:p>
        </w:tc>
      </w:tr>
      <w:tr>
        <w:trPr>
          <w:cantSplit/>
        </w:trPr>
        <w:tc>
          <w:tcPr>
            <w:tcW w:type="dxa" w:w="5054"/>
            <w:vAlign w:val="center"/>
          </w:tcPr>
          <w:p>
            <w:r/>
            <w:r>
              <w:rPr>
                <w:b w:val="0"/>
                <w:sz w:val="16"/>
              </w:rPr>
              <w:t>Training completed</w:t>
            </w:r>
          </w:p>
        </w:tc>
        <w:tc>
          <w:tcPr>
            <w:tcW w:type="dxa" w:w="5054"/>
            <w:vAlign w:val="center"/>
          </w:tcPr>
          <w:p>
            <w:r/>
            <w:r>
              <w:rPr>
                <w:b w:val="0"/>
                <w:sz w:val="16"/>
              </w:rPr>
              <w:t>Confirm required population, completion, knowledge check and overdue handling</w:t>
            </w:r>
          </w:p>
        </w:tc>
      </w:tr>
      <w:tr>
        <w:trPr>
          <w:cantSplit/>
        </w:trPr>
        <w:tc>
          <w:tcPr>
            <w:tcW w:type="dxa" w:w="5054"/>
            <w:vAlign w:val="center"/>
          </w:tcPr>
          <w:p>
            <w:r/>
            <w:r>
              <w:rPr>
                <w:b w:val="0"/>
                <w:sz w:val="16"/>
              </w:rPr>
              <w:t>Monitoring implemented</w:t>
            </w:r>
          </w:p>
        </w:tc>
        <w:tc>
          <w:tcPr>
            <w:tcW w:type="dxa" w:w="5054"/>
            <w:vAlign w:val="center"/>
          </w:tcPr>
          <w:p>
            <w:r/>
            <w:r>
              <w:rPr>
                <w:b w:val="0"/>
                <w:sz w:val="16"/>
              </w:rPr>
              <w:t>Review first recurring outputs and evidence of escalation where thresholds are hit</w:t>
            </w:r>
          </w:p>
        </w:tc>
      </w:tr>
    </w:tbl>
    <w:p/>
    <w:p>
      <w:r>
        <w:br w:type="page"/>
      </w:r>
    </w:p>
    <w:p>
      <w:pPr>
        <w:pStyle w:val="Heading1"/>
      </w:pPr>
      <w:r>
        <w:t>Appendix L — Breach Reporting Pack</w:t>
      </w:r>
    </w:p>
    <w:p>
      <w:pPr>
        <w:spacing w:after="100"/>
      </w:pPr>
      <w:r>
        <w:t>The committee pack should focus on decisions, risk and unresolved barriers rather than reproducing the entire case file.</w:t>
      </w:r>
    </w:p>
    <w:tbl>
      <w:tblPr>
        <w:tblStyle w:val="TableGrid"/>
        <w:tblW w:type="auto" w:w="0"/>
        <w:jc w:val="center"/>
        <w:tblLook w:firstColumn="1" w:firstRow="1" w:lastColumn="0" w:lastRow="0" w:noHBand="0" w:noVBand="1" w:val="04A0"/>
      </w:tblPr>
      <w:tblGrid>
        <w:gridCol w:w="5054"/>
        <w:gridCol w:w="5054"/>
      </w:tblGrid>
      <w:tr>
        <w:trPr>
          <w:tblHeader w:val="true"/>
          <w:cantSplit/>
        </w:trPr>
        <w:tc>
          <w:tcPr>
            <w:tcW w:type="dxa" w:w="5054"/>
            <w:vAlign w:val="center"/>
            <w:shd w:fill="17365D"/>
          </w:tcPr>
          <w:p>
            <w:r/>
            <w:r>
              <w:rPr>
                <w:b/>
                <w:color w:val="FFFFFF"/>
                <w:sz w:val="16"/>
              </w:rPr>
              <w:t>Section</w:t>
            </w:r>
          </w:p>
        </w:tc>
        <w:tc>
          <w:tcPr>
            <w:tcW w:type="dxa" w:w="5054"/>
            <w:vAlign w:val="center"/>
            <w:shd w:fill="17365D"/>
          </w:tcPr>
          <w:p>
            <w:r/>
            <w:r>
              <w:rPr>
                <w:b/>
                <w:color w:val="FFFFFF"/>
                <w:sz w:val="16"/>
              </w:rPr>
              <w:t>Content</w:t>
            </w:r>
          </w:p>
        </w:tc>
      </w:tr>
      <w:tr>
        <w:trPr>
          <w:cantSplit/>
        </w:trPr>
        <w:tc>
          <w:tcPr>
            <w:tcW w:type="dxa" w:w="5054"/>
            <w:vAlign w:val="center"/>
          </w:tcPr>
          <w:p>
            <w:r/>
            <w:r>
              <w:rPr>
                <w:b w:val="0"/>
                <w:sz w:val="16"/>
              </w:rPr>
              <w:t>Executive summary</w:t>
            </w:r>
          </w:p>
        </w:tc>
        <w:tc>
          <w:tcPr>
            <w:tcW w:type="dxa" w:w="5054"/>
            <w:vAlign w:val="center"/>
          </w:tcPr>
          <w:p>
            <w:r/>
            <w:r>
              <w:rPr>
                <w:b w:val="0"/>
                <w:sz w:val="16"/>
              </w:rPr>
              <w:t>What happened, current severity and whether contained</w:t>
            </w:r>
          </w:p>
        </w:tc>
      </w:tr>
      <w:tr>
        <w:trPr>
          <w:cantSplit/>
        </w:trPr>
        <w:tc>
          <w:tcPr>
            <w:tcW w:type="dxa" w:w="5054"/>
            <w:vAlign w:val="center"/>
          </w:tcPr>
          <w:p>
            <w:r/>
            <w:r>
              <w:rPr>
                <w:b w:val="0"/>
                <w:sz w:val="16"/>
              </w:rPr>
              <w:t>Requirement / version</w:t>
            </w:r>
          </w:p>
        </w:tc>
        <w:tc>
          <w:tcPr>
            <w:tcW w:type="dxa" w:w="5054"/>
            <w:vAlign w:val="center"/>
          </w:tcPr>
          <w:p>
            <w:r/>
            <w:r>
              <w:rPr>
                <w:b w:val="0"/>
                <w:sz w:val="16"/>
              </w:rPr>
              <w:t>Exact rule and effective date</w:t>
            </w:r>
          </w:p>
        </w:tc>
      </w:tr>
      <w:tr>
        <w:trPr>
          <w:cantSplit/>
        </w:trPr>
        <w:tc>
          <w:tcPr>
            <w:tcW w:type="dxa" w:w="5054"/>
            <w:vAlign w:val="center"/>
          </w:tcPr>
          <w:p>
            <w:r/>
            <w:r>
              <w:rPr>
                <w:b w:val="0"/>
                <w:sz w:val="16"/>
              </w:rPr>
              <w:t>Impact / population</w:t>
            </w:r>
          </w:p>
        </w:tc>
        <w:tc>
          <w:tcPr>
            <w:tcW w:type="dxa" w:w="5054"/>
            <w:vAlign w:val="center"/>
          </w:tcPr>
          <w:p>
            <w:r/>
            <w:r>
              <w:rPr>
                <w:b w:val="0"/>
                <w:sz w:val="16"/>
              </w:rPr>
              <w:t>Known and potential scale</w:t>
            </w:r>
          </w:p>
        </w:tc>
      </w:tr>
      <w:tr>
        <w:trPr>
          <w:cantSplit/>
        </w:trPr>
        <w:tc>
          <w:tcPr>
            <w:tcW w:type="dxa" w:w="5054"/>
            <w:vAlign w:val="center"/>
          </w:tcPr>
          <w:p>
            <w:r/>
            <w:r>
              <w:rPr>
                <w:b w:val="0"/>
                <w:sz w:val="16"/>
              </w:rPr>
              <w:t>Root cause</w:t>
            </w:r>
          </w:p>
        </w:tc>
        <w:tc>
          <w:tcPr>
            <w:tcW w:type="dxa" w:w="5054"/>
            <w:vAlign w:val="center"/>
          </w:tcPr>
          <w:p>
            <w:r/>
            <w:r>
              <w:rPr>
                <w:b w:val="0"/>
                <w:sz w:val="16"/>
              </w:rPr>
              <w:t>Current conclusion and uncertainty</w:t>
            </w:r>
          </w:p>
        </w:tc>
      </w:tr>
      <w:tr>
        <w:trPr>
          <w:cantSplit/>
        </w:trPr>
        <w:tc>
          <w:tcPr>
            <w:tcW w:type="dxa" w:w="5054"/>
            <w:vAlign w:val="center"/>
          </w:tcPr>
          <w:p>
            <w:r/>
            <w:r>
              <w:rPr>
                <w:b w:val="0"/>
                <w:sz w:val="16"/>
              </w:rPr>
              <w:t>Customer remediation</w:t>
            </w:r>
          </w:p>
        </w:tc>
        <w:tc>
          <w:tcPr>
            <w:tcW w:type="dxa" w:w="5054"/>
            <w:vAlign w:val="center"/>
          </w:tcPr>
          <w:p>
            <w:r/>
            <w:r>
              <w:rPr>
                <w:b w:val="0"/>
                <w:sz w:val="16"/>
              </w:rPr>
              <w:t>Status and financial/non-financial action</w:t>
            </w:r>
          </w:p>
        </w:tc>
      </w:tr>
      <w:tr>
        <w:trPr>
          <w:cantSplit/>
        </w:trPr>
        <w:tc>
          <w:tcPr>
            <w:tcW w:type="dxa" w:w="5054"/>
            <w:vAlign w:val="center"/>
          </w:tcPr>
          <w:p>
            <w:r/>
            <w:r>
              <w:rPr>
                <w:b w:val="0"/>
                <w:sz w:val="16"/>
              </w:rPr>
              <w:t>Actions</w:t>
            </w:r>
          </w:p>
        </w:tc>
        <w:tc>
          <w:tcPr>
            <w:tcW w:type="dxa" w:w="5054"/>
            <w:vAlign w:val="center"/>
          </w:tcPr>
          <w:p>
            <w:r/>
            <w:r>
              <w:rPr>
                <w:b w:val="0"/>
                <w:sz w:val="16"/>
              </w:rPr>
              <w:t>Key remediation, overdue items and barriers</w:t>
            </w:r>
          </w:p>
        </w:tc>
      </w:tr>
      <w:tr>
        <w:trPr>
          <w:cantSplit/>
        </w:trPr>
        <w:tc>
          <w:tcPr>
            <w:tcW w:type="dxa" w:w="5054"/>
            <w:vAlign w:val="center"/>
          </w:tcPr>
          <w:p>
            <w:r/>
            <w:r>
              <w:rPr>
                <w:b w:val="0"/>
                <w:sz w:val="16"/>
              </w:rPr>
              <w:t>Risk acceptance</w:t>
            </w:r>
          </w:p>
        </w:tc>
        <w:tc>
          <w:tcPr>
            <w:tcW w:type="dxa" w:w="5054"/>
            <w:vAlign w:val="center"/>
          </w:tcPr>
          <w:p>
            <w:r/>
            <w:r>
              <w:rPr>
                <w:b w:val="0"/>
                <w:sz w:val="16"/>
              </w:rPr>
              <w:t>Any temporary accepted residual risk and expiry</w:t>
            </w:r>
          </w:p>
        </w:tc>
      </w:tr>
      <w:tr>
        <w:trPr>
          <w:cantSplit/>
        </w:trPr>
        <w:tc>
          <w:tcPr>
            <w:tcW w:type="dxa" w:w="5054"/>
            <w:vAlign w:val="center"/>
          </w:tcPr>
          <w:p>
            <w:r/>
            <w:r>
              <w:rPr>
                <w:b w:val="0"/>
                <w:sz w:val="16"/>
              </w:rPr>
              <w:t>Decision required</w:t>
            </w:r>
          </w:p>
        </w:tc>
        <w:tc>
          <w:tcPr>
            <w:tcW w:type="dxa" w:w="5054"/>
            <w:vAlign w:val="center"/>
          </w:tcPr>
          <w:p>
            <w:r/>
            <w:r>
              <w:rPr>
                <w:b w:val="0"/>
                <w:sz w:val="16"/>
              </w:rPr>
              <w:t>Committee approval, challenge or escalation needed</w:t>
            </w:r>
          </w:p>
        </w:tc>
      </w:tr>
    </w:tbl>
    <w:p/>
    <w:sectPr w:rsidR="00FC693F" w:rsidRPr="0006063C" w:rsidSect="00034616">
      <w:headerReference w:type="default" r:id="rId9"/>
      <w:footerReference w:type="default" r:id="rId10"/>
      <w:pgSz w:w="12240" w:h="15840"/>
      <w:pgMar w:top="1037" w:right="1066" w:bottom="979" w:left="106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3"/>
      </w:rPr>
      <w:t>Northstar Financial — Synthetic Internal Document. This document is fictional and created solely for educational and software-development purposes. It does not represent an actual financial institution, regulatory requirement, legal obligation, or financial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NORTHSTAR FINANCIAL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