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Compliance Manual</w:t>
      </w:r>
    </w:p>
    <w:p>
      <w:pPr>
        <w:jc w:val="center"/>
      </w:pPr>
      <w:r>
        <w:rPr>
          <w:sz w:val="20"/>
        </w:rPr>
        <w:t>CMP-012  |  Version 2.1  |  Internal — Confidential</w:t>
      </w:r>
    </w:p>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D9EAF7"/>
          </w:tcPr>
          <w:p>
            <w:r>
              <w:rPr>
                <w:sz w:val="16"/>
              </w:rPr>
            </w:r>
            <w:r>
              <w:rPr>
                <w:b/>
                <w:color w:val="17365D"/>
                <w:sz w:val="17"/>
              </w:rPr>
              <w:t>Document ID</w:t>
            </w:r>
          </w:p>
        </w:tc>
        <w:tc>
          <w:tcPr>
            <w:tcW w:type="dxa" w:w="5155"/>
            <w:vAlign w:val="center"/>
          </w:tcPr>
          <w:p>
            <w:r>
              <w:rPr>
                <w:sz w:val="16"/>
              </w:rPr>
            </w:r>
            <w:r>
              <w:rPr>
                <w:b w:val="0"/>
                <w:sz w:val="17"/>
              </w:rPr>
              <w:t>CMP-012</w:t>
            </w:r>
          </w:p>
        </w:tc>
      </w:tr>
      <w:tr>
        <w:trPr>
          <w:cantSplit/>
        </w:trPr>
        <w:tc>
          <w:tcPr>
            <w:tcW w:type="dxa" w:w="5155"/>
            <w:vAlign w:val="center"/>
            <w:shd w:fill="D9EAF7"/>
          </w:tcPr>
          <w:p>
            <w:r>
              <w:rPr>
                <w:sz w:val="16"/>
              </w:rPr>
            </w:r>
            <w:r>
              <w:rPr>
                <w:b/>
                <w:color w:val="17365D"/>
                <w:sz w:val="17"/>
              </w:rPr>
              <w:t>Document Title</w:t>
            </w:r>
          </w:p>
        </w:tc>
        <w:tc>
          <w:tcPr>
            <w:tcW w:type="dxa" w:w="5155"/>
            <w:vAlign w:val="center"/>
          </w:tcPr>
          <w:p>
            <w:r>
              <w:rPr>
                <w:sz w:val="16"/>
              </w:rPr>
            </w:r>
            <w:r>
              <w:rPr>
                <w:b w:val="0"/>
                <w:sz w:val="17"/>
              </w:rPr>
              <w:t>Compliance Manual</w:t>
            </w:r>
          </w:p>
        </w:tc>
      </w:tr>
      <w:tr>
        <w:trPr>
          <w:cantSplit/>
        </w:trPr>
        <w:tc>
          <w:tcPr>
            <w:tcW w:type="dxa" w:w="5155"/>
            <w:vAlign w:val="center"/>
            <w:shd w:fill="D9EAF7"/>
          </w:tcPr>
          <w:p>
            <w:r>
              <w:rPr>
                <w:sz w:val="16"/>
              </w:rPr>
            </w:r>
            <w:r>
              <w:rPr>
                <w:b/>
                <w:color w:val="17365D"/>
                <w:sz w:val="17"/>
              </w:rPr>
              <w:t>Version</w:t>
            </w:r>
          </w:p>
        </w:tc>
        <w:tc>
          <w:tcPr>
            <w:tcW w:type="dxa" w:w="5155"/>
            <w:vAlign w:val="center"/>
          </w:tcPr>
          <w:p>
            <w:r>
              <w:rPr>
                <w:sz w:val="16"/>
              </w:rPr>
            </w:r>
            <w:r>
              <w:rPr>
                <w:b w:val="0"/>
                <w:sz w:val="17"/>
              </w:rPr>
              <w:t>2.1</w:t>
            </w:r>
          </w:p>
        </w:tc>
      </w:tr>
      <w:tr>
        <w:trPr>
          <w:cantSplit/>
        </w:trPr>
        <w:tc>
          <w:tcPr>
            <w:tcW w:type="dxa" w:w="5155"/>
            <w:vAlign w:val="center"/>
            <w:shd w:fill="D9EAF7"/>
          </w:tcPr>
          <w:p>
            <w:r>
              <w:rPr>
                <w:sz w:val="16"/>
              </w:rPr>
            </w:r>
            <w:r>
              <w:rPr>
                <w:b/>
                <w:color w:val="17365D"/>
                <w:sz w:val="17"/>
              </w:rPr>
              <w:t>Policy Owner</w:t>
            </w:r>
          </w:p>
        </w:tc>
        <w:tc>
          <w:tcPr>
            <w:tcW w:type="dxa" w:w="5155"/>
            <w:vAlign w:val="center"/>
          </w:tcPr>
          <w:p>
            <w:r>
              <w:rPr>
                <w:sz w:val="16"/>
              </w:rPr>
            </w:r>
            <w:r>
              <w:rPr>
                <w:b w:val="0"/>
                <w:sz w:val="17"/>
              </w:rPr>
              <w:t>Sanjay Mehta — Chief Compliance Officer</w:t>
            </w:r>
          </w:p>
        </w:tc>
      </w:tr>
      <w:tr>
        <w:trPr>
          <w:cantSplit/>
        </w:trPr>
        <w:tc>
          <w:tcPr>
            <w:tcW w:type="dxa" w:w="5155"/>
            <w:vAlign w:val="center"/>
            <w:shd w:fill="D9EAF7"/>
          </w:tcPr>
          <w:p>
            <w:r>
              <w:rPr>
                <w:sz w:val="16"/>
              </w:rPr>
            </w:r>
            <w:r>
              <w:rPr>
                <w:b/>
                <w:color w:val="17365D"/>
                <w:sz w:val="17"/>
              </w:rPr>
              <w:t>Business Unit</w:t>
            </w:r>
          </w:p>
        </w:tc>
        <w:tc>
          <w:tcPr>
            <w:tcW w:type="dxa" w:w="5155"/>
            <w:vAlign w:val="center"/>
          </w:tcPr>
          <w:p>
            <w:r>
              <w:rPr>
                <w:sz w:val="16"/>
              </w:rPr>
            </w:r>
            <w:r>
              <w:rPr>
                <w:b w:val="0"/>
                <w:sz w:val="17"/>
              </w:rPr>
              <w:t>Compliance</w:t>
            </w:r>
          </w:p>
        </w:tc>
      </w:tr>
      <w:tr>
        <w:trPr>
          <w:cantSplit/>
        </w:trPr>
        <w:tc>
          <w:tcPr>
            <w:tcW w:type="dxa" w:w="5155"/>
            <w:vAlign w:val="center"/>
            <w:shd w:fill="D9EAF7"/>
          </w:tcPr>
          <w:p>
            <w:r>
              <w:rPr>
                <w:sz w:val="16"/>
              </w:rPr>
            </w:r>
            <w:r>
              <w:rPr>
                <w:b/>
                <w:color w:val="17365D"/>
                <w:sz w:val="17"/>
              </w:rPr>
              <w:t>Approving Authority</w:t>
            </w:r>
          </w:p>
        </w:tc>
        <w:tc>
          <w:tcPr>
            <w:tcW w:type="dxa" w:w="5155"/>
            <w:vAlign w:val="center"/>
          </w:tcPr>
          <w:p>
            <w:r>
              <w:rPr>
                <w:sz w:val="16"/>
              </w:rPr>
            </w:r>
            <w:r>
              <w:rPr>
                <w:b w:val="0"/>
                <w:sz w:val="17"/>
              </w:rPr>
              <w:t>Compliance &amp; Conduct Committee</w:t>
            </w:r>
          </w:p>
        </w:tc>
      </w:tr>
      <w:tr>
        <w:trPr>
          <w:cantSplit/>
        </w:trPr>
        <w:tc>
          <w:tcPr>
            <w:tcW w:type="dxa" w:w="5155"/>
            <w:vAlign w:val="center"/>
            <w:shd w:fill="D9EAF7"/>
          </w:tcPr>
          <w:p>
            <w:r>
              <w:rPr>
                <w:sz w:val="16"/>
              </w:rPr>
            </w:r>
            <w:r>
              <w:rPr>
                <w:b/>
                <w:color w:val="17365D"/>
                <w:sz w:val="17"/>
              </w:rPr>
              <w:t>Effective Date</w:t>
            </w:r>
          </w:p>
        </w:tc>
        <w:tc>
          <w:tcPr>
            <w:tcW w:type="dxa" w:w="5155"/>
            <w:vAlign w:val="center"/>
          </w:tcPr>
          <w:p>
            <w:r>
              <w:rPr>
                <w:sz w:val="16"/>
              </w:rPr>
            </w:r>
            <w:r>
              <w:rPr>
                <w:b w:val="0"/>
                <w:sz w:val="17"/>
              </w:rPr>
              <w:t>1 March 2026</w:t>
            </w:r>
          </w:p>
        </w:tc>
      </w:tr>
      <w:tr>
        <w:trPr>
          <w:cantSplit/>
        </w:trPr>
        <w:tc>
          <w:tcPr>
            <w:tcW w:type="dxa" w:w="5155"/>
            <w:vAlign w:val="center"/>
            <w:shd w:fill="D9EAF7"/>
          </w:tcPr>
          <w:p>
            <w:r>
              <w:rPr>
                <w:sz w:val="16"/>
              </w:rPr>
            </w:r>
            <w:r>
              <w:rPr>
                <w:b/>
                <w:color w:val="17365D"/>
                <w:sz w:val="17"/>
              </w:rPr>
              <w:t>Previous Version</w:t>
            </w:r>
          </w:p>
        </w:tc>
        <w:tc>
          <w:tcPr>
            <w:tcW w:type="dxa" w:w="5155"/>
            <w:vAlign w:val="center"/>
          </w:tcPr>
          <w:p>
            <w:r>
              <w:rPr>
                <w:sz w:val="16"/>
              </w:rPr>
            </w:r>
            <w:r>
              <w:rPr>
                <w:b w:val="0"/>
                <w:sz w:val="17"/>
              </w:rPr>
              <w:t>2.0</w:t>
            </w:r>
          </w:p>
        </w:tc>
      </w:tr>
      <w:tr>
        <w:trPr>
          <w:cantSplit/>
        </w:trPr>
        <w:tc>
          <w:tcPr>
            <w:tcW w:type="dxa" w:w="5155"/>
            <w:vAlign w:val="center"/>
            <w:shd w:fill="D9EAF7"/>
          </w:tcPr>
          <w:p>
            <w:r>
              <w:rPr>
                <w:sz w:val="16"/>
              </w:rPr>
            </w:r>
            <w:r>
              <w:rPr>
                <w:b/>
                <w:color w:val="17365D"/>
                <w:sz w:val="17"/>
              </w:rPr>
              <w:t>Review Frequency</w:t>
            </w:r>
          </w:p>
        </w:tc>
        <w:tc>
          <w:tcPr>
            <w:tcW w:type="dxa" w:w="5155"/>
            <w:vAlign w:val="center"/>
          </w:tcPr>
          <w:p>
            <w:r>
              <w:rPr>
                <w:sz w:val="16"/>
              </w:rPr>
            </w:r>
            <w:r>
              <w:rPr>
                <w:b w:val="0"/>
                <w:sz w:val="17"/>
              </w:rPr>
              <w:t>Annual</w:t>
            </w:r>
          </w:p>
        </w:tc>
      </w:tr>
      <w:tr>
        <w:trPr>
          <w:cantSplit/>
        </w:trPr>
        <w:tc>
          <w:tcPr>
            <w:tcW w:type="dxa" w:w="5155"/>
            <w:vAlign w:val="center"/>
            <w:shd w:fill="D9EAF7"/>
          </w:tcPr>
          <w:p>
            <w:r>
              <w:rPr>
                <w:sz w:val="16"/>
              </w:rPr>
            </w:r>
            <w:r>
              <w:rPr>
                <w:b/>
                <w:color w:val="17365D"/>
                <w:sz w:val="17"/>
              </w:rPr>
              <w:t>Classification</w:t>
            </w:r>
          </w:p>
        </w:tc>
        <w:tc>
          <w:tcPr>
            <w:tcW w:type="dxa" w:w="5155"/>
            <w:vAlign w:val="center"/>
          </w:tcPr>
          <w:p>
            <w:r>
              <w:rPr>
                <w:sz w:val="16"/>
              </w:rPr>
            </w:r>
            <w:r>
              <w:rPr>
                <w:b w:val="0"/>
                <w:sz w:val="17"/>
              </w:rPr>
              <w:t>Internal — Confidential</w:t>
            </w:r>
          </w:p>
        </w:tc>
      </w:tr>
      <w:tr>
        <w:trPr>
          <w:cantSplit/>
        </w:trPr>
        <w:tc>
          <w:tcPr>
            <w:tcW w:type="dxa" w:w="5155"/>
            <w:vAlign w:val="center"/>
            <w:shd w:fill="D9EAF7"/>
          </w:tcPr>
          <w:p>
            <w:r>
              <w:rPr>
                <w:sz w:val="16"/>
              </w:rPr>
            </w:r>
            <w:r>
              <w:rPr>
                <w:b/>
                <w:color w:val="17365D"/>
                <w:sz w:val="17"/>
              </w:rPr>
              <w:t>Status</w:t>
            </w:r>
          </w:p>
        </w:tc>
        <w:tc>
          <w:tcPr>
            <w:tcW w:type="dxa" w:w="5155"/>
            <w:vAlign w:val="center"/>
          </w:tcPr>
          <w:p>
            <w:r>
              <w:rPr>
                <w:sz w:val="16"/>
              </w:rPr>
            </w:r>
            <w:r>
              <w:rPr>
                <w:b w:val="0"/>
                <w:sz w:val="17"/>
              </w:rPr>
              <w:t>Approved</w:t>
            </w:r>
          </w:p>
        </w:tc>
      </w:tr>
      <w:tr>
        <w:trPr>
          <w:cantSplit/>
        </w:trPr>
        <w:tc>
          <w:tcPr>
            <w:tcW w:type="dxa" w:w="5155"/>
            <w:vAlign w:val="center"/>
            <w:shd w:fill="D9EAF7"/>
          </w:tcPr>
          <w:p>
            <w:r>
              <w:rPr>
                <w:sz w:val="16"/>
              </w:rPr>
            </w:r>
            <w:r>
              <w:rPr>
                <w:b/>
                <w:color w:val="17365D"/>
                <w:sz w:val="17"/>
              </w:rPr>
              <w:t>Supersedes</w:t>
            </w:r>
          </w:p>
        </w:tc>
        <w:tc>
          <w:tcPr>
            <w:tcW w:type="dxa" w:w="5155"/>
            <w:vAlign w:val="center"/>
          </w:tcPr>
          <w:p>
            <w:r>
              <w:rPr>
                <w:sz w:val="16"/>
              </w:rPr>
            </w:r>
            <w:r>
              <w:rPr>
                <w:b w:val="0"/>
                <w:sz w:val="17"/>
              </w:rPr>
              <w:t>CMP-012 v2.0</w:t>
            </w:r>
          </w:p>
        </w:tc>
      </w:tr>
      <w:tr>
        <w:trPr>
          <w:cantSplit/>
        </w:trPr>
        <w:tc>
          <w:tcPr>
            <w:tcW w:type="dxa" w:w="5155"/>
            <w:vAlign w:val="center"/>
            <w:shd w:fill="D9EAF7"/>
          </w:tcPr>
          <w:p>
            <w:r>
              <w:rPr>
                <w:sz w:val="16"/>
              </w:rPr>
            </w:r>
            <w:r>
              <w:rPr>
                <w:b/>
                <w:color w:val="17365D"/>
                <w:sz w:val="17"/>
              </w:rPr>
              <w:t>Related Documents</w:t>
            </w:r>
          </w:p>
        </w:tc>
        <w:tc>
          <w:tcPr>
            <w:tcW w:type="dxa" w:w="5155"/>
            <w:vAlign w:val="center"/>
          </w:tcPr>
          <w:p>
            <w:r>
              <w:rPr>
                <w:sz w:val="16"/>
              </w:rPr>
            </w:r>
            <w:r>
              <w:rPr>
                <w:b w:val="0"/>
                <w:sz w:val="17"/>
              </w:rPr>
              <w:t>RMF-008; RAS-009; CBP-043; KYC-004; AML-003; CDD-005; INV-010</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2577"/>
            <w:vAlign w:val="center"/>
            <w:shd w:fill="17365D"/>
          </w:tcPr>
          <w:p>
            <w:r>
              <w:rPr>
                <w:sz w:val="16"/>
              </w:rPr>
            </w:r>
            <w:r>
              <w:rPr>
                <w:b/>
                <w:color w:val="FFFFFF"/>
                <w:sz w:val="16"/>
              </w:rPr>
              <w:t>Version</w:t>
            </w:r>
          </w:p>
        </w:tc>
        <w:tc>
          <w:tcPr>
            <w:tcW w:type="dxa" w:w="2577"/>
            <w:vAlign w:val="center"/>
            <w:shd w:fill="17365D"/>
          </w:tcPr>
          <w:p>
            <w:r>
              <w:rPr>
                <w:sz w:val="16"/>
              </w:rPr>
            </w:r>
            <w:r>
              <w:rPr>
                <w:b/>
                <w:color w:val="FFFFFF"/>
                <w:sz w:val="16"/>
              </w:rPr>
              <w:t>Effective Date</w:t>
            </w:r>
          </w:p>
        </w:tc>
        <w:tc>
          <w:tcPr>
            <w:tcW w:type="dxa" w:w="2577"/>
            <w:vAlign w:val="center"/>
            <w:shd w:fill="17365D"/>
          </w:tcPr>
          <w:p>
            <w:r>
              <w:rPr>
                <w:sz w:val="16"/>
              </w:rPr>
            </w:r>
            <w:r>
              <w:rPr>
                <w:b/>
                <w:color w:val="FFFFFF"/>
                <w:sz w:val="16"/>
              </w:rPr>
              <w:t>Change Summary</w:t>
            </w:r>
          </w:p>
        </w:tc>
        <w:tc>
          <w:tcPr>
            <w:tcW w:type="dxa" w:w="2577"/>
            <w:vAlign w:val="center"/>
            <w:shd w:fill="17365D"/>
          </w:tcPr>
          <w:p>
            <w:r>
              <w:rPr>
                <w:sz w:val="16"/>
              </w:rPr>
            </w:r>
            <w:r>
              <w:rPr>
                <w:b/>
                <w:color w:val="FFFFFF"/>
                <w:sz w:val="16"/>
              </w:rPr>
              <w:t>Approving Authority</w:t>
            </w:r>
          </w:p>
        </w:tc>
      </w:tr>
      <w:tr>
        <w:trPr>
          <w:cantSplit/>
        </w:trPr>
        <w:tc>
          <w:tcPr>
            <w:tcW w:type="dxa" w:w="2577"/>
            <w:vAlign w:val="center"/>
          </w:tcPr>
          <w:p>
            <w:r>
              <w:rPr>
                <w:sz w:val="16"/>
              </w:rPr>
            </w:r>
            <w:r>
              <w:rPr>
                <w:b w:val="0"/>
                <w:sz w:val="16"/>
              </w:rPr>
              <w:t>1.8</w:t>
            </w:r>
          </w:p>
        </w:tc>
        <w:tc>
          <w:tcPr>
            <w:tcW w:type="dxa" w:w="2577"/>
            <w:vAlign w:val="center"/>
          </w:tcPr>
          <w:p>
            <w:r>
              <w:rPr>
                <w:sz w:val="16"/>
              </w:rPr>
            </w:r>
            <w:r>
              <w:rPr>
                <w:b w:val="0"/>
                <w:sz w:val="16"/>
              </w:rPr>
              <w:t>1 Jan 2025</w:t>
            </w:r>
          </w:p>
        </w:tc>
        <w:tc>
          <w:tcPr>
            <w:tcW w:type="dxa" w:w="2577"/>
            <w:vAlign w:val="center"/>
          </w:tcPr>
          <w:p>
            <w:r>
              <w:rPr>
                <w:sz w:val="16"/>
              </w:rPr>
            </w:r>
            <w:r>
              <w:rPr>
                <w:b w:val="0"/>
                <w:sz w:val="16"/>
              </w:rPr>
              <w:t>Expanded monitoring, issue management and regulatory change controls.</w:t>
            </w:r>
          </w:p>
        </w:tc>
        <w:tc>
          <w:tcPr>
            <w:tcW w:type="dxa" w:w="2577"/>
            <w:vAlign w:val="center"/>
          </w:tcPr>
          <w:p>
            <w:r>
              <w:rPr>
                <w:sz w:val="16"/>
              </w:rPr>
            </w:r>
            <w:r>
              <w:rPr>
                <w:b w:val="0"/>
                <w:sz w:val="16"/>
              </w:rPr>
              <w:t>Compliance &amp; Conduct Committee</w:t>
            </w:r>
          </w:p>
        </w:tc>
      </w:tr>
      <w:tr>
        <w:trPr>
          <w:cantSplit/>
        </w:trPr>
        <w:tc>
          <w:tcPr>
            <w:tcW w:type="dxa" w:w="2577"/>
            <w:vAlign w:val="center"/>
          </w:tcPr>
          <w:p>
            <w:r>
              <w:rPr>
                <w:sz w:val="16"/>
              </w:rPr>
            </w:r>
            <w:r>
              <w:rPr>
                <w:b w:val="0"/>
                <w:sz w:val="16"/>
              </w:rPr>
              <w:t>2.0</w:t>
            </w:r>
          </w:p>
        </w:tc>
        <w:tc>
          <w:tcPr>
            <w:tcW w:type="dxa" w:w="2577"/>
            <w:vAlign w:val="center"/>
          </w:tcPr>
          <w:p>
            <w:r>
              <w:rPr>
                <w:sz w:val="16"/>
              </w:rPr>
            </w:r>
            <w:r>
              <w:rPr>
                <w:b w:val="0"/>
                <w:sz w:val="16"/>
              </w:rPr>
              <w:t>1 Oct 2025</w:t>
            </w:r>
          </w:p>
        </w:tc>
        <w:tc>
          <w:tcPr>
            <w:tcW w:type="dxa" w:w="2577"/>
            <w:vAlign w:val="center"/>
          </w:tcPr>
          <w:p>
            <w:r>
              <w:rPr>
                <w:sz w:val="16"/>
              </w:rPr>
            </w:r>
            <w:r>
              <w:rPr>
                <w:b w:val="0"/>
                <w:sz w:val="16"/>
              </w:rPr>
              <w:t>Aligned financial-crime, complaints and conduct governance.</w:t>
            </w:r>
          </w:p>
        </w:tc>
        <w:tc>
          <w:tcPr>
            <w:tcW w:type="dxa" w:w="2577"/>
            <w:vAlign w:val="center"/>
          </w:tcPr>
          <w:p>
            <w:r>
              <w:rPr>
                <w:sz w:val="16"/>
              </w:rPr>
            </w:r>
            <w:r>
              <w:rPr>
                <w:b w:val="0"/>
                <w:sz w:val="16"/>
              </w:rPr>
              <w:t>Compliance &amp; Conduct Committee</w:t>
            </w:r>
          </w:p>
        </w:tc>
      </w:tr>
      <w:tr>
        <w:trPr>
          <w:cantSplit/>
        </w:trPr>
        <w:tc>
          <w:tcPr>
            <w:tcW w:type="dxa" w:w="2577"/>
            <w:vAlign w:val="center"/>
          </w:tcPr>
          <w:p>
            <w:r>
              <w:rPr>
                <w:sz w:val="16"/>
              </w:rPr>
            </w:r>
            <w:r>
              <w:rPr>
                <w:b w:val="0"/>
                <w:sz w:val="16"/>
              </w:rPr>
              <w:t>2.1</w:t>
            </w:r>
          </w:p>
        </w:tc>
        <w:tc>
          <w:tcPr>
            <w:tcW w:type="dxa" w:w="2577"/>
            <w:vAlign w:val="center"/>
          </w:tcPr>
          <w:p>
            <w:r>
              <w:rPr>
                <w:sz w:val="16"/>
              </w:rPr>
            </w:r>
            <w:r>
              <w:rPr>
                <w:b w:val="0"/>
                <w:sz w:val="16"/>
              </w:rPr>
              <w:t>1 Mar 2026</w:t>
            </w:r>
          </w:p>
        </w:tc>
        <w:tc>
          <w:tcPr>
            <w:tcW w:type="dxa" w:w="2577"/>
            <w:vAlign w:val="center"/>
          </w:tcPr>
          <w:p>
            <w:r>
              <w:rPr>
                <w:sz w:val="16"/>
              </w:rPr>
            </w:r>
            <w:r>
              <w:rPr>
                <w:b w:val="0"/>
                <w:sz w:val="16"/>
              </w:rPr>
              <w:t>Revised gifts threshold, compliance testing tiers, breach governance and investment oversight references.</w:t>
            </w:r>
          </w:p>
        </w:tc>
        <w:tc>
          <w:tcPr>
            <w:tcW w:type="dxa" w:w="2577"/>
            <w:vAlign w:val="center"/>
          </w:tcPr>
          <w:p>
            <w:r>
              <w:rPr>
                <w:sz w:val="16"/>
              </w:rPr>
            </w:r>
            <w:r>
              <w:rPr>
                <w:b w:val="0"/>
                <w:sz w:val="16"/>
              </w:rPr>
              <w:t>Compliance &amp; Conduct Committee</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This Manual defines Northstar Financial’s internal compliance operating framework, including obligation management, advisory support, monitoring, testing, breach escalation, conduct oversight, training and issue remediation. It does not state actual legal or RBI requirements unless expressly described as general industry context.</w:t>
      </w:r>
    </w:p>
    <w:p>
      <w:r>
        <w:t>Northstar obligations referenced in this Manual are fictional/internal controls. Where a real external requirement is relevant to operations, the authoritative legal or regulatory source must be confirmed through Northstar Legal/Compliance processes.</w:t>
      </w:r>
    </w:p>
    <w:p>
      <w:pPr>
        <w:pStyle w:val="Heading1"/>
      </w:pPr>
      <w:r>
        <w:t>2. Compliance Mandate</w:t>
      </w:r>
    </w:p>
    <w:p>
      <w:r>
        <w:t>Compliance shall support management in identifying, interpreting, monitoring and escalating compliance risk while preserving first-line accountability for compliant execution.</w:t>
      </w:r>
    </w:p>
    <w:p>
      <w:pPr>
        <w:pStyle w:val="ListBullet"/>
      </w:pPr>
      <w:r>
        <w:t>Maintain the internal obligation inventory and compliance risk assessment.</w:t>
      </w:r>
    </w:p>
    <w:p>
      <w:pPr>
        <w:pStyle w:val="ListBullet"/>
      </w:pPr>
      <w:r>
        <w:t>Provide advice on policies, products, changes and incidents.</w:t>
      </w:r>
    </w:p>
    <w:p>
      <w:pPr>
        <w:pStyle w:val="ListBullet"/>
      </w:pPr>
      <w:r>
        <w:t>Perform independent monitoring and risk-based testing.</w:t>
      </w:r>
    </w:p>
    <w:p>
      <w:pPr>
        <w:pStyle w:val="ListBullet"/>
      </w:pPr>
      <w:r>
        <w:t>Oversee compliance breaches and issue remediation.</w:t>
      </w:r>
    </w:p>
    <w:p>
      <w:pPr>
        <w:pStyle w:val="ListBullet"/>
      </w:pPr>
      <w:r>
        <w:t>Coordinate internal regulatory change governance.</w:t>
      </w:r>
    </w:p>
    <w:p>
      <w:pPr>
        <w:pStyle w:val="ListBullet"/>
      </w:pPr>
      <w:r>
        <w:t>Support customer fairness, conduct and complaints oversight.</w:t>
      </w:r>
    </w:p>
    <w:p>
      <w:pPr>
        <w:pStyle w:val="ListBullet"/>
      </w:pPr>
      <w:r>
        <w:t>Deliver or oversee role-based compliance training.</w:t>
      </w:r>
    </w:p>
    <w:p>
      <w:pPr>
        <w:pStyle w:val="Heading1"/>
      </w:pPr>
      <w:r>
        <w:t>3. Three Lines and Accountability</w:t>
      </w:r>
    </w:p>
    <w:p>
      <w:r>
        <w:t>Business functions own compliance with controls in their processes. Compliance provides independent oversight and challenge as a second-line function. Internal Audit provides third-line assurance.</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Line</w:t>
            </w:r>
          </w:p>
        </w:tc>
        <w:tc>
          <w:tcPr>
            <w:tcW w:type="dxa" w:w="5155"/>
            <w:vAlign w:val="center"/>
            <w:shd w:fill="17365D"/>
          </w:tcPr>
          <w:p>
            <w:r>
              <w:rPr>
                <w:sz w:val="16"/>
              </w:rPr>
            </w:r>
            <w:r>
              <w:rPr>
                <w:b/>
                <w:color w:val="FFFFFF"/>
                <w:sz w:val="16"/>
              </w:rPr>
              <w:t>Role</w:t>
            </w:r>
          </w:p>
        </w:tc>
      </w:tr>
      <w:tr>
        <w:trPr>
          <w:cantSplit/>
        </w:trPr>
        <w:tc>
          <w:tcPr>
            <w:tcW w:type="dxa" w:w="5155"/>
            <w:vAlign w:val="center"/>
          </w:tcPr>
          <w:p>
            <w:r>
              <w:rPr>
                <w:sz w:val="16"/>
              </w:rPr>
            </w:r>
            <w:r>
              <w:rPr>
                <w:b w:val="0"/>
                <w:sz w:val="16"/>
              </w:rPr>
              <w:t>First line</w:t>
            </w:r>
          </w:p>
        </w:tc>
        <w:tc>
          <w:tcPr>
            <w:tcW w:type="dxa" w:w="5155"/>
            <w:vAlign w:val="center"/>
          </w:tcPr>
          <w:p>
            <w:r>
              <w:rPr>
                <w:sz w:val="16"/>
              </w:rPr>
            </w:r>
            <w:r>
              <w:rPr>
                <w:b w:val="0"/>
                <w:sz w:val="16"/>
              </w:rPr>
              <w:t>Own processes, identify obligations, execute controls, maintain evidence and report issues.</w:t>
            </w:r>
          </w:p>
        </w:tc>
      </w:tr>
      <w:tr>
        <w:trPr>
          <w:cantSplit/>
        </w:trPr>
        <w:tc>
          <w:tcPr>
            <w:tcW w:type="dxa" w:w="5155"/>
            <w:vAlign w:val="center"/>
          </w:tcPr>
          <w:p>
            <w:r>
              <w:rPr>
                <w:sz w:val="16"/>
              </w:rPr>
            </w:r>
            <w:r>
              <w:rPr>
                <w:b w:val="0"/>
                <w:sz w:val="16"/>
              </w:rPr>
              <w:t>Second line — Compliance / Risk</w:t>
            </w:r>
          </w:p>
        </w:tc>
        <w:tc>
          <w:tcPr>
            <w:tcW w:type="dxa" w:w="5155"/>
            <w:vAlign w:val="center"/>
          </w:tcPr>
          <w:p>
            <w:r>
              <w:rPr>
                <w:sz w:val="16"/>
              </w:rPr>
            </w:r>
            <w:r>
              <w:rPr>
                <w:b w:val="0"/>
                <w:sz w:val="16"/>
              </w:rPr>
              <w:t>Set framework, advise, challenge, monitor, test, aggregate and escalate.</w:t>
            </w:r>
          </w:p>
        </w:tc>
      </w:tr>
      <w:tr>
        <w:trPr>
          <w:cantSplit/>
        </w:trPr>
        <w:tc>
          <w:tcPr>
            <w:tcW w:type="dxa" w:w="5155"/>
            <w:vAlign w:val="center"/>
          </w:tcPr>
          <w:p>
            <w:r>
              <w:rPr>
                <w:sz w:val="16"/>
              </w:rPr>
            </w:r>
            <w:r>
              <w:rPr>
                <w:b w:val="0"/>
                <w:sz w:val="16"/>
              </w:rPr>
              <w:t>Third line — Internal Audit</w:t>
            </w:r>
          </w:p>
        </w:tc>
        <w:tc>
          <w:tcPr>
            <w:tcW w:type="dxa" w:w="5155"/>
            <w:vAlign w:val="center"/>
          </w:tcPr>
          <w:p>
            <w:r>
              <w:rPr>
                <w:sz w:val="16"/>
              </w:rPr>
            </w:r>
            <w:r>
              <w:rPr>
                <w:b w:val="0"/>
                <w:sz w:val="16"/>
              </w:rPr>
              <w:t>Independently assess design and effectiveness.</w:t>
            </w:r>
          </w:p>
        </w:tc>
      </w:tr>
    </w:tbl>
    <w:p/>
    <w:p>
      <w:pPr>
        <w:pStyle w:val="Heading1"/>
      </w:pPr>
      <w:r>
        <w:t>4. Compliance Governance</w:t>
      </w:r>
    </w:p>
    <w:p>
      <w:r>
        <w:t>The Compliance &amp; Conduct Committee oversees material compliance risk, significant breaches, regulatory change themes, customer fairness and remediation. Material financial-crime matters may also be reported to the AML &amp; Financial Crime Committee.</w:t>
      </w:r>
    </w:p>
    <w:p>
      <w:pPr>
        <w:pStyle w:val="Heading1"/>
      </w:pPr>
      <w:r>
        <w:t>5. Policy Hierarchy</w:t>
      </w:r>
    </w:p>
    <w:p>
      <w:r>
        <w:t>Compliance interpretation shall respect the controlled document hierarchy. A procedure may be more restrictive than a policy where it operates within its scope.</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Level</w:t>
            </w:r>
          </w:p>
        </w:tc>
        <w:tc>
          <w:tcPr>
            <w:tcW w:type="dxa" w:w="5155"/>
            <w:vAlign w:val="center"/>
            <w:shd w:fill="17365D"/>
          </w:tcPr>
          <w:p>
            <w:r>
              <w:rPr>
                <w:sz w:val="16"/>
              </w:rPr>
            </w:r>
            <w:r>
              <w:rPr>
                <w:b/>
                <w:color w:val="FFFFFF"/>
                <w:sz w:val="16"/>
              </w:rPr>
              <w:t>Examples</w:t>
            </w:r>
          </w:p>
        </w:tc>
      </w:tr>
      <w:tr>
        <w:trPr>
          <w:cantSplit/>
        </w:trPr>
        <w:tc>
          <w:tcPr>
            <w:tcW w:type="dxa" w:w="5155"/>
            <w:vAlign w:val="center"/>
          </w:tcPr>
          <w:p>
            <w:r>
              <w:rPr>
                <w:sz w:val="16"/>
              </w:rPr>
            </w:r>
            <w:r>
              <w:rPr>
                <w:b w:val="0"/>
                <w:sz w:val="16"/>
              </w:rPr>
              <w:t>Board / committee approved policy</w:t>
            </w:r>
          </w:p>
        </w:tc>
        <w:tc>
          <w:tcPr>
            <w:tcW w:type="dxa" w:w="5155"/>
            <w:vAlign w:val="center"/>
          </w:tcPr>
          <w:p>
            <w:r>
              <w:rPr>
                <w:sz w:val="16"/>
              </w:rPr>
            </w:r>
            <w:r>
              <w:rPr>
                <w:b w:val="0"/>
                <w:sz w:val="16"/>
              </w:rPr>
              <w:t>Credit Risk Policy; Investment Policy; AML Policy</w:t>
            </w:r>
          </w:p>
        </w:tc>
      </w:tr>
      <w:tr>
        <w:trPr>
          <w:cantSplit/>
        </w:trPr>
        <w:tc>
          <w:tcPr>
            <w:tcW w:type="dxa" w:w="5155"/>
            <w:vAlign w:val="center"/>
          </w:tcPr>
          <w:p>
            <w:r>
              <w:rPr>
                <w:sz w:val="16"/>
              </w:rPr>
            </w:r>
            <w:r>
              <w:rPr>
                <w:b w:val="0"/>
                <w:sz w:val="16"/>
              </w:rPr>
              <w:t>Framework / manual</w:t>
            </w:r>
          </w:p>
        </w:tc>
        <w:tc>
          <w:tcPr>
            <w:tcW w:type="dxa" w:w="5155"/>
            <w:vAlign w:val="center"/>
          </w:tcPr>
          <w:p>
            <w:r>
              <w:rPr>
                <w:sz w:val="16"/>
              </w:rPr>
            </w:r>
            <w:r>
              <w:rPr>
                <w:b w:val="0"/>
                <w:sz w:val="16"/>
              </w:rPr>
              <w:t>Risk Management Framework; Compliance Manual</w:t>
            </w:r>
          </w:p>
        </w:tc>
      </w:tr>
      <w:tr>
        <w:trPr>
          <w:cantSplit/>
        </w:trPr>
        <w:tc>
          <w:tcPr>
            <w:tcW w:type="dxa" w:w="5155"/>
            <w:vAlign w:val="center"/>
          </w:tcPr>
          <w:p>
            <w:r>
              <w:rPr>
                <w:sz w:val="16"/>
              </w:rPr>
            </w:r>
            <w:r>
              <w:rPr>
                <w:b w:val="0"/>
                <w:sz w:val="16"/>
              </w:rPr>
              <w:t>Standard / procedure</w:t>
            </w:r>
          </w:p>
        </w:tc>
        <w:tc>
          <w:tcPr>
            <w:tcW w:type="dxa" w:w="5155"/>
            <w:vAlign w:val="center"/>
          </w:tcPr>
          <w:p>
            <w:r>
              <w:rPr>
                <w:sz w:val="16"/>
              </w:rPr>
            </w:r>
            <w:r>
              <w:rPr>
                <w:b w:val="0"/>
                <w:sz w:val="16"/>
              </w:rPr>
              <w:t>KYC Escalation; Investment Monitoring; Compliance Breach Procedure</w:t>
            </w:r>
          </w:p>
        </w:tc>
      </w:tr>
      <w:tr>
        <w:trPr>
          <w:cantSplit/>
        </w:trPr>
        <w:tc>
          <w:tcPr>
            <w:tcW w:type="dxa" w:w="5155"/>
            <w:vAlign w:val="center"/>
          </w:tcPr>
          <w:p>
            <w:r>
              <w:rPr>
                <w:sz w:val="16"/>
              </w:rPr>
            </w:r>
            <w:r>
              <w:rPr>
                <w:b w:val="0"/>
                <w:sz w:val="16"/>
              </w:rPr>
              <w:t>Schedule</w:t>
            </w:r>
          </w:p>
        </w:tc>
        <w:tc>
          <w:tcPr>
            <w:tcW w:type="dxa" w:w="5155"/>
            <w:vAlign w:val="center"/>
          </w:tcPr>
          <w:p>
            <w:r>
              <w:rPr>
                <w:sz w:val="16"/>
              </w:rPr>
            </w:r>
            <w:r>
              <w:rPr>
                <w:b w:val="0"/>
                <w:sz w:val="16"/>
              </w:rPr>
              <w:t>Credit or Investment Delegation Schedule</w:t>
            </w:r>
          </w:p>
        </w:tc>
      </w:tr>
      <w:tr>
        <w:trPr>
          <w:cantSplit/>
        </w:trPr>
        <w:tc>
          <w:tcPr>
            <w:tcW w:type="dxa" w:w="5155"/>
            <w:vAlign w:val="center"/>
          </w:tcPr>
          <w:p>
            <w:r>
              <w:rPr>
                <w:sz w:val="16"/>
              </w:rPr>
            </w:r>
            <w:r>
              <w:rPr>
                <w:b w:val="0"/>
                <w:sz w:val="16"/>
              </w:rPr>
              <w:t>Form / checklist</w:t>
            </w:r>
          </w:p>
        </w:tc>
        <w:tc>
          <w:tcPr>
            <w:tcW w:type="dxa" w:w="5155"/>
            <w:vAlign w:val="center"/>
          </w:tcPr>
          <w:p>
            <w:r>
              <w:rPr>
                <w:sz w:val="16"/>
              </w:rPr>
            </w:r>
            <w:r>
              <w:rPr>
                <w:b w:val="0"/>
                <w:sz w:val="16"/>
              </w:rPr>
              <w:t>Monitoring checklist; breach assessment template</w:t>
            </w:r>
          </w:p>
        </w:tc>
      </w:tr>
    </w:tbl>
    <w:p/>
    <w:p>
      <w:pPr>
        <w:pStyle w:val="Heading1"/>
      </w:pPr>
      <w:r>
        <w:t>6. Internal Obligation Register</w:t>
      </w:r>
    </w:p>
    <w:p>
      <w:r>
        <w:t>Compliance shall maintain a controlled inventory of obligations mapped to owner, control, evidence, review frequency and source.</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Field</w:t>
            </w:r>
          </w:p>
        </w:tc>
        <w:tc>
          <w:tcPr>
            <w:tcW w:type="dxa" w:w="5155"/>
            <w:vAlign w:val="center"/>
            <w:shd w:fill="17365D"/>
          </w:tcPr>
          <w:p>
            <w:r>
              <w:rPr>
                <w:sz w:val="16"/>
              </w:rPr>
            </w:r>
            <w:r>
              <w:rPr>
                <w:b/>
                <w:color w:val="FFFFFF"/>
                <w:sz w:val="16"/>
              </w:rPr>
              <w:t>Requirement</w:t>
            </w:r>
          </w:p>
        </w:tc>
      </w:tr>
      <w:tr>
        <w:trPr>
          <w:cantSplit/>
        </w:trPr>
        <w:tc>
          <w:tcPr>
            <w:tcW w:type="dxa" w:w="5155"/>
            <w:vAlign w:val="center"/>
          </w:tcPr>
          <w:p>
            <w:r>
              <w:rPr>
                <w:sz w:val="16"/>
              </w:rPr>
            </w:r>
            <w:r>
              <w:rPr>
                <w:b w:val="0"/>
                <w:sz w:val="16"/>
              </w:rPr>
              <w:t>Obligation ID</w:t>
            </w:r>
          </w:p>
        </w:tc>
        <w:tc>
          <w:tcPr>
            <w:tcW w:type="dxa" w:w="5155"/>
            <w:vAlign w:val="center"/>
          </w:tcPr>
          <w:p>
            <w:r>
              <w:rPr>
                <w:sz w:val="16"/>
              </w:rPr>
            </w:r>
            <w:r>
              <w:rPr>
                <w:b w:val="0"/>
                <w:sz w:val="16"/>
              </w:rPr>
              <w:t>Unique internal identifier</w:t>
            </w:r>
          </w:p>
        </w:tc>
      </w:tr>
      <w:tr>
        <w:trPr>
          <w:cantSplit/>
        </w:trPr>
        <w:tc>
          <w:tcPr>
            <w:tcW w:type="dxa" w:w="5155"/>
            <w:vAlign w:val="center"/>
          </w:tcPr>
          <w:p>
            <w:r>
              <w:rPr>
                <w:sz w:val="16"/>
              </w:rPr>
            </w:r>
            <w:r>
              <w:rPr>
                <w:b w:val="0"/>
                <w:sz w:val="16"/>
              </w:rPr>
              <w:t>Source</w:t>
            </w:r>
          </w:p>
        </w:tc>
        <w:tc>
          <w:tcPr>
            <w:tcW w:type="dxa" w:w="5155"/>
            <w:vAlign w:val="center"/>
          </w:tcPr>
          <w:p>
            <w:r>
              <w:rPr>
                <w:sz w:val="16"/>
              </w:rPr>
            </w:r>
            <w:r>
              <w:rPr>
                <w:b w:val="0"/>
                <w:sz w:val="16"/>
              </w:rPr>
              <w:t>Internal policy, contract, or confirmed external source where applicable</w:t>
            </w:r>
          </w:p>
        </w:tc>
      </w:tr>
      <w:tr>
        <w:trPr>
          <w:cantSplit/>
        </w:trPr>
        <w:tc>
          <w:tcPr>
            <w:tcW w:type="dxa" w:w="5155"/>
            <w:vAlign w:val="center"/>
          </w:tcPr>
          <w:p>
            <w:r>
              <w:rPr>
                <w:sz w:val="16"/>
              </w:rPr>
            </w:r>
            <w:r>
              <w:rPr>
                <w:b w:val="0"/>
                <w:sz w:val="16"/>
              </w:rPr>
              <w:t>Requirement summary</w:t>
            </w:r>
          </w:p>
        </w:tc>
        <w:tc>
          <w:tcPr>
            <w:tcW w:type="dxa" w:w="5155"/>
            <w:vAlign w:val="center"/>
          </w:tcPr>
          <w:p>
            <w:r>
              <w:rPr>
                <w:sz w:val="16"/>
              </w:rPr>
            </w:r>
            <w:r>
              <w:rPr>
                <w:b w:val="0"/>
                <w:sz w:val="16"/>
              </w:rPr>
              <w:t>Operational wording, not unsupported legal paraphrase</w:t>
            </w:r>
          </w:p>
        </w:tc>
      </w:tr>
      <w:tr>
        <w:trPr>
          <w:cantSplit/>
        </w:trPr>
        <w:tc>
          <w:tcPr>
            <w:tcW w:type="dxa" w:w="5155"/>
            <w:vAlign w:val="center"/>
          </w:tcPr>
          <w:p>
            <w:r>
              <w:rPr>
                <w:sz w:val="16"/>
              </w:rPr>
            </w:r>
            <w:r>
              <w:rPr>
                <w:b w:val="0"/>
                <w:sz w:val="16"/>
              </w:rPr>
              <w:t>Owner</w:t>
            </w:r>
          </w:p>
        </w:tc>
        <w:tc>
          <w:tcPr>
            <w:tcW w:type="dxa" w:w="5155"/>
            <w:vAlign w:val="center"/>
          </w:tcPr>
          <w:p>
            <w:r>
              <w:rPr>
                <w:sz w:val="16"/>
              </w:rPr>
            </w:r>
            <w:r>
              <w:rPr>
                <w:b w:val="0"/>
                <w:sz w:val="16"/>
              </w:rPr>
              <w:t>First-line accountable function</w:t>
            </w:r>
          </w:p>
        </w:tc>
      </w:tr>
      <w:tr>
        <w:trPr>
          <w:cantSplit/>
        </w:trPr>
        <w:tc>
          <w:tcPr>
            <w:tcW w:type="dxa" w:w="5155"/>
            <w:vAlign w:val="center"/>
          </w:tcPr>
          <w:p>
            <w:r>
              <w:rPr>
                <w:sz w:val="16"/>
              </w:rPr>
            </w:r>
            <w:r>
              <w:rPr>
                <w:b w:val="0"/>
                <w:sz w:val="16"/>
              </w:rPr>
              <w:t>Control</w:t>
            </w:r>
          </w:p>
        </w:tc>
        <w:tc>
          <w:tcPr>
            <w:tcW w:type="dxa" w:w="5155"/>
            <w:vAlign w:val="center"/>
          </w:tcPr>
          <w:p>
            <w:r>
              <w:rPr>
                <w:sz w:val="16"/>
              </w:rPr>
            </w:r>
            <w:r>
              <w:rPr>
                <w:b w:val="0"/>
                <w:sz w:val="16"/>
              </w:rPr>
              <w:t>Preventive/detective control reference</w:t>
            </w:r>
          </w:p>
        </w:tc>
      </w:tr>
      <w:tr>
        <w:trPr>
          <w:cantSplit/>
        </w:trPr>
        <w:tc>
          <w:tcPr>
            <w:tcW w:type="dxa" w:w="5155"/>
            <w:vAlign w:val="center"/>
          </w:tcPr>
          <w:p>
            <w:r>
              <w:rPr>
                <w:sz w:val="16"/>
              </w:rPr>
            </w:r>
            <w:r>
              <w:rPr>
                <w:b w:val="0"/>
                <w:sz w:val="16"/>
              </w:rPr>
              <w:t>Evidence</w:t>
            </w:r>
          </w:p>
        </w:tc>
        <w:tc>
          <w:tcPr>
            <w:tcW w:type="dxa" w:w="5155"/>
            <w:vAlign w:val="center"/>
          </w:tcPr>
          <w:p>
            <w:r>
              <w:rPr>
                <w:sz w:val="16"/>
              </w:rPr>
            </w:r>
            <w:r>
              <w:rPr>
                <w:b w:val="0"/>
                <w:sz w:val="16"/>
              </w:rPr>
              <w:t>Record demonstrating operation</w:t>
            </w:r>
          </w:p>
        </w:tc>
      </w:tr>
      <w:tr>
        <w:trPr>
          <w:cantSplit/>
        </w:trPr>
        <w:tc>
          <w:tcPr>
            <w:tcW w:type="dxa" w:w="5155"/>
            <w:vAlign w:val="center"/>
          </w:tcPr>
          <w:p>
            <w:r>
              <w:rPr>
                <w:sz w:val="16"/>
              </w:rPr>
            </w:r>
            <w:r>
              <w:rPr>
                <w:b w:val="0"/>
                <w:sz w:val="16"/>
              </w:rPr>
              <w:t>Review cycle</w:t>
            </w:r>
          </w:p>
        </w:tc>
        <w:tc>
          <w:tcPr>
            <w:tcW w:type="dxa" w:w="5155"/>
            <w:vAlign w:val="center"/>
          </w:tcPr>
          <w:p>
            <w:r>
              <w:rPr>
                <w:sz w:val="16"/>
              </w:rPr>
            </w:r>
            <w:r>
              <w:rPr>
                <w:b w:val="0"/>
                <w:sz w:val="16"/>
              </w:rPr>
              <w:t>Frequency appropriate to risk</w:t>
            </w:r>
          </w:p>
        </w:tc>
      </w:tr>
      <w:tr>
        <w:trPr>
          <w:cantSplit/>
        </w:trPr>
        <w:tc>
          <w:tcPr>
            <w:tcW w:type="dxa" w:w="5155"/>
            <w:vAlign w:val="center"/>
          </w:tcPr>
          <w:p>
            <w:r>
              <w:rPr>
                <w:sz w:val="16"/>
              </w:rPr>
            </w:r>
            <w:r>
              <w:rPr>
                <w:b w:val="0"/>
                <w:sz w:val="16"/>
              </w:rPr>
              <w:t>Status</w:t>
            </w:r>
          </w:p>
        </w:tc>
        <w:tc>
          <w:tcPr>
            <w:tcW w:type="dxa" w:w="5155"/>
            <w:vAlign w:val="center"/>
          </w:tcPr>
          <w:p>
            <w:r>
              <w:rPr>
                <w:sz w:val="16"/>
              </w:rPr>
            </w:r>
            <w:r>
              <w:rPr>
                <w:b w:val="0"/>
                <w:sz w:val="16"/>
              </w:rPr>
              <w:t>Active, changed, retired or under remediation</w:t>
            </w:r>
          </w:p>
        </w:tc>
      </w:tr>
    </w:tbl>
    <w:p/>
    <w:p>
      <w:pPr>
        <w:pStyle w:val="Heading1"/>
      </w:pPr>
      <w:r>
        <w:t>7. Compliance Risk Assessment</w:t>
      </w:r>
    </w:p>
    <w:p>
      <w:r>
        <w:t>At least annually and upon material change, Compliance shall assess inherent compliance risk, control effectiveness and residual risk in coordination with RMF-008.</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Assessment Dimension</w:t>
            </w:r>
          </w:p>
        </w:tc>
        <w:tc>
          <w:tcPr>
            <w:tcW w:type="dxa" w:w="5155"/>
            <w:vAlign w:val="center"/>
            <w:shd w:fill="17365D"/>
          </w:tcPr>
          <w:p>
            <w:r>
              <w:rPr>
                <w:sz w:val="16"/>
              </w:rPr>
            </w:r>
            <w:r>
              <w:rPr>
                <w:b/>
                <w:color w:val="FFFFFF"/>
                <w:sz w:val="16"/>
              </w:rPr>
              <w:t>Illustrative Factors</w:t>
            </w:r>
          </w:p>
        </w:tc>
      </w:tr>
      <w:tr>
        <w:trPr>
          <w:cantSplit/>
        </w:trPr>
        <w:tc>
          <w:tcPr>
            <w:tcW w:type="dxa" w:w="5155"/>
            <w:vAlign w:val="center"/>
          </w:tcPr>
          <w:p>
            <w:r>
              <w:rPr>
                <w:sz w:val="16"/>
              </w:rPr>
            </w:r>
            <w:r>
              <w:rPr>
                <w:b w:val="0"/>
                <w:sz w:val="16"/>
              </w:rPr>
              <w:t>Customer impact</w:t>
            </w:r>
          </w:p>
        </w:tc>
        <w:tc>
          <w:tcPr>
            <w:tcW w:type="dxa" w:w="5155"/>
            <w:vAlign w:val="center"/>
          </w:tcPr>
          <w:p>
            <w:r>
              <w:rPr>
                <w:sz w:val="16"/>
              </w:rPr>
            </w:r>
            <w:r>
              <w:rPr>
                <w:b w:val="0"/>
                <w:sz w:val="16"/>
              </w:rPr>
              <w:t>Financial harm, unfair outcome, transparency, vulnerable customer considerations</w:t>
            </w:r>
          </w:p>
        </w:tc>
      </w:tr>
      <w:tr>
        <w:trPr>
          <w:cantSplit/>
        </w:trPr>
        <w:tc>
          <w:tcPr>
            <w:tcW w:type="dxa" w:w="5155"/>
            <w:vAlign w:val="center"/>
          </w:tcPr>
          <w:p>
            <w:r>
              <w:rPr>
                <w:sz w:val="16"/>
              </w:rPr>
            </w:r>
            <w:r>
              <w:rPr>
                <w:b w:val="0"/>
                <w:sz w:val="16"/>
              </w:rPr>
              <w:t>Control dependence</w:t>
            </w:r>
          </w:p>
        </w:tc>
        <w:tc>
          <w:tcPr>
            <w:tcW w:type="dxa" w:w="5155"/>
            <w:vAlign w:val="center"/>
          </w:tcPr>
          <w:p>
            <w:r>
              <w:rPr>
                <w:sz w:val="16"/>
              </w:rPr>
            </w:r>
            <w:r>
              <w:rPr>
                <w:b w:val="0"/>
                <w:sz w:val="16"/>
              </w:rPr>
              <w:t>Manual vs automated controls, maker-checker, access dependency</w:t>
            </w:r>
          </w:p>
        </w:tc>
      </w:tr>
      <w:tr>
        <w:trPr>
          <w:cantSplit/>
        </w:trPr>
        <w:tc>
          <w:tcPr>
            <w:tcW w:type="dxa" w:w="5155"/>
            <w:vAlign w:val="center"/>
          </w:tcPr>
          <w:p>
            <w:r>
              <w:rPr>
                <w:sz w:val="16"/>
              </w:rPr>
            </w:r>
            <w:r>
              <w:rPr>
                <w:b w:val="0"/>
                <w:sz w:val="16"/>
              </w:rPr>
              <w:t>Volume / scale</w:t>
            </w:r>
          </w:p>
        </w:tc>
        <w:tc>
          <w:tcPr>
            <w:tcW w:type="dxa" w:w="5155"/>
            <w:vAlign w:val="center"/>
          </w:tcPr>
          <w:p>
            <w:r>
              <w:rPr>
                <w:sz w:val="16"/>
              </w:rPr>
            </w:r>
            <w:r>
              <w:rPr>
                <w:b w:val="0"/>
                <w:sz w:val="16"/>
              </w:rPr>
              <w:t>Number of customers, transactions or decisions exposed</w:t>
            </w:r>
          </w:p>
        </w:tc>
      </w:tr>
      <w:tr>
        <w:trPr>
          <w:cantSplit/>
        </w:trPr>
        <w:tc>
          <w:tcPr>
            <w:tcW w:type="dxa" w:w="5155"/>
            <w:vAlign w:val="center"/>
          </w:tcPr>
          <w:p>
            <w:r>
              <w:rPr>
                <w:sz w:val="16"/>
              </w:rPr>
            </w:r>
            <w:r>
              <w:rPr>
                <w:b w:val="0"/>
                <w:sz w:val="16"/>
              </w:rPr>
              <w:t>Complexity</w:t>
            </w:r>
          </w:p>
        </w:tc>
        <w:tc>
          <w:tcPr>
            <w:tcW w:type="dxa" w:w="5155"/>
            <w:vAlign w:val="center"/>
          </w:tcPr>
          <w:p>
            <w:r>
              <w:rPr>
                <w:sz w:val="16"/>
              </w:rPr>
            </w:r>
            <w:r>
              <w:rPr>
                <w:b w:val="0"/>
                <w:sz w:val="16"/>
              </w:rPr>
              <w:t>Product/process complexity and judgment</w:t>
            </w:r>
          </w:p>
        </w:tc>
      </w:tr>
      <w:tr>
        <w:trPr>
          <w:cantSplit/>
        </w:trPr>
        <w:tc>
          <w:tcPr>
            <w:tcW w:type="dxa" w:w="5155"/>
            <w:vAlign w:val="center"/>
          </w:tcPr>
          <w:p>
            <w:r>
              <w:rPr>
                <w:sz w:val="16"/>
              </w:rPr>
            </w:r>
            <w:r>
              <w:rPr>
                <w:b w:val="0"/>
                <w:sz w:val="16"/>
              </w:rPr>
              <w:t>Change intensity</w:t>
            </w:r>
          </w:p>
        </w:tc>
        <w:tc>
          <w:tcPr>
            <w:tcW w:type="dxa" w:w="5155"/>
            <w:vAlign w:val="center"/>
          </w:tcPr>
          <w:p>
            <w:r>
              <w:rPr>
                <w:sz w:val="16"/>
              </w:rPr>
            </w:r>
            <w:r>
              <w:rPr>
                <w:b w:val="0"/>
                <w:sz w:val="16"/>
              </w:rPr>
              <w:t>Recent system, product or policy change</w:t>
            </w:r>
          </w:p>
        </w:tc>
      </w:tr>
      <w:tr>
        <w:trPr>
          <w:cantSplit/>
        </w:trPr>
        <w:tc>
          <w:tcPr>
            <w:tcW w:type="dxa" w:w="5155"/>
            <w:vAlign w:val="center"/>
          </w:tcPr>
          <w:p>
            <w:r>
              <w:rPr>
                <w:sz w:val="16"/>
              </w:rPr>
            </w:r>
            <w:r>
              <w:rPr>
                <w:b w:val="0"/>
                <w:sz w:val="16"/>
              </w:rPr>
              <w:t>History</w:t>
            </w:r>
          </w:p>
        </w:tc>
        <w:tc>
          <w:tcPr>
            <w:tcW w:type="dxa" w:w="5155"/>
            <w:vAlign w:val="center"/>
          </w:tcPr>
          <w:p>
            <w:r>
              <w:rPr>
                <w:sz w:val="16"/>
              </w:rPr>
            </w:r>
            <w:r>
              <w:rPr>
                <w:b w:val="0"/>
                <w:sz w:val="16"/>
              </w:rPr>
              <w:t>Prior breaches, complaints, audit issues or repeat root cause</w:t>
            </w:r>
          </w:p>
        </w:tc>
      </w:tr>
    </w:tbl>
    <w:p/>
    <w:p>
      <w:pPr>
        <w:pStyle w:val="Heading1"/>
      </w:pPr>
      <w:r>
        <w:t>8. Advisory Services</w:t>
      </w:r>
    </w:p>
    <w:p>
      <w:r>
        <w:t>Compliance advice shall be documented where it relates to material products, exceptions, changes or interpretation. Advice is not a substitute for business approval or specialist credit/investment authority.</w:t>
      </w:r>
    </w:p>
    <w:p>
      <w:pPr>
        <w:pStyle w:val="Heading1"/>
      </w:pPr>
      <w:r>
        <w:t>9. New Product and Change Review</w:t>
      </w:r>
    </w:p>
    <w:p>
      <w:r>
        <w:t>Material new products, channels or process changes shall include compliance assessment before launch.</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Review Area</w:t>
            </w:r>
          </w:p>
        </w:tc>
        <w:tc>
          <w:tcPr>
            <w:tcW w:type="dxa" w:w="5155"/>
            <w:vAlign w:val="center"/>
            <w:shd w:fill="17365D"/>
          </w:tcPr>
          <w:p>
            <w:r>
              <w:rPr>
                <w:sz w:val="16"/>
              </w:rPr>
            </w:r>
            <w:r>
              <w:rPr>
                <w:b/>
                <w:color w:val="FFFFFF"/>
                <w:sz w:val="16"/>
              </w:rPr>
              <w:t>Questions</w:t>
            </w:r>
          </w:p>
        </w:tc>
      </w:tr>
      <w:tr>
        <w:trPr>
          <w:cantSplit/>
        </w:trPr>
        <w:tc>
          <w:tcPr>
            <w:tcW w:type="dxa" w:w="5155"/>
            <w:vAlign w:val="center"/>
          </w:tcPr>
          <w:p>
            <w:r>
              <w:rPr>
                <w:sz w:val="16"/>
              </w:rPr>
            </w:r>
            <w:r>
              <w:rPr>
                <w:b w:val="0"/>
                <w:sz w:val="16"/>
              </w:rPr>
              <w:t>Customer</w:t>
            </w:r>
          </w:p>
        </w:tc>
        <w:tc>
          <w:tcPr>
            <w:tcW w:type="dxa" w:w="5155"/>
            <w:vAlign w:val="center"/>
          </w:tcPr>
          <w:p>
            <w:r>
              <w:rPr>
                <w:sz w:val="16"/>
              </w:rPr>
            </w:r>
            <w:r>
              <w:rPr>
                <w:b w:val="0"/>
                <w:sz w:val="16"/>
              </w:rPr>
              <w:t>Are disclosures, eligibility and treatment controls clear?</w:t>
            </w:r>
          </w:p>
        </w:tc>
      </w:tr>
      <w:tr>
        <w:trPr>
          <w:cantSplit/>
        </w:trPr>
        <w:tc>
          <w:tcPr>
            <w:tcW w:type="dxa" w:w="5155"/>
            <w:vAlign w:val="center"/>
          </w:tcPr>
          <w:p>
            <w:r>
              <w:rPr>
                <w:sz w:val="16"/>
              </w:rPr>
            </w:r>
            <w:r>
              <w:rPr>
                <w:b w:val="0"/>
                <w:sz w:val="16"/>
              </w:rPr>
              <w:t>Financial crime</w:t>
            </w:r>
          </w:p>
        </w:tc>
        <w:tc>
          <w:tcPr>
            <w:tcW w:type="dxa" w:w="5155"/>
            <w:vAlign w:val="center"/>
          </w:tcPr>
          <w:p>
            <w:r>
              <w:rPr>
                <w:sz w:val="16"/>
              </w:rPr>
            </w:r>
            <w:r>
              <w:rPr>
                <w:b w:val="0"/>
                <w:sz w:val="16"/>
              </w:rPr>
              <w:t>Do KYC, CDD, sanctions and AML controls remain effective?</w:t>
            </w:r>
          </w:p>
        </w:tc>
      </w:tr>
      <w:tr>
        <w:trPr>
          <w:cantSplit/>
        </w:trPr>
        <w:tc>
          <w:tcPr>
            <w:tcW w:type="dxa" w:w="5155"/>
            <w:vAlign w:val="center"/>
          </w:tcPr>
          <w:p>
            <w:r>
              <w:rPr>
                <w:sz w:val="16"/>
              </w:rPr>
            </w:r>
            <w:r>
              <w:rPr>
                <w:b w:val="0"/>
                <w:sz w:val="16"/>
              </w:rPr>
              <w:t>Data</w:t>
            </w:r>
          </w:p>
        </w:tc>
        <w:tc>
          <w:tcPr>
            <w:tcW w:type="dxa" w:w="5155"/>
            <w:vAlign w:val="center"/>
          </w:tcPr>
          <w:p>
            <w:r>
              <w:rPr>
                <w:sz w:val="16"/>
              </w:rPr>
            </w:r>
            <w:r>
              <w:rPr>
                <w:b w:val="0"/>
                <w:sz w:val="16"/>
              </w:rPr>
              <w:t>Is customer information appropriately collected, used and protected?</w:t>
            </w:r>
          </w:p>
        </w:tc>
      </w:tr>
      <w:tr>
        <w:trPr>
          <w:cantSplit/>
        </w:trPr>
        <w:tc>
          <w:tcPr>
            <w:tcW w:type="dxa" w:w="5155"/>
            <w:vAlign w:val="center"/>
          </w:tcPr>
          <w:p>
            <w:r>
              <w:rPr>
                <w:sz w:val="16"/>
              </w:rPr>
            </w:r>
            <w:r>
              <w:rPr>
                <w:b w:val="0"/>
                <w:sz w:val="16"/>
              </w:rPr>
              <w:t>Operations</w:t>
            </w:r>
          </w:p>
        </w:tc>
        <w:tc>
          <w:tcPr>
            <w:tcW w:type="dxa" w:w="5155"/>
            <w:vAlign w:val="center"/>
          </w:tcPr>
          <w:p>
            <w:r>
              <w:rPr>
                <w:sz w:val="16"/>
              </w:rPr>
            </w:r>
            <w:r>
              <w:rPr>
                <w:b w:val="0"/>
                <w:sz w:val="16"/>
              </w:rPr>
              <w:t>Are roles, maker-checker and escalation workable?</w:t>
            </w:r>
          </w:p>
        </w:tc>
      </w:tr>
      <w:tr>
        <w:trPr>
          <w:cantSplit/>
        </w:trPr>
        <w:tc>
          <w:tcPr>
            <w:tcW w:type="dxa" w:w="5155"/>
            <w:vAlign w:val="center"/>
          </w:tcPr>
          <w:p>
            <w:r>
              <w:rPr>
                <w:sz w:val="16"/>
              </w:rPr>
            </w:r>
            <w:r>
              <w:rPr>
                <w:b w:val="0"/>
                <w:sz w:val="16"/>
              </w:rPr>
              <w:t>Authority</w:t>
            </w:r>
          </w:p>
        </w:tc>
        <w:tc>
          <w:tcPr>
            <w:tcW w:type="dxa" w:w="5155"/>
            <w:vAlign w:val="center"/>
          </w:tcPr>
          <w:p>
            <w:r>
              <w:rPr>
                <w:sz w:val="16"/>
              </w:rPr>
            </w:r>
            <w:r>
              <w:rPr>
                <w:b w:val="0"/>
                <w:sz w:val="16"/>
              </w:rPr>
              <w:t>Are approval limits and entitlements correctly configured?</w:t>
            </w:r>
          </w:p>
        </w:tc>
      </w:tr>
      <w:tr>
        <w:trPr>
          <w:cantSplit/>
        </w:trPr>
        <w:tc>
          <w:tcPr>
            <w:tcW w:type="dxa" w:w="5155"/>
            <w:vAlign w:val="center"/>
          </w:tcPr>
          <w:p>
            <w:r>
              <w:rPr>
                <w:sz w:val="16"/>
              </w:rPr>
            </w:r>
            <w:r>
              <w:rPr>
                <w:b w:val="0"/>
                <w:sz w:val="16"/>
              </w:rPr>
              <w:t>Monitoring</w:t>
            </w:r>
          </w:p>
        </w:tc>
        <w:tc>
          <w:tcPr>
            <w:tcW w:type="dxa" w:w="5155"/>
            <w:vAlign w:val="center"/>
          </w:tcPr>
          <w:p>
            <w:r>
              <w:rPr>
                <w:sz w:val="16"/>
              </w:rPr>
            </w:r>
            <w:r>
              <w:rPr>
                <w:b w:val="0"/>
                <w:sz w:val="16"/>
              </w:rPr>
              <w:t>Can compliance with the new process be evidenced and tested?</w:t>
            </w:r>
          </w:p>
        </w:tc>
      </w:tr>
    </w:tbl>
    <w:p/>
    <w:p>
      <w:pPr>
        <w:pStyle w:val="Heading1"/>
      </w:pPr>
      <w:r>
        <w:t>10. Compliance Monitoring Plan</w:t>
      </w:r>
    </w:p>
    <w:p>
      <w:r>
        <w:t>Compliance shall maintain a risk-based annual monitoring plan approved by the Chief Compliance Officer.</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vAlign w:val="center"/>
            <w:shd w:fill="17365D"/>
          </w:tcPr>
          <w:p>
            <w:r>
              <w:rPr>
                <w:sz w:val="16"/>
              </w:rPr>
            </w:r>
            <w:r>
              <w:rPr>
                <w:b/>
                <w:color w:val="FFFFFF"/>
                <w:sz w:val="16"/>
              </w:rPr>
              <w:t>Tier</w:t>
            </w:r>
          </w:p>
        </w:tc>
        <w:tc>
          <w:tcPr>
            <w:tcW w:type="dxa" w:w="3437"/>
            <w:vAlign w:val="center"/>
            <w:shd w:fill="17365D"/>
          </w:tcPr>
          <w:p>
            <w:r>
              <w:rPr>
                <w:sz w:val="16"/>
              </w:rPr>
            </w:r>
            <w:r>
              <w:rPr>
                <w:b/>
                <w:color w:val="FFFFFF"/>
                <w:sz w:val="16"/>
              </w:rPr>
              <w:t>Typical Coverage</w:t>
            </w:r>
          </w:p>
        </w:tc>
        <w:tc>
          <w:tcPr>
            <w:tcW w:type="dxa" w:w="3437"/>
            <w:vAlign w:val="center"/>
            <w:shd w:fill="17365D"/>
          </w:tcPr>
          <w:p>
            <w:r>
              <w:rPr>
                <w:sz w:val="16"/>
              </w:rPr>
            </w:r>
            <w:r>
              <w:rPr>
                <w:b/>
                <w:color w:val="FFFFFF"/>
                <w:sz w:val="16"/>
              </w:rPr>
              <w:t>Frequency</w:t>
            </w:r>
          </w:p>
        </w:tc>
      </w:tr>
      <w:tr>
        <w:trPr>
          <w:cantSplit/>
        </w:trPr>
        <w:tc>
          <w:tcPr>
            <w:tcW w:type="dxa" w:w="3437"/>
            <w:vAlign w:val="center"/>
          </w:tcPr>
          <w:p>
            <w:r>
              <w:rPr>
                <w:sz w:val="16"/>
              </w:rPr>
            </w:r>
            <w:r>
              <w:rPr>
                <w:b w:val="0"/>
                <w:sz w:val="16"/>
              </w:rPr>
              <w:t>Tier 1 — Critical</w:t>
            </w:r>
          </w:p>
        </w:tc>
        <w:tc>
          <w:tcPr>
            <w:tcW w:type="dxa" w:w="3437"/>
            <w:vAlign w:val="center"/>
          </w:tcPr>
          <w:p>
            <w:r>
              <w:rPr>
                <w:sz w:val="16"/>
              </w:rPr>
            </w:r>
            <w:r>
              <w:rPr>
                <w:b w:val="0"/>
                <w:sz w:val="16"/>
              </w:rPr>
              <w:t>Zero-tolerance controls, material customer harm, AML/KYC restrictions, delegated authority.</w:t>
            </w:r>
          </w:p>
        </w:tc>
        <w:tc>
          <w:tcPr>
            <w:tcW w:type="dxa" w:w="3437"/>
            <w:vAlign w:val="center"/>
          </w:tcPr>
          <w:p>
            <w:r>
              <w:rPr>
                <w:sz w:val="16"/>
              </w:rPr>
            </w:r>
            <w:r>
              <w:rPr>
                <w:b w:val="0"/>
                <w:sz w:val="16"/>
              </w:rPr>
              <w:t>Monthly/quarterly</w:t>
            </w:r>
          </w:p>
        </w:tc>
      </w:tr>
      <w:tr>
        <w:trPr>
          <w:cantSplit/>
        </w:trPr>
        <w:tc>
          <w:tcPr>
            <w:tcW w:type="dxa" w:w="3437"/>
            <w:vAlign w:val="center"/>
          </w:tcPr>
          <w:p>
            <w:r>
              <w:rPr>
                <w:sz w:val="16"/>
              </w:rPr>
            </w:r>
            <w:r>
              <w:rPr>
                <w:b w:val="0"/>
                <w:sz w:val="16"/>
              </w:rPr>
              <w:t>Tier 2 — High</w:t>
            </w:r>
          </w:p>
        </w:tc>
        <w:tc>
          <w:tcPr>
            <w:tcW w:type="dxa" w:w="3437"/>
            <w:vAlign w:val="center"/>
          </w:tcPr>
          <w:p>
            <w:r>
              <w:rPr>
                <w:sz w:val="16"/>
              </w:rPr>
            </w:r>
            <w:r>
              <w:rPr>
                <w:b w:val="0"/>
                <w:sz w:val="16"/>
              </w:rPr>
              <w:t>High-volume customer processes, material disclosures, complaints, investment limit governance.</w:t>
            </w:r>
          </w:p>
        </w:tc>
        <w:tc>
          <w:tcPr>
            <w:tcW w:type="dxa" w:w="3437"/>
            <w:vAlign w:val="center"/>
          </w:tcPr>
          <w:p>
            <w:r>
              <w:rPr>
                <w:sz w:val="16"/>
              </w:rPr>
            </w:r>
            <w:r>
              <w:rPr>
                <w:b w:val="0"/>
                <w:sz w:val="16"/>
              </w:rPr>
              <w:t>Quarterly/semiannual</w:t>
            </w:r>
          </w:p>
        </w:tc>
      </w:tr>
      <w:tr>
        <w:trPr>
          <w:cantSplit/>
        </w:trPr>
        <w:tc>
          <w:tcPr>
            <w:tcW w:type="dxa" w:w="3437"/>
            <w:vAlign w:val="center"/>
          </w:tcPr>
          <w:p>
            <w:r>
              <w:rPr>
                <w:sz w:val="16"/>
              </w:rPr>
            </w:r>
            <w:r>
              <w:rPr>
                <w:b w:val="0"/>
                <w:sz w:val="16"/>
              </w:rPr>
              <w:t>Tier 3 — Moderate</w:t>
            </w:r>
          </w:p>
        </w:tc>
        <w:tc>
          <w:tcPr>
            <w:tcW w:type="dxa" w:w="3437"/>
            <w:vAlign w:val="center"/>
          </w:tcPr>
          <w:p>
            <w:r>
              <w:rPr>
                <w:sz w:val="16"/>
              </w:rPr>
            </w:r>
            <w:r>
              <w:rPr>
                <w:b w:val="0"/>
                <w:sz w:val="16"/>
              </w:rPr>
              <w:t>Stable processes with effective controls and low issue history.</w:t>
            </w:r>
          </w:p>
        </w:tc>
        <w:tc>
          <w:tcPr>
            <w:tcW w:type="dxa" w:w="3437"/>
            <w:vAlign w:val="center"/>
          </w:tcPr>
          <w:p>
            <w:r>
              <w:rPr>
                <w:sz w:val="16"/>
              </w:rPr>
            </w:r>
            <w:r>
              <w:rPr>
                <w:b w:val="0"/>
                <w:sz w:val="16"/>
              </w:rPr>
              <w:t>Annual / rotational</w:t>
            </w:r>
          </w:p>
        </w:tc>
      </w:tr>
      <w:tr>
        <w:trPr>
          <w:cantSplit/>
        </w:trPr>
        <w:tc>
          <w:tcPr>
            <w:tcW w:type="dxa" w:w="3437"/>
            <w:vAlign w:val="center"/>
          </w:tcPr>
          <w:p>
            <w:r>
              <w:rPr>
                <w:sz w:val="16"/>
              </w:rPr>
            </w:r>
            <w:r>
              <w:rPr>
                <w:b w:val="0"/>
                <w:sz w:val="16"/>
              </w:rPr>
              <w:t>Thematic</w:t>
            </w:r>
          </w:p>
        </w:tc>
        <w:tc>
          <w:tcPr>
            <w:tcW w:type="dxa" w:w="3437"/>
            <w:vAlign w:val="center"/>
          </w:tcPr>
          <w:p>
            <w:r>
              <w:rPr>
                <w:sz w:val="16"/>
              </w:rPr>
            </w:r>
            <w:r>
              <w:rPr>
                <w:b w:val="0"/>
                <w:sz w:val="16"/>
              </w:rPr>
              <w:t>Cross-business theme or emerging issue.</w:t>
            </w:r>
          </w:p>
        </w:tc>
        <w:tc>
          <w:tcPr>
            <w:tcW w:type="dxa" w:w="3437"/>
            <w:vAlign w:val="center"/>
          </w:tcPr>
          <w:p>
            <w:r>
              <w:rPr>
                <w:sz w:val="16"/>
              </w:rPr>
            </w:r>
            <w:r>
              <w:rPr>
                <w:b w:val="0"/>
                <w:sz w:val="16"/>
              </w:rPr>
              <w:t>As directed</w:t>
            </w:r>
          </w:p>
        </w:tc>
      </w:tr>
    </w:tbl>
    <w:p/>
    <w:p>
      <w:pPr>
        <w:pStyle w:val="Heading1"/>
      </w:pPr>
      <w:r>
        <w:t>11. Compliance Testing Methodology</w:t>
      </w:r>
    </w:p>
    <w:p>
      <w:r>
        <w:t>Testing shall define scope, population, sample method, control objective, evidence standard and conclusion. Sample size should reflect risk, volume and control nature rather than a mechanical fixed number.</w:t>
      </w:r>
    </w:p>
    <w:p>
      <w:pPr>
        <w:pStyle w:val="ListBullet"/>
      </w:pPr>
      <w:r>
        <w:t>Separate design effectiveness from operating effectiveness.</w:t>
      </w:r>
    </w:p>
    <w:p>
      <w:pPr>
        <w:pStyle w:val="ListBullet"/>
      </w:pPr>
      <w:r>
        <w:t>Document exceptions individually.</w:t>
      </w:r>
    </w:p>
    <w:p>
      <w:pPr>
        <w:pStyle w:val="ListBullet"/>
      </w:pPr>
      <w:r>
        <w:t>Do not treat missing evidence as control success.</w:t>
      </w:r>
    </w:p>
    <w:p>
      <w:pPr>
        <w:pStyle w:val="ListBullet"/>
      </w:pPr>
      <w:r>
        <w:t>Where data reliability is uncertain, validate the population before drawing conclusions.</w:t>
      </w:r>
    </w:p>
    <w:p>
      <w:pPr>
        <w:pStyle w:val="ListBullet"/>
      </w:pPr>
      <w:r>
        <w:t>Repeat testing may be required after remediation.</w:t>
      </w:r>
    </w:p>
    <w:p>
      <w:pPr>
        <w:pStyle w:val="Heading1"/>
      </w:pPr>
      <w:r>
        <w:t>12. Issue Rating</w:t>
      </w:r>
    </w:p>
    <w:p>
      <w:r>
        <w:t>Compliance findings shall be rated using impact, likelihood, scale, duration, customer harm, legal/regulatory significance and control weakness.</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vAlign w:val="center"/>
            <w:shd w:fill="17365D"/>
          </w:tcPr>
          <w:p>
            <w:r>
              <w:rPr>
                <w:sz w:val="16"/>
              </w:rPr>
            </w:r>
            <w:r>
              <w:rPr>
                <w:b/>
                <w:color w:val="FFFFFF"/>
                <w:sz w:val="16"/>
              </w:rPr>
              <w:t>Rating</w:t>
            </w:r>
          </w:p>
        </w:tc>
        <w:tc>
          <w:tcPr>
            <w:tcW w:type="dxa" w:w="3437"/>
            <w:vAlign w:val="center"/>
            <w:shd w:fill="17365D"/>
          </w:tcPr>
          <w:p>
            <w:r>
              <w:rPr>
                <w:sz w:val="16"/>
              </w:rPr>
            </w:r>
            <w:r>
              <w:rPr>
                <w:b/>
                <w:color w:val="FFFFFF"/>
                <w:sz w:val="16"/>
              </w:rPr>
              <w:t>Meaning</w:t>
            </w:r>
          </w:p>
        </w:tc>
        <w:tc>
          <w:tcPr>
            <w:tcW w:type="dxa" w:w="3437"/>
            <w:vAlign w:val="center"/>
            <w:shd w:fill="17365D"/>
          </w:tcPr>
          <w:p>
            <w:r>
              <w:rPr>
                <w:sz w:val="16"/>
              </w:rPr>
            </w:r>
            <w:r>
              <w:rPr>
                <w:b/>
                <w:color w:val="FFFFFF"/>
                <w:sz w:val="16"/>
              </w:rPr>
              <w:t>Typical Escalation</w:t>
            </w:r>
          </w:p>
        </w:tc>
      </w:tr>
      <w:tr>
        <w:trPr>
          <w:cantSplit/>
        </w:trPr>
        <w:tc>
          <w:tcPr>
            <w:tcW w:type="dxa" w:w="3437"/>
            <w:vAlign w:val="center"/>
          </w:tcPr>
          <w:p>
            <w:r>
              <w:rPr>
                <w:sz w:val="16"/>
              </w:rPr>
            </w:r>
            <w:r>
              <w:rPr>
                <w:b w:val="0"/>
                <w:sz w:val="16"/>
              </w:rPr>
              <w:t>C1 — Low</w:t>
            </w:r>
          </w:p>
        </w:tc>
        <w:tc>
          <w:tcPr>
            <w:tcW w:type="dxa" w:w="3437"/>
            <w:vAlign w:val="center"/>
          </w:tcPr>
          <w:p>
            <w:r>
              <w:rPr>
                <w:sz w:val="16"/>
              </w:rPr>
            </w:r>
            <w:r>
              <w:rPr>
                <w:b w:val="0"/>
                <w:sz w:val="16"/>
              </w:rPr>
              <w:t>Isolated minor weakness; limited impact.</w:t>
            </w:r>
          </w:p>
        </w:tc>
        <w:tc>
          <w:tcPr>
            <w:tcW w:type="dxa" w:w="3437"/>
            <w:vAlign w:val="center"/>
          </w:tcPr>
          <w:p>
            <w:r>
              <w:rPr>
                <w:sz w:val="16"/>
              </w:rPr>
            </w:r>
            <w:r>
              <w:rPr>
                <w:b w:val="0"/>
                <w:sz w:val="16"/>
              </w:rPr>
              <w:t>Business owner and Compliance manager</w:t>
            </w:r>
          </w:p>
        </w:tc>
      </w:tr>
      <w:tr>
        <w:trPr>
          <w:cantSplit/>
        </w:trPr>
        <w:tc>
          <w:tcPr>
            <w:tcW w:type="dxa" w:w="3437"/>
            <w:vAlign w:val="center"/>
          </w:tcPr>
          <w:p>
            <w:r>
              <w:rPr>
                <w:sz w:val="16"/>
              </w:rPr>
            </w:r>
            <w:r>
              <w:rPr>
                <w:b w:val="0"/>
                <w:sz w:val="16"/>
              </w:rPr>
              <w:t>C2 — Moderate</w:t>
            </w:r>
          </w:p>
        </w:tc>
        <w:tc>
          <w:tcPr>
            <w:tcW w:type="dxa" w:w="3437"/>
            <w:vAlign w:val="center"/>
          </w:tcPr>
          <w:p>
            <w:r>
              <w:rPr>
                <w:sz w:val="16"/>
              </w:rPr>
            </w:r>
            <w:r>
              <w:rPr>
                <w:b w:val="0"/>
                <w:sz w:val="16"/>
              </w:rPr>
              <w:t>Control weakness with wider exposure or repeat risk.</w:t>
            </w:r>
          </w:p>
        </w:tc>
        <w:tc>
          <w:tcPr>
            <w:tcW w:type="dxa" w:w="3437"/>
            <w:vAlign w:val="center"/>
          </w:tcPr>
          <w:p>
            <w:r>
              <w:rPr>
                <w:sz w:val="16"/>
              </w:rPr>
            </w:r>
            <w:r>
              <w:rPr>
                <w:b w:val="0"/>
                <w:sz w:val="16"/>
              </w:rPr>
              <w:t>Business head + Compliance head</w:t>
            </w:r>
          </w:p>
        </w:tc>
      </w:tr>
      <w:tr>
        <w:trPr>
          <w:cantSplit/>
        </w:trPr>
        <w:tc>
          <w:tcPr>
            <w:tcW w:type="dxa" w:w="3437"/>
            <w:vAlign w:val="center"/>
          </w:tcPr>
          <w:p>
            <w:r>
              <w:rPr>
                <w:sz w:val="16"/>
              </w:rPr>
            </w:r>
            <w:r>
              <w:rPr>
                <w:b w:val="0"/>
                <w:sz w:val="16"/>
              </w:rPr>
              <w:t>C3 — High</w:t>
            </w:r>
          </w:p>
        </w:tc>
        <w:tc>
          <w:tcPr>
            <w:tcW w:type="dxa" w:w="3437"/>
            <w:vAlign w:val="center"/>
          </w:tcPr>
          <w:p>
            <w:r>
              <w:rPr>
                <w:sz w:val="16"/>
              </w:rPr>
            </w:r>
            <w:r>
              <w:rPr>
                <w:b w:val="0"/>
                <w:sz w:val="16"/>
              </w:rPr>
              <w:t>Material control failure, customer harm or significant governance issue.</w:t>
            </w:r>
          </w:p>
        </w:tc>
        <w:tc>
          <w:tcPr>
            <w:tcW w:type="dxa" w:w="3437"/>
            <w:vAlign w:val="center"/>
          </w:tcPr>
          <w:p>
            <w:r>
              <w:rPr>
                <w:sz w:val="16"/>
              </w:rPr>
            </w:r>
            <w:r>
              <w:rPr>
                <w:b w:val="0"/>
                <w:sz w:val="16"/>
              </w:rPr>
              <w:t>CCO + executive management</w:t>
            </w:r>
          </w:p>
        </w:tc>
      </w:tr>
      <w:tr>
        <w:trPr>
          <w:cantSplit/>
        </w:trPr>
        <w:tc>
          <w:tcPr>
            <w:tcW w:type="dxa" w:w="3437"/>
            <w:vAlign w:val="center"/>
          </w:tcPr>
          <w:p>
            <w:r>
              <w:rPr>
                <w:sz w:val="16"/>
              </w:rPr>
            </w:r>
            <w:r>
              <w:rPr>
                <w:b w:val="0"/>
                <w:sz w:val="16"/>
              </w:rPr>
              <w:t>C4 — Critical</w:t>
            </w:r>
          </w:p>
        </w:tc>
        <w:tc>
          <w:tcPr>
            <w:tcW w:type="dxa" w:w="3437"/>
            <w:vAlign w:val="center"/>
          </w:tcPr>
          <w:p>
            <w:r>
              <w:rPr>
                <w:sz w:val="16"/>
              </w:rPr>
            </w:r>
            <w:r>
              <w:rPr>
                <w:b w:val="0"/>
                <w:sz w:val="16"/>
              </w:rPr>
              <w:t>Severe or systemic issue requiring immediate executive/committee attention.</w:t>
            </w:r>
          </w:p>
        </w:tc>
        <w:tc>
          <w:tcPr>
            <w:tcW w:type="dxa" w:w="3437"/>
            <w:vAlign w:val="center"/>
          </w:tcPr>
          <w:p>
            <w:r>
              <w:rPr>
                <w:sz w:val="16"/>
              </w:rPr>
            </w:r>
            <w:r>
              <w:rPr>
                <w:b w:val="0"/>
                <w:sz w:val="16"/>
              </w:rPr>
              <w:t>CCO, CRO/CEO and committee/Board as appropriate</w:t>
            </w:r>
          </w:p>
        </w:tc>
      </w:tr>
    </w:tbl>
    <w:p/>
    <w:p>
      <w:pPr>
        <w:pStyle w:val="Heading1"/>
      </w:pPr>
      <w:r>
        <w:t>13. Compliance Breaches</w:t>
      </w:r>
    </w:p>
    <w:p>
      <w:r>
        <w:t>Potential breaches shall be handled under CBP-043. Containment should not wait for perfect classification.</w:t>
      </w:r>
    </w:p>
    <w:p>
      <w:r>
        <w:t>A retrospective approval may help remediate an authority or exception failure but does not convert an untimely action into a timely exception. This mirrors the treatment established in CEP-006 and applies across compliance oversight.</w:t>
      </w:r>
    </w:p>
    <w:p>
      <w:pPr>
        <w:pStyle w:val="Heading1"/>
      </w:pPr>
      <w:r>
        <w:t>14. Regulatory Change Management</w:t>
      </w:r>
    </w:p>
    <w:p>
      <w:r>
        <w:t>Northstar shall use a controlled change process for confirmed external or internal regulatory requirements.</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Stage</w:t>
            </w:r>
          </w:p>
        </w:tc>
        <w:tc>
          <w:tcPr>
            <w:tcW w:type="dxa" w:w="5155"/>
            <w:vAlign w:val="center"/>
            <w:shd w:fill="17365D"/>
          </w:tcPr>
          <w:p>
            <w:r>
              <w:rPr>
                <w:sz w:val="16"/>
              </w:rPr>
            </w:r>
            <w:r>
              <w:rPr>
                <w:b/>
                <w:color w:val="FFFFFF"/>
                <w:sz w:val="16"/>
              </w:rPr>
              <w:t>Control</w:t>
            </w:r>
          </w:p>
        </w:tc>
      </w:tr>
      <w:tr>
        <w:trPr>
          <w:cantSplit/>
        </w:trPr>
        <w:tc>
          <w:tcPr>
            <w:tcW w:type="dxa" w:w="5155"/>
            <w:vAlign w:val="center"/>
          </w:tcPr>
          <w:p>
            <w:r>
              <w:rPr>
                <w:sz w:val="16"/>
              </w:rPr>
            </w:r>
            <w:r>
              <w:rPr>
                <w:b w:val="0"/>
                <w:sz w:val="16"/>
              </w:rPr>
              <w:t>Identify</w:t>
            </w:r>
          </w:p>
        </w:tc>
        <w:tc>
          <w:tcPr>
            <w:tcW w:type="dxa" w:w="5155"/>
            <w:vAlign w:val="center"/>
          </w:tcPr>
          <w:p>
            <w:r>
              <w:rPr>
                <w:sz w:val="16"/>
              </w:rPr>
            </w:r>
            <w:r>
              <w:rPr>
                <w:b w:val="0"/>
                <w:sz w:val="16"/>
              </w:rPr>
              <w:t>Record source and responsible reviewer.</w:t>
            </w:r>
          </w:p>
        </w:tc>
      </w:tr>
      <w:tr>
        <w:trPr>
          <w:cantSplit/>
        </w:trPr>
        <w:tc>
          <w:tcPr>
            <w:tcW w:type="dxa" w:w="5155"/>
            <w:vAlign w:val="center"/>
          </w:tcPr>
          <w:p>
            <w:r>
              <w:rPr>
                <w:sz w:val="16"/>
              </w:rPr>
            </w:r>
            <w:r>
              <w:rPr>
                <w:b w:val="0"/>
                <w:sz w:val="16"/>
              </w:rPr>
              <w:t>Assess</w:t>
            </w:r>
          </w:p>
        </w:tc>
        <w:tc>
          <w:tcPr>
            <w:tcW w:type="dxa" w:w="5155"/>
            <w:vAlign w:val="center"/>
          </w:tcPr>
          <w:p>
            <w:r>
              <w:rPr>
                <w:sz w:val="16"/>
              </w:rPr>
            </w:r>
            <w:r>
              <w:rPr>
                <w:b w:val="0"/>
                <w:sz w:val="16"/>
              </w:rPr>
              <w:t>Determine applicability, impact, owner and due date.</w:t>
            </w:r>
          </w:p>
        </w:tc>
      </w:tr>
      <w:tr>
        <w:trPr>
          <w:cantSplit/>
        </w:trPr>
        <w:tc>
          <w:tcPr>
            <w:tcW w:type="dxa" w:w="5155"/>
            <w:vAlign w:val="center"/>
          </w:tcPr>
          <w:p>
            <w:r>
              <w:rPr>
                <w:sz w:val="16"/>
              </w:rPr>
            </w:r>
            <w:r>
              <w:rPr>
                <w:b w:val="0"/>
                <w:sz w:val="16"/>
              </w:rPr>
              <w:t>Interpret</w:t>
            </w:r>
          </w:p>
        </w:tc>
        <w:tc>
          <w:tcPr>
            <w:tcW w:type="dxa" w:w="5155"/>
            <w:vAlign w:val="center"/>
          </w:tcPr>
          <w:p>
            <w:r>
              <w:rPr>
                <w:sz w:val="16"/>
              </w:rPr>
            </w:r>
            <w:r>
              <w:rPr>
                <w:b w:val="0"/>
                <w:sz w:val="16"/>
              </w:rPr>
              <w:t>Document approved internal interpretation; avoid unsupported assumptions.</w:t>
            </w:r>
          </w:p>
        </w:tc>
      </w:tr>
      <w:tr>
        <w:trPr>
          <w:cantSplit/>
        </w:trPr>
        <w:tc>
          <w:tcPr>
            <w:tcW w:type="dxa" w:w="5155"/>
            <w:vAlign w:val="center"/>
          </w:tcPr>
          <w:p>
            <w:r>
              <w:rPr>
                <w:sz w:val="16"/>
              </w:rPr>
            </w:r>
            <w:r>
              <w:rPr>
                <w:b w:val="0"/>
                <w:sz w:val="16"/>
              </w:rPr>
              <w:t>Implement</w:t>
            </w:r>
          </w:p>
        </w:tc>
        <w:tc>
          <w:tcPr>
            <w:tcW w:type="dxa" w:w="5155"/>
            <w:vAlign w:val="center"/>
          </w:tcPr>
          <w:p>
            <w:r>
              <w:rPr>
                <w:sz w:val="16"/>
              </w:rPr>
            </w:r>
            <w:r>
              <w:rPr>
                <w:b w:val="0"/>
                <w:sz w:val="16"/>
              </w:rPr>
              <w:t>Update policy, process, systems, training and monitoring.</w:t>
            </w:r>
          </w:p>
        </w:tc>
      </w:tr>
      <w:tr>
        <w:trPr>
          <w:cantSplit/>
        </w:trPr>
        <w:tc>
          <w:tcPr>
            <w:tcW w:type="dxa" w:w="5155"/>
            <w:vAlign w:val="center"/>
          </w:tcPr>
          <w:p>
            <w:r>
              <w:rPr>
                <w:sz w:val="16"/>
              </w:rPr>
            </w:r>
            <w:r>
              <w:rPr>
                <w:b w:val="0"/>
                <w:sz w:val="16"/>
              </w:rPr>
              <w:t>Validate</w:t>
            </w:r>
          </w:p>
        </w:tc>
        <w:tc>
          <w:tcPr>
            <w:tcW w:type="dxa" w:w="5155"/>
            <w:vAlign w:val="center"/>
          </w:tcPr>
          <w:p>
            <w:r>
              <w:rPr>
                <w:sz w:val="16"/>
              </w:rPr>
            </w:r>
            <w:r>
              <w:rPr>
                <w:b w:val="0"/>
                <w:sz w:val="16"/>
              </w:rPr>
              <w:t>Confirm implementation evidence and residual gaps.</w:t>
            </w:r>
          </w:p>
        </w:tc>
      </w:tr>
      <w:tr>
        <w:trPr>
          <w:cantSplit/>
        </w:trPr>
        <w:tc>
          <w:tcPr>
            <w:tcW w:type="dxa" w:w="5155"/>
            <w:vAlign w:val="center"/>
          </w:tcPr>
          <w:p>
            <w:r>
              <w:rPr>
                <w:sz w:val="16"/>
              </w:rPr>
            </w:r>
            <w:r>
              <w:rPr>
                <w:b w:val="0"/>
                <w:sz w:val="16"/>
              </w:rPr>
              <w:t>Close</w:t>
            </w:r>
          </w:p>
        </w:tc>
        <w:tc>
          <w:tcPr>
            <w:tcW w:type="dxa" w:w="5155"/>
            <w:vAlign w:val="center"/>
          </w:tcPr>
          <w:p>
            <w:r>
              <w:rPr>
                <w:sz w:val="16"/>
              </w:rPr>
            </w:r>
            <w:r>
              <w:rPr>
                <w:b w:val="0"/>
                <w:sz w:val="16"/>
              </w:rPr>
              <w:t>Formal closure with accountable owner and Compliance review.</w:t>
            </w:r>
          </w:p>
        </w:tc>
      </w:tr>
    </w:tbl>
    <w:p/>
    <w:p>
      <w:pPr>
        <w:pStyle w:val="Heading1"/>
      </w:pPr>
      <w:r>
        <w:t>15. Regulatory Reporting Governance</w:t>
      </w:r>
    </w:p>
    <w:p>
      <w:r>
        <w:t>Where Northstar is required to make an external report, responsible functions shall use the applicable confirmed requirement and approved reporting process. The Compliance Manual does not invent submission duties.</w:t>
      </w:r>
    </w:p>
    <w:p>
      <w:r>
        <w:t>Late, inaccurate or incomplete reporting events must be assessed under CBP-043 and escalated based on actual materiality and applicable confirmed obligations.</w:t>
      </w:r>
    </w:p>
    <w:p>
      <w:pPr>
        <w:pStyle w:val="Heading1"/>
      </w:pPr>
      <w:r>
        <w:t>16. Customer Fairness and Conduct</w:t>
      </w:r>
    </w:p>
    <w:p>
      <w:r>
        <w:t>Northstar expects fair, transparent and consistent customer treatment throughout onboarding, lending, servicing, complaints and collections.</w:t>
      </w:r>
    </w:p>
    <w:p>
      <w:pPr>
        <w:pStyle w:val="ListBullet"/>
      </w:pPr>
      <w:r>
        <w:t>Do not misrepresent eligibility, pricing, approval likelihood or product features.</w:t>
      </w:r>
    </w:p>
    <w:p>
      <w:pPr>
        <w:pStyle w:val="ListBullet"/>
      </w:pPr>
      <w:r>
        <w:t>Do not pressure customers to provide unnecessary information or accept optional products.</w:t>
      </w:r>
    </w:p>
    <w:p>
      <w:pPr>
        <w:pStyle w:val="ListBullet"/>
      </w:pPr>
      <w:r>
        <w:t>Provide explanations appropriate to the process and channel.</w:t>
      </w:r>
    </w:p>
    <w:p>
      <w:pPr>
        <w:pStyle w:val="ListBullet"/>
      </w:pPr>
      <w:r>
        <w:t>Escalate vulnerable-customer or material fairness concerns.</w:t>
      </w:r>
    </w:p>
    <w:p>
      <w:pPr>
        <w:pStyle w:val="ListBullet"/>
      </w:pPr>
      <w:r>
        <w:t>Monitor incentives for unintended conduct risk.</w:t>
      </w:r>
    </w:p>
    <w:p>
      <w:pPr>
        <w:pStyle w:val="Heading1"/>
      </w:pPr>
      <w:r>
        <w:t>17. Complaints Oversight</w:t>
      </w:r>
    </w:p>
    <w:p>
      <w:r>
        <w:t>Customer Service owns complaint handling under the Complaints Handling Procedure when issued. Compliance independently monitors themes, material cases and potential control breaches.</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Theme</w:t>
            </w:r>
          </w:p>
        </w:tc>
        <w:tc>
          <w:tcPr>
            <w:tcW w:type="dxa" w:w="5155"/>
            <w:vAlign w:val="center"/>
            <w:shd w:fill="17365D"/>
          </w:tcPr>
          <w:p>
            <w:r>
              <w:rPr>
                <w:sz w:val="16"/>
              </w:rPr>
            </w:r>
            <w:r>
              <w:rPr>
                <w:b/>
                <w:color w:val="FFFFFF"/>
                <w:sz w:val="16"/>
              </w:rPr>
              <w:t>Compliance Focus</w:t>
            </w:r>
          </w:p>
        </w:tc>
      </w:tr>
      <w:tr>
        <w:trPr>
          <w:cantSplit/>
        </w:trPr>
        <w:tc>
          <w:tcPr>
            <w:tcW w:type="dxa" w:w="5155"/>
            <w:vAlign w:val="center"/>
          </w:tcPr>
          <w:p>
            <w:r>
              <w:rPr>
                <w:sz w:val="16"/>
              </w:rPr>
            </w:r>
            <w:r>
              <w:rPr>
                <w:b w:val="0"/>
                <w:sz w:val="16"/>
              </w:rPr>
              <w:t>Repeated delay</w:t>
            </w:r>
          </w:p>
        </w:tc>
        <w:tc>
          <w:tcPr>
            <w:tcW w:type="dxa" w:w="5155"/>
            <w:vAlign w:val="center"/>
          </w:tcPr>
          <w:p>
            <w:r>
              <w:rPr>
                <w:sz w:val="16"/>
              </w:rPr>
            </w:r>
            <w:r>
              <w:rPr>
                <w:b w:val="0"/>
                <w:sz w:val="16"/>
              </w:rPr>
              <w:t>Control design/capacity issue</w:t>
            </w:r>
          </w:p>
        </w:tc>
      </w:tr>
      <w:tr>
        <w:trPr>
          <w:cantSplit/>
        </w:trPr>
        <w:tc>
          <w:tcPr>
            <w:tcW w:type="dxa" w:w="5155"/>
            <w:vAlign w:val="center"/>
          </w:tcPr>
          <w:p>
            <w:r>
              <w:rPr>
                <w:sz w:val="16"/>
              </w:rPr>
            </w:r>
            <w:r>
              <w:rPr>
                <w:b w:val="0"/>
                <w:sz w:val="16"/>
              </w:rPr>
              <w:t>Misleading communication</w:t>
            </w:r>
          </w:p>
        </w:tc>
        <w:tc>
          <w:tcPr>
            <w:tcW w:type="dxa" w:w="5155"/>
            <w:vAlign w:val="center"/>
          </w:tcPr>
          <w:p>
            <w:r>
              <w:rPr>
                <w:sz w:val="16"/>
              </w:rPr>
            </w:r>
            <w:r>
              <w:rPr>
                <w:b w:val="0"/>
                <w:sz w:val="16"/>
              </w:rPr>
              <w:t>Conduct and disclosure risk</w:t>
            </w:r>
          </w:p>
        </w:tc>
      </w:tr>
      <w:tr>
        <w:trPr>
          <w:cantSplit/>
        </w:trPr>
        <w:tc>
          <w:tcPr>
            <w:tcW w:type="dxa" w:w="5155"/>
            <w:vAlign w:val="center"/>
          </w:tcPr>
          <w:p>
            <w:r>
              <w:rPr>
                <w:sz w:val="16"/>
              </w:rPr>
            </w:r>
            <w:r>
              <w:rPr>
                <w:b w:val="0"/>
                <w:sz w:val="16"/>
              </w:rPr>
              <w:t>Unauthorized transaction or access</w:t>
            </w:r>
          </w:p>
        </w:tc>
        <w:tc>
          <w:tcPr>
            <w:tcW w:type="dxa" w:w="5155"/>
            <w:vAlign w:val="center"/>
          </w:tcPr>
          <w:p>
            <w:r>
              <w:rPr>
                <w:sz w:val="16"/>
              </w:rPr>
            </w:r>
            <w:r>
              <w:rPr>
                <w:b w:val="0"/>
                <w:sz w:val="16"/>
              </w:rPr>
              <w:t>Fraud/security escalation</w:t>
            </w:r>
          </w:p>
        </w:tc>
      </w:tr>
      <w:tr>
        <w:trPr>
          <w:cantSplit/>
        </w:trPr>
        <w:tc>
          <w:tcPr>
            <w:tcW w:type="dxa" w:w="5155"/>
            <w:vAlign w:val="center"/>
          </w:tcPr>
          <w:p>
            <w:r>
              <w:rPr>
                <w:sz w:val="16"/>
              </w:rPr>
            </w:r>
            <w:r>
              <w:rPr>
                <w:b w:val="0"/>
                <w:sz w:val="16"/>
              </w:rPr>
              <w:t>KYC restriction dispute</w:t>
            </w:r>
          </w:p>
        </w:tc>
        <w:tc>
          <w:tcPr>
            <w:tcW w:type="dxa" w:w="5155"/>
            <w:vAlign w:val="center"/>
          </w:tcPr>
          <w:p>
            <w:r>
              <w:rPr>
                <w:sz w:val="16"/>
              </w:rPr>
            </w:r>
            <w:r>
              <w:rPr>
                <w:b w:val="0"/>
                <w:sz w:val="16"/>
              </w:rPr>
              <w:t>Whether restriction and communication followed controlled process</w:t>
            </w:r>
          </w:p>
        </w:tc>
      </w:tr>
      <w:tr>
        <w:trPr>
          <w:cantSplit/>
        </w:trPr>
        <w:tc>
          <w:tcPr>
            <w:tcW w:type="dxa" w:w="5155"/>
            <w:vAlign w:val="center"/>
          </w:tcPr>
          <w:p>
            <w:r>
              <w:rPr>
                <w:sz w:val="16"/>
              </w:rPr>
            </w:r>
            <w:r>
              <w:rPr>
                <w:b w:val="0"/>
                <w:sz w:val="16"/>
              </w:rPr>
              <w:t>Collections conduct</w:t>
            </w:r>
          </w:p>
        </w:tc>
        <w:tc>
          <w:tcPr>
            <w:tcW w:type="dxa" w:w="5155"/>
            <w:vAlign w:val="center"/>
          </w:tcPr>
          <w:p>
            <w:r>
              <w:rPr>
                <w:sz w:val="16"/>
              </w:rPr>
            </w:r>
            <w:r>
              <w:rPr>
                <w:b w:val="0"/>
                <w:sz w:val="16"/>
              </w:rPr>
              <w:t>Fair treatment and escalation</w:t>
            </w:r>
          </w:p>
        </w:tc>
      </w:tr>
    </w:tbl>
    <w:p/>
    <w:p>
      <w:pPr>
        <w:pStyle w:val="Heading1"/>
      </w:pPr>
      <w:r>
        <w:t>18. Conflicts of Interest</w:t>
      </w:r>
    </w:p>
    <w:p>
      <w:r>
        <w:t>Employees shall identify and manage actual, potential or perceived conflicts between personal interests, customer interests and Northstar duties.</w:t>
      </w:r>
    </w:p>
    <w:p>
      <w:pPr>
        <w:pStyle w:val="ListBullet"/>
      </w:pPr>
      <w:r>
        <w:t>Personal relationships with customers, vendors or counterparties.</w:t>
      </w:r>
    </w:p>
    <w:p>
      <w:pPr>
        <w:pStyle w:val="ListBullet"/>
      </w:pPr>
      <w:r>
        <w:t>Outside employment, directorships or financial interests.</w:t>
      </w:r>
    </w:p>
    <w:p>
      <w:pPr>
        <w:pStyle w:val="ListBullet"/>
      </w:pPr>
      <w:r>
        <w:t>Gifts, entertainment or benefits that may influence judgment.</w:t>
      </w:r>
    </w:p>
    <w:p>
      <w:pPr>
        <w:pStyle w:val="ListBullet"/>
      </w:pPr>
      <w:r>
        <w:t>Personal account dealing where relevant to investment activities.</w:t>
      </w:r>
    </w:p>
    <w:p>
      <w:pPr>
        <w:pStyle w:val="ListBullet"/>
      </w:pPr>
      <w:r>
        <w:t>Participation in a decision involving a related party.</w:t>
      </w:r>
    </w:p>
    <w:p>
      <w:pPr>
        <w:pStyle w:val="Heading1"/>
      </w:pPr>
      <w:r>
        <w:t>19. Gifts and Hospitality</w:t>
      </w:r>
    </w:p>
    <w:p>
      <w:r>
        <w:t>Gifts and hospitality must be reasonable, transparent and incapable of influencing business judgment. Cash or cash-equivalent gifts are prohibited.</w:t>
      </w:r>
    </w:p>
    <w:p>
      <w:r>
        <w:t>CMP-012 v2.0 used a ₹7,500 prior-approval threshold. Version 2.1 reduces the threshold to ₹5,000 from 1 March 2026. Historical gifts are judged against the rule in force at the time but remain subject to conflict assessment.</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Value / Type</w:t>
            </w:r>
          </w:p>
        </w:tc>
        <w:tc>
          <w:tcPr>
            <w:tcW w:type="dxa" w:w="5155"/>
            <w:vAlign w:val="center"/>
            <w:shd w:fill="17365D"/>
          </w:tcPr>
          <w:p>
            <w:r>
              <w:rPr>
                <w:sz w:val="16"/>
              </w:rPr>
            </w:r>
            <w:r>
              <w:rPr>
                <w:b/>
                <w:color w:val="FFFFFF"/>
                <w:sz w:val="16"/>
              </w:rPr>
              <w:t>Current Treatment</w:t>
            </w:r>
          </w:p>
        </w:tc>
      </w:tr>
      <w:tr>
        <w:trPr>
          <w:cantSplit/>
        </w:trPr>
        <w:tc>
          <w:tcPr>
            <w:tcW w:type="dxa" w:w="5155"/>
            <w:vAlign w:val="center"/>
          </w:tcPr>
          <w:p>
            <w:r>
              <w:rPr>
                <w:sz w:val="16"/>
              </w:rPr>
            </w:r>
            <w:r>
              <w:rPr>
                <w:b w:val="0"/>
                <w:sz w:val="16"/>
              </w:rPr>
              <w:t>Nominal promotional item ≤₹1,500</w:t>
            </w:r>
          </w:p>
        </w:tc>
        <w:tc>
          <w:tcPr>
            <w:tcW w:type="dxa" w:w="5155"/>
            <w:vAlign w:val="center"/>
          </w:tcPr>
          <w:p>
            <w:r>
              <w:rPr>
                <w:sz w:val="16"/>
              </w:rPr>
            </w:r>
            <w:r>
              <w:rPr>
                <w:b w:val="0"/>
                <w:sz w:val="16"/>
              </w:rPr>
              <w:t>May be accepted if infrequent and no conflict.</w:t>
            </w:r>
          </w:p>
        </w:tc>
      </w:tr>
      <w:tr>
        <w:trPr>
          <w:cantSplit/>
        </w:trPr>
        <w:tc>
          <w:tcPr>
            <w:tcW w:type="dxa" w:w="5155"/>
            <w:vAlign w:val="center"/>
          </w:tcPr>
          <w:p>
            <w:r>
              <w:rPr>
                <w:sz w:val="16"/>
              </w:rPr>
            </w:r>
            <w:r>
              <w:rPr>
                <w:b w:val="0"/>
                <w:sz w:val="16"/>
              </w:rPr>
              <w:t>Gift / hospitality &gt;₹1,500 and ≤₹5,000</w:t>
            </w:r>
          </w:p>
        </w:tc>
        <w:tc>
          <w:tcPr>
            <w:tcW w:type="dxa" w:w="5155"/>
            <w:vAlign w:val="center"/>
          </w:tcPr>
          <w:p>
            <w:r>
              <w:rPr>
                <w:sz w:val="16"/>
              </w:rPr>
            </w:r>
            <w:r>
              <w:rPr>
                <w:b w:val="0"/>
                <w:sz w:val="16"/>
              </w:rPr>
              <w:t>Manager disclosure and register entry.</w:t>
            </w:r>
          </w:p>
        </w:tc>
      </w:tr>
      <w:tr>
        <w:trPr>
          <w:cantSplit/>
        </w:trPr>
        <w:tc>
          <w:tcPr>
            <w:tcW w:type="dxa" w:w="5155"/>
            <w:vAlign w:val="center"/>
          </w:tcPr>
          <w:p>
            <w:r>
              <w:rPr>
                <w:sz w:val="16"/>
              </w:rPr>
            </w:r>
            <w:r>
              <w:rPr>
                <w:b w:val="0"/>
                <w:sz w:val="16"/>
              </w:rPr>
              <w:t>Above ₹5,000</w:t>
            </w:r>
          </w:p>
        </w:tc>
        <w:tc>
          <w:tcPr>
            <w:tcW w:type="dxa" w:w="5155"/>
            <w:vAlign w:val="center"/>
          </w:tcPr>
          <w:p>
            <w:r>
              <w:rPr>
                <w:sz w:val="16"/>
              </w:rPr>
            </w:r>
            <w:r>
              <w:rPr>
                <w:b w:val="0"/>
                <w:sz w:val="16"/>
              </w:rPr>
              <w:t>Prior Compliance approval required; ordinarily decline if linked to an active decision.</w:t>
            </w:r>
          </w:p>
        </w:tc>
      </w:tr>
      <w:tr>
        <w:trPr>
          <w:cantSplit/>
        </w:trPr>
        <w:tc>
          <w:tcPr>
            <w:tcW w:type="dxa" w:w="5155"/>
            <w:vAlign w:val="center"/>
          </w:tcPr>
          <w:p>
            <w:r>
              <w:rPr>
                <w:sz w:val="16"/>
              </w:rPr>
            </w:r>
            <w:r>
              <w:rPr>
                <w:b w:val="0"/>
                <w:sz w:val="16"/>
              </w:rPr>
              <w:t>Cash / cash equivalent</w:t>
            </w:r>
          </w:p>
        </w:tc>
        <w:tc>
          <w:tcPr>
            <w:tcW w:type="dxa" w:w="5155"/>
            <w:vAlign w:val="center"/>
          </w:tcPr>
          <w:p>
            <w:r>
              <w:rPr>
                <w:sz w:val="16"/>
              </w:rPr>
            </w:r>
            <w:r>
              <w:rPr>
                <w:b w:val="0"/>
                <w:sz w:val="16"/>
              </w:rPr>
              <w:t>Prohibited.</w:t>
            </w:r>
          </w:p>
        </w:tc>
      </w:tr>
      <w:tr>
        <w:trPr>
          <w:cantSplit/>
        </w:trPr>
        <w:tc>
          <w:tcPr>
            <w:tcW w:type="dxa" w:w="5155"/>
            <w:vAlign w:val="center"/>
          </w:tcPr>
          <w:p>
            <w:r>
              <w:rPr>
                <w:sz w:val="16"/>
              </w:rPr>
            </w:r>
            <w:r>
              <w:rPr>
                <w:b w:val="0"/>
                <w:sz w:val="16"/>
              </w:rPr>
              <w:t>Anything during procurement, tender or material approval</w:t>
            </w:r>
          </w:p>
        </w:tc>
        <w:tc>
          <w:tcPr>
            <w:tcW w:type="dxa" w:w="5155"/>
            <w:vAlign w:val="center"/>
          </w:tcPr>
          <w:p>
            <w:r>
              <w:rPr>
                <w:sz w:val="16"/>
              </w:rPr>
            </w:r>
            <w:r>
              <w:rPr>
                <w:b w:val="0"/>
                <w:sz w:val="16"/>
              </w:rPr>
              <w:t>Heightened scrutiny; may be prohibited regardless of value.</w:t>
            </w:r>
          </w:p>
        </w:tc>
      </w:tr>
    </w:tbl>
    <w:p/>
    <w:p>
      <w:pPr>
        <w:pStyle w:val="Heading1"/>
      </w:pPr>
      <w:r>
        <w:t>20. Whistleblowing</w:t>
      </w:r>
    </w:p>
    <w:p>
      <w:r>
        <w:t>Northstar shall maintain confidential channels for good-faith reporting of suspected misconduct, control override, fraud, retaliation or serious policy breach. Retaliation is prohibited under internal conduct standards.</w:t>
      </w:r>
    </w:p>
    <w:p>
      <w:pPr>
        <w:pStyle w:val="Heading1"/>
      </w:pPr>
      <w:r>
        <w:t>21. Investigations</w:t>
      </w:r>
    </w:p>
    <w:p>
      <w:r>
        <w:t>Compliance investigations shall be proportionate, independent where practicable and evidence-based.</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Element</w:t>
            </w:r>
          </w:p>
        </w:tc>
        <w:tc>
          <w:tcPr>
            <w:tcW w:type="dxa" w:w="5155"/>
            <w:vAlign w:val="center"/>
            <w:shd w:fill="17365D"/>
          </w:tcPr>
          <w:p>
            <w:r>
              <w:rPr>
                <w:sz w:val="16"/>
              </w:rPr>
            </w:r>
            <w:r>
              <w:rPr>
                <w:b/>
                <w:color w:val="FFFFFF"/>
                <w:sz w:val="16"/>
              </w:rPr>
              <w:t>Requirement</w:t>
            </w:r>
          </w:p>
        </w:tc>
      </w:tr>
      <w:tr>
        <w:trPr>
          <w:cantSplit/>
        </w:trPr>
        <w:tc>
          <w:tcPr>
            <w:tcW w:type="dxa" w:w="5155"/>
            <w:vAlign w:val="center"/>
          </w:tcPr>
          <w:p>
            <w:r>
              <w:rPr>
                <w:sz w:val="16"/>
              </w:rPr>
            </w:r>
            <w:r>
              <w:rPr>
                <w:b w:val="0"/>
                <w:sz w:val="16"/>
              </w:rPr>
              <w:t>Scope</w:t>
            </w:r>
          </w:p>
        </w:tc>
        <w:tc>
          <w:tcPr>
            <w:tcW w:type="dxa" w:w="5155"/>
            <w:vAlign w:val="center"/>
          </w:tcPr>
          <w:p>
            <w:r>
              <w:rPr>
                <w:sz w:val="16"/>
              </w:rPr>
            </w:r>
            <w:r>
              <w:rPr>
                <w:b w:val="0"/>
                <w:sz w:val="16"/>
              </w:rPr>
              <w:t>Define allegation, issue or question being investigated.</w:t>
            </w:r>
          </w:p>
        </w:tc>
      </w:tr>
      <w:tr>
        <w:trPr>
          <w:cantSplit/>
        </w:trPr>
        <w:tc>
          <w:tcPr>
            <w:tcW w:type="dxa" w:w="5155"/>
            <w:vAlign w:val="center"/>
          </w:tcPr>
          <w:p>
            <w:r>
              <w:rPr>
                <w:sz w:val="16"/>
              </w:rPr>
            </w:r>
            <w:r>
              <w:rPr>
                <w:b w:val="0"/>
                <w:sz w:val="16"/>
              </w:rPr>
              <w:t>Preservation</w:t>
            </w:r>
          </w:p>
        </w:tc>
        <w:tc>
          <w:tcPr>
            <w:tcW w:type="dxa" w:w="5155"/>
            <w:vAlign w:val="center"/>
          </w:tcPr>
          <w:p>
            <w:r>
              <w:rPr>
                <w:sz w:val="16"/>
              </w:rPr>
            </w:r>
            <w:r>
              <w:rPr>
                <w:b w:val="0"/>
                <w:sz w:val="16"/>
              </w:rPr>
              <w:t>Protect relevant records and access logs.</w:t>
            </w:r>
          </w:p>
        </w:tc>
      </w:tr>
      <w:tr>
        <w:trPr>
          <w:cantSplit/>
        </w:trPr>
        <w:tc>
          <w:tcPr>
            <w:tcW w:type="dxa" w:w="5155"/>
            <w:vAlign w:val="center"/>
          </w:tcPr>
          <w:p>
            <w:r>
              <w:rPr>
                <w:sz w:val="16"/>
              </w:rPr>
            </w:r>
            <w:r>
              <w:rPr>
                <w:b w:val="0"/>
                <w:sz w:val="16"/>
              </w:rPr>
              <w:t>Interviews</w:t>
            </w:r>
          </w:p>
        </w:tc>
        <w:tc>
          <w:tcPr>
            <w:tcW w:type="dxa" w:w="5155"/>
            <w:vAlign w:val="center"/>
          </w:tcPr>
          <w:p>
            <w:r>
              <w:rPr>
                <w:sz w:val="16"/>
              </w:rPr>
            </w:r>
            <w:r>
              <w:rPr>
                <w:b w:val="0"/>
                <w:sz w:val="16"/>
              </w:rPr>
              <w:t>Record key facts and inconsistencies.</w:t>
            </w:r>
          </w:p>
        </w:tc>
      </w:tr>
      <w:tr>
        <w:trPr>
          <w:cantSplit/>
        </w:trPr>
        <w:tc>
          <w:tcPr>
            <w:tcW w:type="dxa" w:w="5155"/>
            <w:vAlign w:val="center"/>
          </w:tcPr>
          <w:p>
            <w:r>
              <w:rPr>
                <w:sz w:val="16"/>
              </w:rPr>
            </w:r>
            <w:r>
              <w:rPr>
                <w:b w:val="0"/>
                <w:sz w:val="16"/>
              </w:rPr>
              <w:t>Analysis</w:t>
            </w:r>
          </w:p>
        </w:tc>
        <w:tc>
          <w:tcPr>
            <w:tcW w:type="dxa" w:w="5155"/>
            <w:vAlign w:val="center"/>
          </w:tcPr>
          <w:p>
            <w:r>
              <w:rPr>
                <w:sz w:val="16"/>
              </w:rPr>
            </w:r>
            <w:r>
              <w:rPr>
                <w:b w:val="0"/>
                <w:sz w:val="16"/>
              </w:rPr>
              <w:t>Distinguish fact, inference and unresolved point.</w:t>
            </w:r>
          </w:p>
        </w:tc>
      </w:tr>
      <w:tr>
        <w:trPr>
          <w:cantSplit/>
        </w:trPr>
        <w:tc>
          <w:tcPr>
            <w:tcW w:type="dxa" w:w="5155"/>
            <w:vAlign w:val="center"/>
          </w:tcPr>
          <w:p>
            <w:r>
              <w:rPr>
                <w:sz w:val="16"/>
              </w:rPr>
            </w:r>
            <w:r>
              <w:rPr>
                <w:b w:val="0"/>
                <w:sz w:val="16"/>
              </w:rPr>
              <w:t>Outcome</w:t>
            </w:r>
          </w:p>
        </w:tc>
        <w:tc>
          <w:tcPr>
            <w:tcW w:type="dxa" w:w="5155"/>
            <w:vAlign w:val="center"/>
          </w:tcPr>
          <w:p>
            <w:r>
              <w:rPr>
                <w:sz w:val="16"/>
              </w:rPr>
            </w:r>
            <w:r>
              <w:rPr>
                <w:b w:val="0"/>
                <w:sz w:val="16"/>
              </w:rPr>
              <w:t>Document findings, severity, owners and actions.</w:t>
            </w:r>
          </w:p>
        </w:tc>
      </w:tr>
      <w:tr>
        <w:trPr>
          <w:cantSplit/>
        </w:trPr>
        <w:tc>
          <w:tcPr>
            <w:tcW w:type="dxa" w:w="5155"/>
            <w:vAlign w:val="center"/>
          </w:tcPr>
          <w:p>
            <w:r>
              <w:rPr>
                <w:sz w:val="16"/>
              </w:rPr>
            </w:r>
            <w:r>
              <w:rPr>
                <w:b w:val="0"/>
                <w:sz w:val="16"/>
              </w:rPr>
              <w:t>Confidentiality</w:t>
            </w:r>
          </w:p>
        </w:tc>
        <w:tc>
          <w:tcPr>
            <w:tcW w:type="dxa" w:w="5155"/>
            <w:vAlign w:val="center"/>
          </w:tcPr>
          <w:p>
            <w:r>
              <w:rPr>
                <w:sz w:val="16"/>
              </w:rPr>
            </w:r>
            <w:r>
              <w:rPr>
                <w:b w:val="0"/>
                <w:sz w:val="16"/>
              </w:rPr>
              <w:t>Limit distribution to need-to-know participants.</w:t>
            </w:r>
          </w:p>
        </w:tc>
      </w:tr>
    </w:tbl>
    <w:p/>
    <w:p>
      <w:pPr>
        <w:pStyle w:val="Heading1"/>
      </w:pPr>
      <w:r>
        <w:t>22. Training</w:t>
      </w:r>
    </w:p>
    <w:p>
      <w:r>
        <w:t>Compliance shall maintain role-based mandatory training covering relevant policies, conduct, AML/KYC awareness, data handling, conflicts, escalation and authority controls.</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Population</w:t>
            </w:r>
          </w:p>
        </w:tc>
        <w:tc>
          <w:tcPr>
            <w:tcW w:type="dxa" w:w="5155"/>
            <w:vAlign w:val="center"/>
            <w:shd w:fill="17365D"/>
          </w:tcPr>
          <w:p>
            <w:r>
              <w:rPr>
                <w:sz w:val="16"/>
              </w:rPr>
            </w:r>
            <w:r>
              <w:rPr>
                <w:b/>
                <w:color w:val="FFFFFF"/>
                <w:sz w:val="16"/>
              </w:rPr>
              <w:t>Minimum Cadence</w:t>
            </w:r>
          </w:p>
        </w:tc>
      </w:tr>
      <w:tr>
        <w:trPr>
          <w:cantSplit/>
        </w:trPr>
        <w:tc>
          <w:tcPr>
            <w:tcW w:type="dxa" w:w="5155"/>
            <w:vAlign w:val="center"/>
          </w:tcPr>
          <w:p>
            <w:r>
              <w:rPr>
                <w:sz w:val="16"/>
              </w:rPr>
            </w:r>
            <w:r>
              <w:rPr>
                <w:b w:val="0"/>
                <w:sz w:val="16"/>
              </w:rPr>
              <w:t>All employees</w:t>
            </w:r>
          </w:p>
        </w:tc>
        <w:tc>
          <w:tcPr>
            <w:tcW w:type="dxa" w:w="5155"/>
            <w:vAlign w:val="center"/>
          </w:tcPr>
          <w:p>
            <w:r>
              <w:rPr>
                <w:sz w:val="16"/>
              </w:rPr>
            </w:r>
            <w:r>
              <w:rPr>
                <w:b w:val="0"/>
                <w:sz w:val="16"/>
              </w:rPr>
              <w:t>Annual core compliance and conduct training</w:t>
            </w:r>
          </w:p>
        </w:tc>
      </w:tr>
      <w:tr>
        <w:trPr>
          <w:cantSplit/>
        </w:trPr>
        <w:tc>
          <w:tcPr>
            <w:tcW w:type="dxa" w:w="5155"/>
            <w:vAlign w:val="center"/>
          </w:tcPr>
          <w:p>
            <w:r>
              <w:rPr>
                <w:sz w:val="16"/>
              </w:rPr>
            </w:r>
            <w:r>
              <w:rPr>
                <w:b w:val="0"/>
                <w:sz w:val="16"/>
              </w:rPr>
              <w:t>KYC/AML roles</w:t>
            </w:r>
          </w:p>
        </w:tc>
        <w:tc>
          <w:tcPr>
            <w:tcW w:type="dxa" w:w="5155"/>
            <w:vAlign w:val="center"/>
          </w:tcPr>
          <w:p>
            <w:r>
              <w:rPr>
                <w:sz w:val="16"/>
              </w:rPr>
            </w:r>
            <w:r>
              <w:rPr>
                <w:b w:val="0"/>
                <w:sz w:val="16"/>
              </w:rPr>
              <w:t>Annual plus targeted updates</w:t>
            </w:r>
          </w:p>
        </w:tc>
      </w:tr>
      <w:tr>
        <w:trPr>
          <w:cantSplit/>
        </w:trPr>
        <w:tc>
          <w:tcPr>
            <w:tcW w:type="dxa" w:w="5155"/>
            <w:vAlign w:val="center"/>
          </w:tcPr>
          <w:p>
            <w:r>
              <w:rPr>
                <w:sz w:val="16"/>
              </w:rPr>
            </w:r>
            <w:r>
              <w:rPr>
                <w:b w:val="0"/>
                <w:sz w:val="16"/>
              </w:rPr>
              <w:t>Credit / investment approvers</w:t>
            </w:r>
          </w:p>
        </w:tc>
        <w:tc>
          <w:tcPr>
            <w:tcW w:type="dxa" w:w="5155"/>
            <w:vAlign w:val="center"/>
          </w:tcPr>
          <w:p>
            <w:r>
              <w:rPr>
                <w:sz w:val="16"/>
              </w:rPr>
            </w:r>
            <w:r>
              <w:rPr>
                <w:b w:val="0"/>
                <w:sz w:val="16"/>
              </w:rPr>
              <w:t>Annual delegated-authority and exception training</w:t>
            </w:r>
          </w:p>
        </w:tc>
      </w:tr>
      <w:tr>
        <w:trPr>
          <w:cantSplit/>
        </w:trPr>
        <w:tc>
          <w:tcPr>
            <w:tcW w:type="dxa" w:w="5155"/>
            <w:vAlign w:val="center"/>
          </w:tcPr>
          <w:p>
            <w:r>
              <w:rPr>
                <w:sz w:val="16"/>
              </w:rPr>
            </w:r>
            <w:r>
              <w:rPr>
                <w:b w:val="0"/>
                <w:sz w:val="16"/>
              </w:rPr>
              <w:t>Managers</w:t>
            </w:r>
          </w:p>
        </w:tc>
        <w:tc>
          <w:tcPr>
            <w:tcW w:type="dxa" w:w="5155"/>
            <w:vAlign w:val="center"/>
          </w:tcPr>
          <w:p>
            <w:r>
              <w:rPr>
                <w:sz w:val="16"/>
              </w:rPr>
            </w:r>
            <w:r>
              <w:rPr>
                <w:b w:val="0"/>
                <w:sz w:val="16"/>
              </w:rPr>
              <w:t>Annual issue/breach and escalation responsibilities</w:t>
            </w:r>
          </w:p>
        </w:tc>
      </w:tr>
      <w:tr>
        <w:trPr>
          <w:cantSplit/>
        </w:trPr>
        <w:tc>
          <w:tcPr>
            <w:tcW w:type="dxa" w:w="5155"/>
            <w:vAlign w:val="center"/>
          </w:tcPr>
          <w:p>
            <w:r>
              <w:rPr>
                <w:sz w:val="16"/>
              </w:rPr>
            </w:r>
            <w:r>
              <w:rPr>
                <w:b w:val="0"/>
                <w:sz w:val="16"/>
              </w:rPr>
              <w:t>New joiners</w:t>
            </w:r>
          </w:p>
        </w:tc>
        <w:tc>
          <w:tcPr>
            <w:tcW w:type="dxa" w:w="5155"/>
            <w:vAlign w:val="center"/>
          </w:tcPr>
          <w:p>
            <w:r>
              <w:rPr>
                <w:sz w:val="16"/>
              </w:rPr>
            </w:r>
            <w:r>
              <w:rPr>
                <w:b w:val="0"/>
                <w:sz w:val="16"/>
              </w:rPr>
              <w:t>Within onboarding period before unsupervised controlled activity</w:t>
            </w:r>
          </w:p>
        </w:tc>
      </w:tr>
    </w:tbl>
    <w:p/>
    <w:p>
      <w:pPr>
        <w:pStyle w:val="Heading1"/>
      </w:pPr>
      <w:r>
        <w:t>23. Monitoring of KYC, AML and CDD</w:t>
      </w:r>
    </w:p>
    <w:p>
      <w:r>
        <w:t>Compliance oversight shall preserve specialist ownership established in KYC-004, AML-003, CDD-005, EDD-032 and CRR-033. Compliance testing may challenge control effectiveness but does not itself release a KYC/AML restriction.</w:t>
      </w:r>
    </w:p>
    <w:p>
      <w:pPr>
        <w:pStyle w:val="Heading1"/>
      </w:pPr>
      <w:r>
        <w:t>24. Monitoring of Credit Controls</w:t>
      </w:r>
    </w:p>
    <w:p>
      <w:r>
        <w:t>Compliance may test policy adherence, exception evidence, delegated authority and customer fairness. Credit Risk remains owner of credit judgment and policy risk within CRP-001 and CDAS-007.</w:t>
      </w:r>
    </w:p>
    <w:p>
      <w:pPr>
        <w:pStyle w:val="Heading1"/>
      </w:pPr>
      <w:r>
        <w:t>25. Monitoring of Investment Controls</w:t>
      </w:r>
    </w:p>
    <w:p>
      <w:r>
        <w:t>Compliance shall coordinate with Investment Risk on policy adherence, delegated authority, restricted instruments, conflicts and breach handling. Investment Risk remains the primary independent risk monitor of market/credit limits under IMP-041.</w:t>
      </w:r>
    </w:p>
    <w:p>
      <w:pPr>
        <w:pStyle w:val="Heading1"/>
      </w:pPr>
      <w:r>
        <w:t>26. Access and Information Handling</w:t>
      </w:r>
    </w:p>
    <w:p>
      <w:r>
        <w:t>Compliance access to sensitive customer, employee and investigation information shall be role-based and limited to legitimate duties. Broader information-security requirements will be governed by Batch 5 documents once issued.</w:t>
      </w:r>
    </w:p>
    <w:p>
      <w:pPr>
        <w:pStyle w:val="Heading1"/>
      </w:pPr>
      <w:r>
        <w:t>27. Third-Party and Vendor Compliance</w:t>
      </w:r>
    </w:p>
    <w:p>
      <w:r>
        <w:t>Business owners shall ensure outsourced or vendor-supported processes include contractual controls, access restrictions, evidence rights and escalation obligations appropriate to the risk. Compliance may perform thematic review of critical providers.</w:t>
      </w:r>
    </w:p>
    <w:p>
      <w:pPr>
        <w:pStyle w:val="Heading1"/>
      </w:pPr>
      <w:r>
        <w:t>28. Recordkeeping</w:t>
      </w:r>
    </w:p>
    <w:p>
      <w:r>
        <w:t>Compliance records shall support reconstruction of advice, monitoring, testing, issues, breaches, change assessments, training and committee reporting. Records shall retain author, date, scope and approvals where applicable.</w:t>
      </w:r>
    </w:p>
    <w:p>
      <w:pPr>
        <w:pStyle w:val="Heading1"/>
      </w:pPr>
      <w:r>
        <w:t>29. Management Information</w:t>
      </w:r>
    </w:p>
    <w:p>
      <w:r>
        <w:t>Compliance reporting shall prioritize risk and decision-relevant information.</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Frequency</w:t>
            </w:r>
          </w:p>
        </w:tc>
        <w:tc>
          <w:tcPr>
            <w:tcW w:type="dxa" w:w="5155"/>
            <w:vAlign w:val="center"/>
            <w:shd w:fill="17365D"/>
          </w:tcPr>
          <w:p>
            <w:r>
              <w:rPr>
                <w:sz w:val="16"/>
              </w:rPr>
            </w:r>
            <w:r>
              <w:rPr>
                <w:b/>
                <w:color w:val="FFFFFF"/>
                <w:sz w:val="16"/>
              </w:rPr>
              <w:t>Minimum Content</w:t>
            </w:r>
          </w:p>
        </w:tc>
      </w:tr>
      <w:tr>
        <w:trPr>
          <w:cantSplit/>
        </w:trPr>
        <w:tc>
          <w:tcPr>
            <w:tcW w:type="dxa" w:w="5155"/>
            <w:vAlign w:val="center"/>
          </w:tcPr>
          <w:p>
            <w:r>
              <w:rPr>
                <w:sz w:val="16"/>
              </w:rPr>
            </w:r>
            <w:r>
              <w:rPr>
                <w:b w:val="0"/>
                <w:sz w:val="16"/>
              </w:rPr>
              <w:t>Monthly</w:t>
            </w:r>
          </w:p>
        </w:tc>
        <w:tc>
          <w:tcPr>
            <w:tcW w:type="dxa" w:w="5155"/>
            <w:vAlign w:val="center"/>
          </w:tcPr>
          <w:p>
            <w:r>
              <w:rPr>
                <w:sz w:val="16"/>
              </w:rPr>
            </w:r>
            <w:r>
              <w:rPr>
                <w:b w:val="0"/>
                <w:sz w:val="16"/>
              </w:rPr>
              <w:t>Open C3/C4 issues, overdue remediation, material breaches, monitoring results and emerging risk.</w:t>
            </w:r>
          </w:p>
        </w:tc>
      </w:tr>
      <w:tr>
        <w:trPr>
          <w:cantSplit/>
        </w:trPr>
        <w:tc>
          <w:tcPr>
            <w:tcW w:type="dxa" w:w="5155"/>
            <w:vAlign w:val="center"/>
          </w:tcPr>
          <w:p>
            <w:r>
              <w:rPr>
                <w:sz w:val="16"/>
              </w:rPr>
            </w:r>
            <w:r>
              <w:rPr>
                <w:b w:val="0"/>
                <w:sz w:val="16"/>
              </w:rPr>
              <w:t>Quarterly</w:t>
            </w:r>
          </w:p>
        </w:tc>
        <w:tc>
          <w:tcPr>
            <w:tcW w:type="dxa" w:w="5155"/>
            <w:vAlign w:val="center"/>
          </w:tcPr>
          <w:p>
            <w:r>
              <w:rPr>
                <w:sz w:val="16"/>
              </w:rPr>
            </w:r>
            <w:r>
              <w:rPr>
                <w:b w:val="0"/>
                <w:sz w:val="16"/>
              </w:rPr>
              <w:t>Risk themes, repeat issues, customer fairness, complaints, financial crime control health and RAS metrics.</w:t>
            </w:r>
          </w:p>
        </w:tc>
      </w:tr>
      <w:tr>
        <w:trPr>
          <w:cantSplit/>
        </w:trPr>
        <w:tc>
          <w:tcPr>
            <w:tcW w:type="dxa" w:w="5155"/>
            <w:vAlign w:val="center"/>
          </w:tcPr>
          <w:p>
            <w:r>
              <w:rPr>
                <w:sz w:val="16"/>
              </w:rPr>
            </w:r>
            <w:r>
              <w:rPr>
                <w:b w:val="0"/>
                <w:sz w:val="16"/>
              </w:rPr>
              <w:t>Annual</w:t>
            </w:r>
          </w:p>
        </w:tc>
        <w:tc>
          <w:tcPr>
            <w:tcW w:type="dxa" w:w="5155"/>
            <w:vAlign w:val="center"/>
          </w:tcPr>
          <w:p>
            <w:r>
              <w:rPr>
                <w:sz w:val="16"/>
              </w:rPr>
            </w:r>
            <w:r>
              <w:rPr>
                <w:b w:val="0"/>
                <w:sz w:val="16"/>
              </w:rPr>
              <w:t>Compliance risk assessment, monitoring plan results, training, major changes and program effectiveness.</w:t>
            </w:r>
          </w:p>
        </w:tc>
      </w:tr>
    </w:tbl>
    <w:p/>
    <w:p>
      <w:pPr>
        <w:pStyle w:val="Heading1"/>
      </w:pPr>
      <w:r>
        <w:t>30. Remediation Governance</w:t>
      </w:r>
    </w:p>
    <w:p>
      <w:r>
        <w:t>Issue owners shall develop actions addressing root cause, not only symptoms. Compliance shall challenge adequacy and verify closure for material issues.</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Action Quality</w:t>
            </w:r>
          </w:p>
        </w:tc>
        <w:tc>
          <w:tcPr>
            <w:tcW w:type="dxa" w:w="5155"/>
            <w:vAlign w:val="center"/>
            <w:shd w:fill="17365D"/>
          </w:tcPr>
          <w:p>
            <w:r>
              <w:rPr>
                <w:sz w:val="16"/>
              </w:rPr>
            </w:r>
            <w:r>
              <w:rPr>
                <w:b/>
                <w:color w:val="FFFFFF"/>
                <w:sz w:val="16"/>
              </w:rPr>
              <w:t>Expectation</w:t>
            </w:r>
          </w:p>
        </w:tc>
      </w:tr>
      <w:tr>
        <w:trPr>
          <w:cantSplit/>
        </w:trPr>
        <w:tc>
          <w:tcPr>
            <w:tcW w:type="dxa" w:w="5155"/>
            <w:vAlign w:val="center"/>
          </w:tcPr>
          <w:p>
            <w:r>
              <w:rPr>
                <w:sz w:val="16"/>
              </w:rPr>
            </w:r>
            <w:r>
              <w:rPr>
                <w:b w:val="0"/>
                <w:sz w:val="16"/>
              </w:rPr>
              <w:t>Specific</w:t>
            </w:r>
          </w:p>
        </w:tc>
        <w:tc>
          <w:tcPr>
            <w:tcW w:type="dxa" w:w="5155"/>
            <w:vAlign w:val="center"/>
          </w:tcPr>
          <w:p>
            <w:r>
              <w:rPr>
                <w:sz w:val="16"/>
              </w:rPr>
            </w:r>
            <w:r>
              <w:rPr>
                <w:b w:val="0"/>
                <w:sz w:val="16"/>
              </w:rPr>
              <w:t>States the control/process change.</w:t>
            </w:r>
          </w:p>
        </w:tc>
      </w:tr>
      <w:tr>
        <w:trPr>
          <w:cantSplit/>
        </w:trPr>
        <w:tc>
          <w:tcPr>
            <w:tcW w:type="dxa" w:w="5155"/>
            <w:vAlign w:val="center"/>
          </w:tcPr>
          <w:p>
            <w:r>
              <w:rPr>
                <w:sz w:val="16"/>
              </w:rPr>
            </w:r>
            <w:r>
              <w:rPr>
                <w:b w:val="0"/>
                <w:sz w:val="16"/>
              </w:rPr>
              <w:t>Owned</w:t>
            </w:r>
          </w:p>
        </w:tc>
        <w:tc>
          <w:tcPr>
            <w:tcW w:type="dxa" w:w="5155"/>
            <w:vAlign w:val="center"/>
          </w:tcPr>
          <w:p>
            <w:r>
              <w:rPr>
                <w:sz w:val="16"/>
              </w:rPr>
            </w:r>
            <w:r>
              <w:rPr>
                <w:b w:val="0"/>
                <w:sz w:val="16"/>
              </w:rPr>
              <w:t>Named accountable owner.</w:t>
            </w:r>
          </w:p>
        </w:tc>
      </w:tr>
      <w:tr>
        <w:trPr>
          <w:cantSplit/>
        </w:trPr>
        <w:tc>
          <w:tcPr>
            <w:tcW w:type="dxa" w:w="5155"/>
            <w:vAlign w:val="center"/>
          </w:tcPr>
          <w:p>
            <w:r>
              <w:rPr>
                <w:sz w:val="16"/>
              </w:rPr>
            </w:r>
            <w:r>
              <w:rPr>
                <w:b w:val="0"/>
                <w:sz w:val="16"/>
              </w:rPr>
              <w:t>Time-bound</w:t>
            </w:r>
          </w:p>
        </w:tc>
        <w:tc>
          <w:tcPr>
            <w:tcW w:type="dxa" w:w="5155"/>
            <w:vAlign w:val="center"/>
          </w:tcPr>
          <w:p>
            <w:r>
              <w:rPr>
                <w:sz w:val="16"/>
              </w:rPr>
            </w:r>
            <w:r>
              <w:rPr>
                <w:b w:val="0"/>
                <w:sz w:val="16"/>
              </w:rPr>
              <w:t>Realistic target date and milestones.</w:t>
            </w:r>
          </w:p>
        </w:tc>
      </w:tr>
      <w:tr>
        <w:trPr>
          <w:cantSplit/>
        </w:trPr>
        <w:tc>
          <w:tcPr>
            <w:tcW w:type="dxa" w:w="5155"/>
            <w:vAlign w:val="center"/>
          </w:tcPr>
          <w:p>
            <w:r>
              <w:rPr>
                <w:sz w:val="16"/>
              </w:rPr>
            </w:r>
            <w:r>
              <w:rPr>
                <w:b w:val="0"/>
                <w:sz w:val="16"/>
              </w:rPr>
              <w:t>Evidence-based</w:t>
            </w:r>
          </w:p>
        </w:tc>
        <w:tc>
          <w:tcPr>
            <w:tcW w:type="dxa" w:w="5155"/>
            <w:vAlign w:val="center"/>
          </w:tcPr>
          <w:p>
            <w:r>
              <w:rPr>
                <w:sz w:val="16"/>
              </w:rPr>
            </w:r>
            <w:r>
              <w:rPr>
                <w:b w:val="0"/>
                <w:sz w:val="16"/>
              </w:rPr>
              <w:t>Defines closure evidence.</w:t>
            </w:r>
          </w:p>
        </w:tc>
      </w:tr>
      <w:tr>
        <w:trPr>
          <w:cantSplit/>
        </w:trPr>
        <w:tc>
          <w:tcPr>
            <w:tcW w:type="dxa" w:w="5155"/>
            <w:vAlign w:val="center"/>
          </w:tcPr>
          <w:p>
            <w:r>
              <w:rPr>
                <w:sz w:val="16"/>
              </w:rPr>
            </w:r>
            <w:r>
              <w:rPr>
                <w:b w:val="0"/>
                <w:sz w:val="16"/>
              </w:rPr>
              <w:t>Root-cause linked</w:t>
            </w:r>
          </w:p>
        </w:tc>
        <w:tc>
          <w:tcPr>
            <w:tcW w:type="dxa" w:w="5155"/>
            <w:vAlign w:val="center"/>
          </w:tcPr>
          <w:p>
            <w:r>
              <w:rPr>
                <w:sz w:val="16"/>
              </w:rPr>
            </w:r>
            <w:r>
              <w:rPr>
                <w:b w:val="0"/>
                <w:sz w:val="16"/>
              </w:rPr>
              <w:t>Addresses why failure occurred.</w:t>
            </w:r>
          </w:p>
        </w:tc>
      </w:tr>
      <w:tr>
        <w:trPr>
          <w:cantSplit/>
        </w:trPr>
        <w:tc>
          <w:tcPr>
            <w:tcW w:type="dxa" w:w="5155"/>
            <w:vAlign w:val="center"/>
          </w:tcPr>
          <w:p>
            <w:r>
              <w:rPr>
                <w:sz w:val="16"/>
              </w:rPr>
            </w:r>
            <w:r>
              <w:rPr>
                <w:b w:val="0"/>
                <w:sz w:val="16"/>
              </w:rPr>
              <w:t>Sustainable</w:t>
            </w:r>
          </w:p>
        </w:tc>
        <w:tc>
          <w:tcPr>
            <w:tcW w:type="dxa" w:w="5155"/>
            <w:vAlign w:val="center"/>
          </w:tcPr>
          <w:p>
            <w:r>
              <w:rPr>
                <w:sz w:val="16"/>
              </w:rPr>
            </w:r>
            <w:r>
              <w:rPr>
                <w:b w:val="0"/>
                <w:sz w:val="16"/>
              </w:rPr>
              <w:t>Avoids one-time manual workarounds as permanent fix.</w:t>
            </w:r>
          </w:p>
        </w:tc>
      </w:tr>
    </w:tbl>
    <w:p/>
    <w:p>
      <w:pPr>
        <w:pStyle w:val="Heading1"/>
      </w:pPr>
      <w:r>
        <w:t>31. Overdue Issues and Risk Acceptance</w:t>
      </w:r>
    </w:p>
    <w:p>
      <w:r>
        <w:t>An overdue remediation date is not automatically an accepted risk. Extension or risk acceptance requires documented authority under RMF-008 and, if appetite is breached, treatment under RAS-009.</w:t>
      </w:r>
    </w:p>
    <w:p>
      <w:pPr>
        <w:pStyle w:val="Heading1"/>
      </w:pPr>
      <w:r>
        <w:t>32. Quality Assurance</w:t>
      </w:r>
    </w:p>
    <w:p>
      <w:r>
        <w:t>Compliance shall periodically perform QA over monitoring and investigations to assess consistency, evidence quality, rating discipline and timeliness.</w:t>
      </w:r>
    </w:p>
    <w:p>
      <w:pPr>
        <w:pStyle w:val="Heading1"/>
      </w:pPr>
      <w:r>
        <w:t>33. Internal Audit and Assurance Coordination</w:t>
      </w:r>
    </w:p>
    <w:p>
      <w:r>
        <w:t>Compliance will provide information to Internal Audit while maintaining independent responsibilities. Closure of a Compliance issue does not automatically close an Audit issue and vice versa.</w:t>
      </w:r>
    </w:p>
    <w:p>
      <w:pPr>
        <w:pStyle w:val="Heading1"/>
      </w:pPr>
      <w:r>
        <w:t>34. Historical and Transitional Provisions</w:t>
      </w:r>
    </w:p>
    <w:p>
      <w:r>
        <w:t>Version 2.1 changes selected operating thresholds and references.</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2577"/>
            <w:vAlign w:val="center"/>
            <w:shd w:fill="17365D"/>
          </w:tcPr>
          <w:p>
            <w:r>
              <w:rPr>
                <w:sz w:val="16"/>
              </w:rPr>
            </w:r>
            <w:r>
              <w:rPr>
                <w:b/>
                <w:color w:val="FFFFFF"/>
                <w:sz w:val="16"/>
              </w:rPr>
              <w:t>Topic</w:t>
            </w:r>
          </w:p>
        </w:tc>
        <w:tc>
          <w:tcPr>
            <w:tcW w:type="dxa" w:w="2577"/>
            <w:vAlign w:val="center"/>
            <w:shd w:fill="17365D"/>
          </w:tcPr>
          <w:p>
            <w:r>
              <w:rPr>
                <w:sz w:val="16"/>
              </w:rPr>
            </w:r>
            <w:r>
              <w:rPr>
                <w:b/>
                <w:color w:val="FFFFFF"/>
                <w:sz w:val="16"/>
              </w:rPr>
              <w:t>v2.0</w:t>
            </w:r>
          </w:p>
        </w:tc>
        <w:tc>
          <w:tcPr>
            <w:tcW w:type="dxa" w:w="2577"/>
            <w:vAlign w:val="center"/>
            <w:shd w:fill="17365D"/>
          </w:tcPr>
          <w:p>
            <w:r>
              <w:rPr>
                <w:sz w:val="16"/>
              </w:rPr>
            </w:r>
            <w:r>
              <w:rPr>
                <w:b/>
                <w:color w:val="FFFFFF"/>
                <w:sz w:val="16"/>
              </w:rPr>
              <w:t>v2.1</w:t>
            </w:r>
          </w:p>
        </w:tc>
        <w:tc>
          <w:tcPr>
            <w:tcW w:type="dxa" w:w="2577"/>
            <w:vAlign w:val="center"/>
            <w:shd w:fill="17365D"/>
          </w:tcPr>
          <w:p>
            <w:r>
              <w:rPr>
                <w:sz w:val="16"/>
              </w:rPr>
            </w:r>
            <w:r>
              <w:rPr>
                <w:b/>
                <w:color w:val="FFFFFF"/>
                <w:sz w:val="16"/>
              </w:rPr>
              <w:t>Transition</w:t>
            </w:r>
          </w:p>
        </w:tc>
      </w:tr>
      <w:tr>
        <w:trPr>
          <w:cantSplit/>
        </w:trPr>
        <w:tc>
          <w:tcPr>
            <w:tcW w:type="dxa" w:w="2577"/>
            <w:vAlign w:val="center"/>
          </w:tcPr>
          <w:p>
            <w:r>
              <w:rPr>
                <w:sz w:val="16"/>
              </w:rPr>
            </w:r>
            <w:r>
              <w:rPr>
                <w:b w:val="0"/>
                <w:sz w:val="16"/>
              </w:rPr>
              <w:t>Gift prior-approval threshold</w:t>
            </w:r>
          </w:p>
        </w:tc>
        <w:tc>
          <w:tcPr>
            <w:tcW w:type="dxa" w:w="2577"/>
            <w:vAlign w:val="center"/>
          </w:tcPr>
          <w:p>
            <w:r>
              <w:rPr>
                <w:sz w:val="16"/>
              </w:rPr>
            </w:r>
            <w:r>
              <w:rPr>
                <w:b w:val="0"/>
                <w:sz w:val="16"/>
              </w:rPr>
              <w:t>₹7,500</w:t>
            </w:r>
          </w:p>
        </w:tc>
        <w:tc>
          <w:tcPr>
            <w:tcW w:type="dxa" w:w="2577"/>
            <w:vAlign w:val="center"/>
          </w:tcPr>
          <w:p>
            <w:r>
              <w:rPr>
                <w:sz w:val="16"/>
              </w:rPr>
            </w:r>
            <w:r>
              <w:rPr>
                <w:b w:val="0"/>
                <w:sz w:val="16"/>
              </w:rPr>
              <w:t>₹5,000</w:t>
            </w:r>
          </w:p>
        </w:tc>
        <w:tc>
          <w:tcPr>
            <w:tcW w:type="dxa" w:w="2577"/>
            <w:vAlign w:val="center"/>
          </w:tcPr>
          <w:p>
            <w:r>
              <w:rPr>
                <w:sz w:val="16"/>
              </w:rPr>
            </w:r>
            <w:r>
              <w:rPr>
                <w:b w:val="0"/>
                <w:sz w:val="16"/>
              </w:rPr>
              <w:t>New events from 1 Mar 2026 use ₹5,000.</w:t>
            </w:r>
          </w:p>
        </w:tc>
      </w:tr>
      <w:tr>
        <w:trPr>
          <w:cantSplit/>
        </w:trPr>
        <w:tc>
          <w:tcPr>
            <w:tcW w:type="dxa" w:w="2577"/>
            <w:vAlign w:val="center"/>
          </w:tcPr>
          <w:p>
            <w:r>
              <w:rPr>
                <w:sz w:val="16"/>
              </w:rPr>
            </w:r>
            <w:r>
              <w:rPr>
                <w:b w:val="0"/>
                <w:sz w:val="16"/>
              </w:rPr>
              <w:t>Investment oversight</w:t>
            </w:r>
          </w:p>
        </w:tc>
        <w:tc>
          <w:tcPr>
            <w:tcW w:type="dxa" w:w="2577"/>
            <w:vAlign w:val="center"/>
          </w:tcPr>
          <w:p>
            <w:r>
              <w:rPr>
                <w:sz w:val="16"/>
              </w:rPr>
            </w:r>
            <w:r>
              <w:rPr>
                <w:b w:val="0"/>
                <w:sz w:val="16"/>
              </w:rPr>
              <w:t>Referenced legacy investment policy</w:t>
            </w:r>
          </w:p>
        </w:tc>
        <w:tc>
          <w:tcPr>
            <w:tcW w:type="dxa" w:w="2577"/>
            <w:vAlign w:val="center"/>
          </w:tcPr>
          <w:p>
            <w:r>
              <w:rPr>
                <w:sz w:val="16"/>
              </w:rPr>
            </w:r>
            <w:r>
              <w:rPr>
                <w:b w:val="0"/>
                <w:sz w:val="16"/>
              </w:rPr>
              <w:t>References INV-010 v2.0 / IMP-041</w:t>
            </w:r>
          </w:p>
        </w:tc>
        <w:tc>
          <w:tcPr>
            <w:tcW w:type="dxa" w:w="2577"/>
            <w:vAlign w:val="center"/>
          </w:tcPr>
          <w:p>
            <w:r>
              <w:rPr>
                <w:sz w:val="16"/>
              </w:rPr>
            </w:r>
            <w:r>
              <w:rPr>
                <w:b w:val="0"/>
                <w:sz w:val="16"/>
              </w:rPr>
              <w:t>Open matters mapped at next review.</w:t>
            </w:r>
          </w:p>
        </w:tc>
      </w:tr>
      <w:tr>
        <w:trPr>
          <w:cantSplit/>
        </w:trPr>
        <w:tc>
          <w:tcPr>
            <w:tcW w:type="dxa" w:w="2577"/>
            <w:vAlign w:val="center"/>
          </w:tcPr>
          <w:p>
            <w:r>
              <w:rPr>
                <w:sz w:val="16"/>
              </w:rPr>
            </w:r>
            <w:r>
              <w:rPr>
                <w:b w:val="0"/>
                <w:sz w:val="16"/>
              </w:rPr>
              <w:t>Breach procedure</w:t>
            </w:r>
          </w:p>
        </w:tc>
        <w:tc>
          <w:tcPr>
            <w:tcW w:type="dxa" w:w="2577"/>
            <w:vAlign w:val="center"/>
          </w:tcPr>
          <w:p>
            <w:r>
              <w:rPr>
                <w:sz w:val="16"/>
              </w:rPr>
            </w:r>
            <w:r>
              <w:rPr>
                <w:b w:val="0"/>
                <w:sz w:val="16"/>
              </w:rPr>
              <w:t>Departmental breach guidance</w:t>
            </w:r>
          </w:p>
        </w:tc>
        <w:tc>
          <w:tcPr>
            <w:tcW w:type="dxa" w:w="2577"/>
            <w:vAlign w:val="center"/>
          </w:tcPr>
          <w:p>
            <w:r>
              <w:rPr>
                <w:sz w:val="16"/>
              </w:rPr>
            </w:r>
            <w:r>
              <w:rPr>
                <w:b w:val="0"/>
                <w:sz w:val="16"/>
              </w:rPr>
              <w:t>CBP-043 v1.0</w:t>
            </w:r>
          </w:p>
        </w:tc>
        <w:tc>
          <w:tcPr>
            <w:tcW w:type="dxa" w:w="2577"/>
            <w:vAlign w:val="center"/>
          </w:tcPr>
          <w:p>
            <w:r>
              <w:rPr>
                <w:sz w:val="16"/>
              </w:rPr>
            </w:r>
            <w:r>
              <w:rPr>
                <w:b w:val="0"/>
                <w:sz w:val="16"/>
              </w:rPr>
              <w:t>Open material cases migrate to current severity and reporting where practicable.</w:t>
            </w:r>
          </w:p>
        </w:tc>
      </w:tr>
    </w:tbl>
    <w:p/>
    <w:p>
      <w:pPr>
        <w:pStyle w:val="Heading1"/>
      </w:pPr>
      <w:r>
        <w:t>35. Appendix A — Compliance Monitoring Universe</w:t>
      </w:r>
    </w:p>
    <w:p>
      <w:r>
        <w:t>The monitoring universe should be tailored to risk and change.</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Area</w:t>
            </w:r>
          </w:p>
        </w:tc>
        <w:tc>
          <w:tcPr>
            <w:tcW w:type="dxa" w:w="5155"/>
            <w:vAlign w:val="center"/>
            <w:shd w:fill="17365D"/>
          </w:tcPr>
          <w:p>
            <w:r>
              <w:rPr>
                <w:sz w:val="16"/>
              </w:rPr>
            </w:r>
            <w:r>
              <w:rPr>
                <w:b/>
                <w:color w:val="FFFFFF"/>
                <w:sz w:val="16"/>
              </w:rPr>
              <w:t>Example Controls</w:t>
            </w:r>
          </w:p>
        </w:tc>
      </w:tr>
      <w:tr>
        <w:trPr>
          <w:cantSplit/>
        </w:trPr>
        <w:tc>
          <w:tcPr>
            <w:tcW w:type="dxa" w:w="5155"/>
            <w:vAlign w:val="center"/>
          </w:tcPr>
          <w:p>
            <w:r>
              <w:rPr>
                <w:sz w:val="16"/>
              </w:rPr>
            </w:r>
            <w:r>
              <w:rPr>
                <w:b w:val="0"/>
                <w:sz w:val="16"/>
              </w:rPr>
              <w:t>Onboarding</w:t>
            </w:r>
          </w:p>
        </w:tc>
        <w:tc>
          <w:tcPr>
            <w:tcW w:type="dxa" w:w="5155"/>
            <w:vAlign w:val="center"/>
          </w:tcPr>
          <w:p>
            <w:r>
              <w:rPr>
                <w:sz w:val="16"/>
              </w:rPr>
            </w:r>
            <w:r>
              <w:rPr>
                <w:b w:val="0"/>
                <w:sz w:val="16"/>
              </w:rPr>
              <w:t>Identity, consent, staged activation, restriction status</w:t>
            </w:r>
          </w:p>
        </w:tc>
      </w:tr>
      <w:tr>
        <w:trPr>
          <w:cantSplit/>
        </w:trPr>
        <w:tc>
          <w:tcPr>
            <w:tcW w:type="dxa" w:w="5155"/>
            <w:vAlign w:val="center"/>
          </w:tcPr>
          <w:p>
            <w:r>
              <w:rPr>
                <w:sz w:val="16"/>
              </w:rPr>
            </w:r>
            <w:r>
              <w:rPr>
                <w:b w:val="0"/>
                <w:sz w:val="16"/>
              </w:rPr>
              <w:t>Credit</w:t>
            </w:r>
          </w:p>
        </w:tc>
        <w:tc>
          <w:tcPr>
            <w:tcW w:type="dxa" w:w="5155"/>
            <w:vAlign w:val="center"/>
          </w:tcPr>
          <w:p>
            <w:r>
              <w:rPr>
                <w:sz w:val="16"/>
              </w:rPr>
            </w:r>
            <w:r>
              <w:rPr>
                <w:b w:val="0"/>
                <w:sz w:val="16"/>
              </w:rPr>
              <w:t>Eligibility, affordability, delegated authority, exceptions, disclosure</w:t>
            </w:r>
          </w:p>
        </w:tc>
      </w:tr>
      <w:tr>
        <w:trPr>
          <w:cantSplit/>
        </w:trPr>
        <w:tc>
          <w:tcPr>
            <w:tcW w:type="dxa" w:w="5155"/>
            <w:vAlign w:val="center"/>
          </w:tcPr>
          <w:p>
            <w:r>
              <w:rPr>
                <w:sz w:val="16"/>
              </w:rPr>
            </w:r>
            <w:r>
              <w:rPr>
                <w:b w:val="0"/>
                <w:sz w:val="16"/>
              </w:rPr>
              <w:t>KYC/CDD</w:t>
            </w:r>
          </w:p>
        </w:tc>
        <w:tc>
          <w:tcPr>
            <w:tcW w:type="dxa" w:w="5155"/>
            <w:vAlign w:val="center"/>
          </w:tcPr>
          <w:p>
            <w:r>
              <w:rPr>
                <w:sz w:val="16"/>
              </w:rPr>
            </w:r>
            <w:r>
              <w:rPr>
                <w:b w:val="0"/>
                <w:sz w:val="16"/>
              </w:rPr>
              <w:t>Ownership, PEP/sanctions, refresh, EDD</w:t>
            </w:r>
          </w:p>
        </w:tc>
      </w:tr>
      <w:tr>
        <w:trPr>
          <w:cantSplit/>
        </w:trPr>
        <w:tc>
          <w:tcPr>
            <w:tcW w:type="dxa" w:w="5155"/>
            <w:vAlign w:val="center"/>
          </w:tcPr>
          <w:p>
            <w:r>
              <w:rPr>
                <w:sz w:val="16"/>
              </w:rPr>
            </w:r>
            <w:r>
              <w:rPr>
                <w:b w:val="0"/>
                <w:sz w:val="16"/>
              </w:rPr>
              <w:t>AML</w:t>
            </w:r>
          </w:p>
        </w:tc>
        <w:tc>
          <w:tcPr>
            <w:tcW w:type="dxa" w:w="5155"/>
            <w:vAlign w:val="center"/>
          </w:tcPr>
          <w:p>
            <w:r>
              <w:rPr>
                <w:sz w:val="16"/>
              </w:rPr>
            </w:r>
            <w:r>
              <w:rPr>
                <w:b w:val="0"/>
                <w:sz w:val="16"/>
              </w:rPr>
              <w:t>Monitoring alerts, ageing, disposition, SoF/SoW</w:t>
            </w:r>
          </w:p>
        </w:tc>
      </w:tr>
      <w:tr>
        <w:trPr>
          <w:cantSplit/>
        </w:trPr>
        <w:tc>
          <w:tcPr>
            <w:tcW w:type="dxa" w:w="5155"/>
            <w:vAlign w:val="center"/>
          </w:tcPr>
          <w:p>
            <w:r>
              <w:rPr>
                <w:sz w:val="16"/>
              </w:rPr>
            </w:r>
            <w:r>
              <w:rPr>
                <w:b w:val="0"/>
                <w:sz w:val="16"/>
              </w:rPr>
              <w:t>Investments</w:t>
            </w:r>
          </w:p>
        </w:tc>
        <w:tc>
          <w:tcPr>
            <w:tcW w:type="dxa" w:w="5155"/>
            <w:vAlign w:val="center"/>
          </w:tcPr>
          <w:p>
            <w:r>
              <w:rPr>
                <w:sz w:val="16"/>
              </w:rPr>
            </w:r>
            <w:r>
              <w:rPr>
                <w:b w:val="0"/>
                <w:sz w:val="16"/>
              </w:rPr>
              <w:t>Eligibility, authority, limits, watchlist, valuation</w:t>
            </w:r>
          </w:p>
        </w:tc>
      </w:tr>
      <w:tr>
        <w:trPr>
          <w:cantSplit/>
        </w:trPr>
        <w:tc>
          <w:tcPr>
            <w:tcW w:type="dxa" w:w="5155"/>
            <w:vAlign w:val="center"/>
          </w:tcPr>
          <w:p>
            <w:r>
              <w:rPr>
                <w:sz w:val="16"/>
              </w:rPr>
            </w:r>
            <w:r>
              <w:rPr>
                <w:b w:val="0"/>
                <w:sz w:val="16"/>
              </w:rPr>
              <w:t>Complaints</w:t>
            </w:r>
          </w:p>
        </w:tc>
        <w:tc>
          <w:tcPr>
            <w:tcW w:type="dxa" w:w="5155"/>
            <w:vAlign w:val="center"/>
          </w:tcPr>
          <w:p>
            <w:r>
              <w:rPr>
                <w:sz w:val="16"/>
              </w:rPr>
            </w:r>
            <w:r>
              <w:rPr>
                <w:b w:val="0"/>
                <w:sz w:val="16"/>
              </w:rPr>
              <w:t>Timeliness, outcome, root cause, customer fairness</w:t>
            </w:r>
          </w:p>
        </w:tc>
      </w:tr>
      <w:tr>
        <w:trPr>
          <w:cantSplit/>
        </w:trPr>
        <w:tc>
          <w:tcPr>
            <w:tcW w:type="dxa" w:w="5155"/>
            <w:vAlign w:val="center"/>
          </w:tcPr>
          <w:p>
            <w:r>
              <w:rPr>
                <w:sz w:val="16"/>
              </w:rPr>
            </w:r>
            <w:r>
              <w:rPr>
                <w:b w:val="0"/>
                <w:sz w:val="16"/>
              </w:rPr>
              <w:t>Employee conduct</w:t>
            </w:r>
          </w:p>
        </w:tc>
        <w:tc>
          <w:tcPr>
            <w:tcW w:type="dxa" w:w="5155"/>
            <w:vAlign w:val="center"/>
          </w:tcPr>
          <w:p>
            <w:r>
              <w:rPr>
                <w:sz w:val="16"/>
              </w:rPr>
            </w:r>
            <w:r>
              <w:rPr>
                <w:b w:val="0"/>
                <w:sz w:val="16"/>
              </w:rPr>
              <w:t>Gifts, conflicts, training, access</w:t>
            </w:r>
          </w:p>
        </w:tc>
      </w:tr>
      <w:tr>
        <w:trPr>
          <w:cantSplit/>
        </w:trPr>
        <w:tc>
          <w:tcPr>
            <w:tcW w:type="dxa" w:w="5155"/>
            <w:vAlign w:val="center"/>
          </w:tcPr>
          <w:p>
            <w:r>
              <w:rPr>
                <w:sz w:val="16"/>
              </w:rPr>
            </w:r>
            <w:r>
              <w:rPr>
                <w:b w:val="0"/>
                <w:sz w:val="16"/>
              </w:rPr>
              <w:t>Change management</w:t>
            </w:r>
          </w:p>
        </w:tc>
        <w:tc>
          <w:tcPr>
            <w:tcW w:type="dxa" w:w="5155"/>
            <w:vAlign w:val="center"/>
          </w:tcPr>
          <w:p>
            <w:r>
              <w:rPr>
                <w:sz w:val="16"/>
              </w:rPr>
            </w:r>
            <w:r>
              <w:rPr>
                <w:b w:val="0"/>
                <w:sz w:val="16"/>
              </w:rPr>
              <w:t>Obligation mapping, policy updates, evidence of implementation</w:t>
            </w:r>
          </w:p>
        </w:tc>
      </w:tr>
    </w:tbl>
    <w:p/>
    <w:p>
      <w:pPr>
        <w:pStyle w:val="Heading1"/>
      </w:pPr>
      <w:r>
        <w:t>36. Appendix B — Illustrative Compliance Tests</w:t>
      </w:r>
    </w:p>
    <w:p>
      <w:r>
        <w:t>These examples show evidence expectations.</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vAlign w:val="center"/>
            <w:shd w:fill="17365D"/>
          </w:tcPr>
          <w:p>
            <w:r>
              <w:rPr>
                <w:sz w:val="16"/>
              </w:rPr>
            </w:r>
            <w:r>
              <w:rPr>
                <w:b/>
                <w:color w:val="FFFFFF"/>
                <w:sz w:val="16"/>
              </w:rPr>
              <w:t>Test</w:t>
            </w:r>
          </w:p>
        </w:tc>
        <w:tc>
          <w:tcPr>
            <w:tcW w:type="dxa" w:w="3437"/>
            <w:vAlign w:val="center"/>
            <w:shd w:fill="17365D"/>
          </w:tcPr>
          <w:p>
            <w:r>
              <w:rPr>
                <w:sz w:val="16"/>
              </w:rPr>
            </w:r>
            <w:r>
              <w:rPr>
                <w:b/>
                <w:color w:val="FFFFFF"/>
                <w:sz w:val="16"/>
              </w:rPr>
              <w:t>Population / Evidence</w:t>
            </w:r>
          </w:p>
        </w:tc>
        <w:tc>
          <w:tcPr>
            <w:tcW w:type="dxa" w:w="3437"/>
            <w:vAlign w:val="center"/>
            <w:shd w:fill="17365D"/>
          </w:tcPr>
          <w:p>
            <w:r>
              <w:rPr>
                <w:sz w:val="16"/>
              </w:rPr>
            </w:r>
            <w:r>
              <w:rPr>
                <w:b/>
                <w:color w:val="FFFFFF"/>
                <w:sz w:val="16"/>
              </w:rPr>
              <w:t>Failure Example</w:t>
            </w:r>
          </w:p>
        </w:tc>
      </w:tr>
      <w:tr>
        <w:trPr>
          <w:cantSplit/>
        </w:trPr>
        <w:tc>
          <w:tcPr>
            <w:tcW w:type="dxa" w:w="3437"/>
            <w:vAlign w:val="center"/>
          </w:tcPr>
          <w:p>
            <w:r>
              <w:rPr>
                <w:sz w:val="16"/>
              </w:rPr>
            </w:r>
            <w:r>
              <w:rPr>
                <w:b w:val="0"/>
                <w:sz w:val="16"/>
              </w:rPr>
              <w:t>Delegated authority</w:t>
            </w:r>
          </w:p>
        </w:tc>
        <w:tc>
          <w:tcPr>
            <w:tcW w:type="dxa" w:w="3437"/>
            <w:vAlign w:val="center"/>
          </w:tcPr>
          <w:p>
            <w:r>
              <w:rPr>
                <w:sz w:val="16"/>
              </w:rPr>
            </w:r>
            <w:r>
              <w:rPr>
                <w:b w:val="0"/>
                <w:sz w:val="16"/>
              </w:rPr>
              <w:t>Approved decisions vs authority schedule</w:t>
            </w:r>
          </w:p>
        </w:tc>
        <w:tc>
          <w:tcPr>
            <w:tcW w:type="dxa" w:w="3437"/>
            <w:vAlign w:val="center"/>
          </w:tcPr>
          <w:p>
            <w:r>
              <w:rPr>
                <w:sz w:val="16"/>
              </w:rPr>
            </w:r>
            <w:r>
              <w:rPr>
                <w:b w:val="0"/>
                <w:sz w:val="16"/>
              </w:rPr>
              <w:t>Approver lacked current authority despite system access</w:t>
            </w:r>
          </w:p>
        </w:tc>
      </w:tr>
      <w:tr>
        <w:trPr>
          <w:cantSplit/>
        </w:trPr>
        <w:tc>
          <w:tcPr>
            <w:tcW w:type="dxa" w:w="3437"/>
            <w:vAlign w:val="center"/>
          </w:tcPr>
          <w:p>
            <w:r>
              <w:rPr>
                <w:sz w:val="16"/>
              </w:rPr>
            </w:r>
            <w:r>
              <w:rPr>
                <w:b w:val="0"/>
                <w:sz w:val="16"/>
              </w:rPr>
              <w:t>KYC restriction</w:t>
            </w:r>
          </w:p>
        </w:tc>
        <w:tc>
          <w:tcPr>
            <w:tcW w:type="dxa" w:w="3437"/>
            <w:vAlign w:val="center"/>
          </w:tcPr>
          <w:p>
            <w:r>
              <w:rPr>
                <w:sz w:val="16"/>
              </w:rPr>
            </w:r>
            <w:r>
              <w:rPr>
                <w:b w:val="0"/>
                <w:sz w:val="16"/>
              </w:rPr>
              <w:t>Restricted customers vs activation/disbursement</w:t>
            </w:r>
          </w:p>
        </w:tc>
        <w:tc>
          <w:tcPr>
            <w:tcW w:type="dxa" w:w="3437"/>
            <w:vAlign w:val="center"/>
          </w:tcPr>
          <w:p>
            <w:r>
              <w:rPr>
                <w:sz w:val="16"/>
              </w:rPr>
            </w:r>
            <w:r>
              <w:rPr>
                <w:b w:val="0"/>
                <w:sz w:val="16"/>
              </w:rPr>
              <w:t>Funds released before specialist clearance</w:t>
            </w:r>
          </w:p>
        </w:tc>
      </w:tr>
      <w:tr>
        <w:trPr>
          <w:cantSplit/>
        </w:trPr>
        <w:tc>
          <w:tcPr>
            <w:tcW w:type="dxa" w:w="3437"/>
            <w:vAlign w:val="center"/>
          </w:tcPr>
          <w:p>
            <w:r>
              <w:rPr>
                <w:sz w:val="16"/>
              </w:rPr>
            </w:r>
            <w:r>
              <w:rPr>
                <w:b w:val="0"/>
                <w:sz w:val="16"/>
              </w:rPr>
              <w:t>AML alert ageing</w:t>
            </w:r>
          </w:p>
        </w:tc>
        <w:tc>
          <w:tcPr>
            <w:tcW w:type="dxa" w:w="3437"/>
            <w:vAlign w:val="center"/>
          </w:tcPr>
          <w:p>
            <w:r>
              <w:rPr>
                <w:sz w:val="16"/>
              </w:rPr>
            </w:r>
            <w:r>
              <w:rPr>
                <w:b w:val="0"/>
                <w:sz w:val="16"/>
              </w:rPr>
              <w:t>Open alerts by age band</w:t>
            </w:r>
          </w:p>
        </w:tc>
        <w:tc>
          <w:tcPr>
            <w:tcW w:type="dxa" w:w="3437"/>
            <w:vAlign w:val="center"/>
          </w:tcPr>
          <w:p>
            <w:r>
              <w:rPr>
                <w:sz w:val="16"/>
              </w:rPr>
            </w:r>
            <w:r>
              <w:rPr>
                <w:b w:val="0"/>
                <w:sz w:val="16"/>
              </w:rPr>
              <w:t>Material alert &gt;30 days without approved reason</w:t>
            </w:r>
          </w:p>
        </w:tc>
      </w:tr>
      <w:tr>
        <w:trPr>
          <w:cantSplit/>
        </w:trPr>
        <w:tc>
          <w:tcPr>
            <w:tcW w:type="dxa" w:w="3437"/>
            <w:vAlign w:val="center"/>
          </w:tcPr>
          <w:p>
            <w:r>
              <w:rPr>
                <w:sz w:val="16"/>
              </w:rPr>
            </w:r>
            <w:r>
              <w:rPr>
                <w:b w:val="0"/>
                <w:sz w:val="16"/>
              </w:rPr>
              <w:t>Gift register</w:t>
            </w:r>
          </w:p>
        </w:tc>
        <w:tc>
          <w:tcPr>
            <w:tcW w:type="dxa" w:w="3437"/>
            <w:vAlign w:val="center"/>
          </w:tcPr>
          <w:p>
            <w:r>
              <w:rPr>
                <w:sz w:val="16"/>
              </w:rPr>
            </w:r>
            <w:r>
              <w:rPr>
                <w:b w:val="0"/>
                <w:sz w:val="16"/>
              </w:rPr>
              <w:t>Employee declarations / expenses</w:t>
            </w:r>
          </w:p>
        </w:tc>
        <w:tc>
          <w:tcPr>
            <w:tcW w:type="dxa" w:w="3437"/>
            <w:vAlign w:val="center"/>
          </w:tcPr>
          <w:p>
            <w:r>
              <w:rPr>
                <w:sz w:val="16"/>
              </w:rPr>
            </w:r>
            <w:r>
              <w:rPr>
                <w:b w:val="0"/>
                <w:sz w:val="16"/>
              </w:rPr>
              <w:t>₹8,000 hospitality accepted without prior approval after 1 Mar 2026</w:t>
            </w:r>
          </w:p>
        </w:tc>
      </w:tr>
      <w:tr>
        <w:trPr>
          <w:cantSplit/>
        </w:trPr>
        <w:tc>
          <w:tcPr>
            <w:tcW w:type="dxa" w:w="3437"/>
            <w:vAlign w:val="center"/>
          </w:tcPr>
          <w:p>
            <w:r>
              <w:rPr>
                <w:sz w:val="16"/>
              </w:rPr>
            </w:r>
            <w:r>
              <w:rPr>
                <w:b w:val="0"/>
                <w:sz w:val="16"/>
              </w:rPr>
              <w:t>Investment exception</w:t>
            </w:r>
          </w:p>
        </w:tc>
        <w:tc>
          <w:tcPr>
            <w:tcW w:type="dxa" w:w="3437"/>
            <w:vAlign w:val="center"/>
          </w:tcPr>
          <w:p>
            <w:r>
              <w:rPr>
                <w:sz w:val="16"/>
              </w:rPr>
            </w:r>
            <w:r>
              <w:rPr>
                <w:b w:val="0"/>
                <w:sz w:val="16"/>
              </w:rPr>
              <w:t>Trades exceeding limit vs exception register</w:t>
            </w:r>
          </w:p>
        </w:tc>
        <w:tc>
          <w:tcPr>
            <w:tcW w:type="dxa" w:w="3437"/>
            <w:vAlign w:val="center"/>
          </w:tcPr>
          <w:p>
            <w:r>
              <w:rPr>
                <w:sz w:val="16"/>
              </w:rPr>
            </w:r>
            <w:r>
              <w:rPr>
                <w:b w:val="0"/>
                <w:sz w:val="16"/>
              </w:rPr>
              <w:t>Trade caused breach before exception approval</w:t>
            </w:r>
          </w:p>
        </w:tc>
      </w:tr>
    </w:tbl>
    <w:p/>
    <w:p>
      <w:pPr>
        <w:pStyle w:val="Heading1"/>
      </w:pPr>
      <w:r>
        <w:t>37. Appendix C — Compliance Committee Escalation</w:t>
      </w:r>
    </w:p>
    <w:p>
      <w:r>
        <w:t>Material matters should reach the appropriate governance body without unnecessary delay.</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Matter</w:t>
            </w:r>
          </w:p>
        </w:tc>
        <w:tc>
          <w:tcPr>
            <w:tcW w:type="dxa" w:w="5155"/>
            <w:vAlign w:val="center"/>
            <w:shd w:fill="17365D"/>
          </w:tcPr>
          <w:p>
            <w:r>
              <w:rPr>
                <w:sz w:val="16"/>
              </w:rPr>
            </w:r>
            <w:r>
              <w:rPr>
                <w:b/>
                <w:color w:val="FFFFFF"/>
                <w:sz w:val="16"/>
              </w:rPr>
              <w:t>Primary Forum</w:t>
            </w:r>
          </w:p>
        </w:tc>
      </w:tr>
      <w:tr>
        <w:trPr>
          <w:cantSplit/>
        </w:trPr>
        <w:tc>
          <w:tcPr>
            <w:tcW w:type="dxa" w:w="5155"/>
            <w:vAlign w:val="center"/>
          </w:tcPr>
          <w:p>
            <w:r>
              <w:rPr>
                <w:sz w:val="16"/>
              </w:rPr>
            </w:r>
            <w:r>
              <w:rPr>
                <w:b w:val="0"/>
                <w:sz w:val="16"/>
              </w:rPr>
              <w:t>C4 compliance breach</w:t>
            </w:r>
          </w:p>
        </w:tc>
        <w:tc>
          <w:tcPr>
            <w:tcW w:type="dxa" w:w="5155"/>
            <w:vAlign w:val="center"/>
          </w:tcPr>
          <w:p>
            <w:r>
              <w:rPr>
                <w:sz w:val="16"/>
              </w:rPr>
            </w:r>
            <w:r>
              <w:rPr>
                <w:b w:val="0"/>
                <w:sz w:val="16"/>
              </w:rPr>
              <w:t>Compliance &amp; Conduct Committee / executive escalation</w:t>
            </w:r>
          </w:p>
        </w:tc>
      </w:tr>
      <w:tr>
        <w:trPr>
          <w:cantSplit/>
        </w:trPr>
        <w:tc>
          <w:tcPr>
            <w:tcW w:type="dxa" w:w="5155"/>
            <w:vAlign w:val="center"/>
          </w:tcPr>
          <w:p>
            <w:r>
              <w:rPr>
                <w:sz w:val="16"/>
              </w:rPr>
            </w:r>
            <w:r>
              <w:rPr>
                <w:b w:val="0"/>
                <w:sz w:val="16"/>
              </w:rPr>
              <w:t>Material AML/KYC control failure</w:t>
            </w:r>
          </w:p>
        </w:tc>
        <w:tc>
          <w:tcPr>
            <w:tcW w:type="dxa" w:w="5155"/>
            <w:vAlign w:val="center"/>
          </w:tcPr>
          <w:p>
            <w:r>
              <w:rPr>
                <w:sz w:val="16"/>
              </w:rPr>
            </w:r>
            <w:r>
              <w:rPr>
                <w:b w:val="0"/>
                <w:sz w:val="16"/>
              </w:rPr>
              <w:t>AML &amp; Financial Crime Committee + Compliance</w:t>
            </w:r>
          </w:p>
        </w:tc>
      </w:tr>
      <w:tr>
        <w:trPr>
          <w:cantSplit/>
        </w:trPr>
        <w:tc>
          <w:tcPr>
            <w:tcW w:type="dxa" w:w="5155"/>
            <w:vAlign w:val="center"/>
          </w:tcPr>
          <w:p>
            <w:r>
              <w:rPr>
                <w:sz w:val="16"/>
              </w:rPr>
            </w:r>
            <w:r>
              <w:rPr>
                <w:b w:val="0"/>
                <w:sz w:val="16"/>
              </w:rPr>
              <w:t>Material investment policy breach</w:t>
            </w:r>
          </w:p>
        </w:tc>
        <w:tc>
          <w:tcPr>
            <w:tcW w:type="dxa" w:w="5155"/>
            <w:vAlign w:val="center"/>
          </w:tcPr>
          <w:p>
            <w:r>
              <w:rPr>
                <w:sz w:val="16"/>
              </w:rPr>
            </w:r>
            <w:r>
              <w:rPr>
                <w:b w:val="0"/>
                <w:sz w:val="16"/>
              </w:rPr>
              <w:t>Investment &amp; Treasury Committee + Compliance / Risk</w:t>
            </w:r>
          </w:p>
        </w:tc>
      </w:tr>
      <w:tr>
        <w:trPr>
          <w:cantSplit/>
        </w:trPr>
        <w:tc>
          <w:tcPr>
            <w:tcW w:type="dxa" w:w="5155"/>
            <w:vAlign w:val="center"/>
          </w:tcPr>
          <w:p>
            <w:r>
              <w:rPr>
                <w:sz w:val="16"/>
              </w:rPr>
            </w:r>
            <w:r>
              <w:rPr>
                <w:b w:val="0"/>
                <w:sz w:val="16"/>
              </w:rPr>
              <w:t>Enterprise appetite breach</w:t>
            </w:r>
          </w:p>
        </w:tc>
        <w:tc>
          <w:tcPr>
            <w:tcW w:type="dxa" w:w="5155"/>
            <w:vAlign w:val="center"/>
          </w:tcPr>
          <w:p>
            <w:r>
              <w:rPr>
                <w:sz w:val="16"/>
              </w:rPr>
            </w:r>
            <w:r>
              <w:rPr>
                <w:b w:val="0"/>
                <w:sz w:val="16"/>
              </w:rPr>
              <w:t>Risk governance under RAS-009</w:t>
            </w:r>
          </w:p>
        </w:tc>
      </w:tr>
      <w:tr>
        <w:trPr>
          <w:cantSplit/>
        </w:trPr>
        <w:tc>
          <w:tcPr>
            <w:tcW w:type="dxa" w:w="5155"/>
            <w:vAlign w:val="center"/>
          </w:tcPr>
          <w:p>
            <w:r>
              <w:rPr>
                <w:sz w:val="16"/>
              </w:rPr>
            </w:r>
            <w:r>
              <w:rPr>
                <w:b w:val="0"/>
                <w:sz w:val="16"/>
              </w:rPr>
              <w:t>Repeated unresolved conduct issue</w:t>
            </w:r>
          </w:p>
        </w:tc>
        <w:tc>
          <w:tcPr>
            <w:tcW w:type="dxa" w:w="5155"/>
            <w:vAlign w:val="center"/>
          </w:tcPr>
          <w:p>
            <w:r>
              <w:rPr>
                <w:sz w:val="16"/>
              </w:rPr>
            </w:r>
            <w:r>
              <w:rPr>
                <w:b w:val="0"/>
                <w:sz w:val="16"/>
              </w:rPr>
              <w:t>Compliance &amp; Conduct Committee</w:t>
            </w:r>
          </w:p>
        </w:tc>
      </w:tr>
    </w:tbl>
    <w:p/>
    <w:p>
      <w:pPr>
        <w:pStyle w:val="Heading1"/>
      </w:pPr>
      <w:r>
        <w:t>38. Appendix D — Documentation Standards</w:t>
      </w:r>
    </w:p>
    <w:p>
      <w:r>
        <w:t>Compliance working papers should be clear enough for an informed independent reviewer to understand what was tested, what evidence was reviewed, what failed, why the conclusion was reached and what action remains open.</w:t>
      </w:r>
    </w:p>
    <w:p>
      <w:r>
        <w:br w:type="page"/>
      </w:r>
    </w:p>
    <w:p>
      <w:pPr>
        <w:pStyle w:val="Heading1"/>
      </w:pPr>
      <w:r>
        <w:t>Appendix E — Compliance Monitoring Program: Customer Onboarding</w:t>
      </w:r>
    </w:p>
    <w:p>
      <w:pPr>
        <w:spacing w:after="100"/>
      </w:pPr>
      <w:r>
        <w:t>This program provides minimum test themes for onboarding while preserving Customer Operations ownership of process execution.</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17365D"/>
          </w:tcPr>
          <w:p>
            <w:r/>
            <w:r>
              <w:rPr>
                <w:b/>
                <w:color w:val="FFFFFF"/>
                <w:sz w:val="16"/>
              </w:rPr>
              <w:t>Test Theme</w:t>
            </w:r>
          </w:p>
        </w:tc>
        <w:tc>
          <w:tcPr>
            <w:tcW w:type="dxa" w:w="3369"/>
            <w:vAlign w:val="center"/>
            <w:shd w:fill="17365D"/>
          </w:tcPr>
          <w:p>
            <w:r/>
            <w:r>
              <w:rPr>
                <w:b/>
                <w:color w:val="FFFFFF"/>
                <w:sz w:val="16"/>
              </w:rPr>
              <w:t>Sample Evidence</w:t>
            </w:r>
          </w:p>
        </w:tc>
        <w:tc>
          <w:tcPr>
            <w:tcW w:type="dxa" w:w="3369"/>
            <w:vAlign w:val="center"/>
            <w:shd w:fill="17365D"/>
          </w:tcPr>
          <w:p>
            <w:r/>
            <w:r>
              <w:rPr>
                <w:b/>
                <w:color w:val="FFFFFF"/>
                <w:sz w:val="16"/>
              </w:rPr>
              <w:t>Typical Failure</w:t>
            </w:r>
          </w:p>
        </w:tc>
      </w:tr>
      <w:tr>
        <w:trPr>
          <w:cantSplit/>
        </w:trPr>
        <w:tc>
          <w:tcPr>
            <w:tcW w:type="dxa" w:w="3369"/>
            <w:vAlign w:val="center"/>
          </w:tcPr>
          <w:p>
            <w:r/>
            <w:r>
              <w:rPr>
                <w:b w:val="0"/>
                <w:sz w:val="16"/>
              </w:rPr>
              <w:t>Identity completion</w:t>
            </w:r>
          </w:p>
        </w:tc>
        <w:tc>
          <w:tcPr>
            <w:tcW w:type="dxa" w:w="3369"/>
            <w:vAlign w:val="center"/>
          </w:tcPr>
          <w:p>
            <w:r/>
            <w:r>
              <w:rPr>
                <w:b w:val="0"/>
                <w:sz w:val="16"/>
              </w:rPr>
              <w:t>Application record, verification result, checker sign-off</w:t>
            </w:r>
          </w:p>
        </w:tc>
        <w:tc>
          <w:tcPr>
            <w:tcW w:type="dxa" w:w="3369"/>
            <w:vAlign w:val="center"/>
          </w:tcPr>
          <w:p>
            <w:r/>
            <w:r>
              <w:rPr>
                <w:b w:val="0"/>
                <w:sz w:val="16"/>
              </w:rPr>
              <w:t>Activation before required verification completed</w:t>
            </w:r>
          </w:p>
        </w:tc>
      </w:tr>
      <w:tr>
        <w:trPr>
          <w:cantSplit/>
        </w:trPr>
        <w:tc>
          <w:tcPr>
            <w:tcW w:type="dxa" w:w="3369"/>
            <w:vAlign w:val="center"/>
          </w:tcPr>
          <w:p>
            <w:r/>
            <w:r>
              <w:rPr>
                <w:b w:val="0"/>
                <w:sz w:val="16"/>
              </w:rPr>
              <w:t>Address discrepancy</w:t>
            </w:r>
          </w:p>
        </w:tc>
        <w:tc>
          <w:tcPr>
            <w:tcW w:type="dxa" w:w="3369"/>
            <w:vAlign w:val="center"/>
          </w:tcPr>
          <w:p>
            <w:r/>
            <w:r>
              <w:rPr>
                <w:b w:val="0"/>
                <w:sz w:val="16"/>
              </w:rPr>
              <w:t>Documents, discrepancy log, escalation</w:t>
            </w:r>
          </w:p>
        </w:tc>
        <w:tc>
          <w:tcPr>
            <w:tcW w:type="dxa" w:w="3369"/>
            <w:vAlign w:val="center"/>
          </w:tcPr>
          <w:p>
            <w:r/>
            <w:r>
              <w:rPr>
                <w:b w:val="0"/>
                <w:sz w:val="16"/>
              </w:rPr>
              <w:t>Conflicting address accepted without resolution</w:t>
            </w:r>
          </w:p>
        </w:tc>
      </w:tr>
      <w:tr>
        <w:trPr>
          <w:cantSplit/>
        </w:trPr>
        <w:tc>
          <w:tcPr>
            <w:tcW w:type="dxa" w:w="3369"/>
            <w:vAlign w:val="center"/>
          </w:tcPr>
          <w:p>
            <w:r/>
            <w:r>
              <w:rPr>
                <w:b w:val="0"/>
                <w:sz w:val="16"/>
              </w:rPr>
              <w:t>Restricted-KYC status</w:t>
            </w:r>
          </w:p>
        </w:tc>
        <w:tc>
          <w:tcPr>
            <w:tcW w:type="dxa" w:w="3369"/>
            <w:vAlign w:val="center"/>
          </w:tcPr>
          <w:p>
            <w:r/>
            <w:r>
              <w:rPr>
                <w:b w:val="0"/>
                <w:sz w:val="16"/>
              </w:rPr>
              <w:t>System status and downstream block</w:t>
            </w:r>
          </w:p>
        </w:tc>
        <w:tc>
          <w:tcPr>
            <w:tcW w:type="dxa" w:w="3369"/>
            <w:vAlign w:val="center"/>
          </w:tcPr>
          <w:p>
            <w:r/>
            <w:r>
              <w:rPr>
                <w:b w:val="0"/>
                <w:sz w:val="16"/>
              </w:rPr>
              <w:t>Loan disbursement despite unresolved KYC hold</w:t>
            </w:r>
          </w:p>
        </w:tc>
      </w:tr>
      <w:tr>
        <w:trPr>
          <w:cantSplit/>
        </w:trPr>
        <w:tc>
          <w:tcPr>
            <w:tcW w:type="dxa" w:w="3369"/>
            <w:vAlign w:val="center"/>
          </w:tcPr>
          <w:p>
            <w:r/>
            <w:r>
              <w:rPr>
                <w:b w:val="0"/>
                <w:sz w:val="16"/>
              </w:rPr>
              <w:t>Duplicate applications</w:t>
            </w:r>
          </w:p>
        </w:tc>
        <w:tc>
          <w:tcPr>
            <w:tcW w:type="dxa" w:w="3369"/>
            <w:vAlign w:val="center"/>
          </w:tcPr>
          <w:p>
            <w:r/>
            <w:r>
              <w:rPr>
                <w:b w:val="0"/>
                <w:sz w:val="16"/>
              </w:rPr>
              <w:t>Match results and escalation</w:t>
            </w:r>
          </w:p>
        </w:tc>
        <w:tc>
          <w:tcPr>
            <w:tcW w:type="dxa" w:w="3369"/>
            <w:vAlign w:val="center"/>
          </w:tcPr>
          <w:p>
            <w:r/>
            <w:r>
              <w:rPr>
                <w:b w:val="0"/>
                <w:sz w:val="16"/>
              </w:rPr>
              <w:t>Duplicate ignored despite material fraud indicator</w:t>
            </w:r>
          </w:p>
        </w:tc>
      </w:tr>
      <w:tr>
        <w:trPr>
          <w:cantSplit/>
        </w:trPr>
        <w:tc>
          <w:tcPr>
            <w:tcW w:type="dxa" w:w="3369"/>
            <w:vAlign w:val="center"/>
          </w:tcPr>
          <w:p>
            <w:r/>
            <w:r>
              <w:rPr>
                <w:b w:val="0"/>
                <w:sz w:val="16"/>
              </w:rPr>
              <w:t>Consent / communication</w:t>
            </w:r>
          </w:p>
        </w:tc>
        <w:tc>
          <w:tcPr>
            <w:tcW w:type="dxa" w:w="3369"/>
            <w:vAlign w:val="center"/>
          </w:tcPr>
          <w:p>
            <w:r/>
            <w:r>
              <w:rPr>
                <w:b w:val="0"/>
                <w:sz w:val="16"/>
              </w:rPr>
              <w:t>Customer acceptance and disclosures</w:t>
            </w:r>
          </w:p>
        </w:tc>
        <w:tc>
          <w:tcPr>
            <w:tcW w:type="dxa" w:w="3369"/>
            <w:vAlign w:val="center"/>
          </w:tcPr>
          <w:p>
            <w:r/>
            <w:r>
              <w:rPr>
                <w:b w:val="0"/>
                <w:sz w:val="16"/>
              </w:rPr>
              <w:t>Required communication omitted or misleading</w:t>
            </w:r>
          </w:p>
        </w:tc>
      </w:tr>
    </w:tbl>
    <w:p/>
    <w:p>
      <w:r>
        <w:br w:type="page"/>
      </w:r>
    </w:p>
    <w:p>
      <w:pPr>
        <w:pStyle w:val="Heading1"/>
      </w:pPr>
      <w:r>
        <w:t>Appendix F — Compliance Monitoring Program: Credit and Lending</w:t>
      </w:r>
    </w:p>
    <w:p>
      <w:pPr>
        <w:spacing w:after="100"/>
      </w:pPr>
      <w:r>
        <w:t>Compliance testing focuses on adherence, authority and fairness rather than second-guessing every credit judgment.</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17365D"/>
          </w:tcPr>
          <w:p>
            <w:r/>
            <w:r>
              <w:rPr>
                <w:b/>
                <w:color w:val="FFFFFF"/>
                <w:sz w:val="16"/>
              </w:rPr>
              <w:t>Theme</w:t>
            </w:r>
          </w:p>
        </w:tc>
        <w:tc>
          <w:tcPr>
            <w:tcW w:type="dxa" w:w="3369"/>
            <w:vAlign w:val="center"/>
            <w:shd w:fill="17365D"/>
          </w:tcPr>
          <w:p>
            <w:r/>
            <w:r>
              <w:rPr>
                <w:b/>
                <w:color w:val="FFFFFF"/>
                <w:sz w:val="16"/>
              </w:rPr>
              <w:t>Control Objective</w:t>
            </w:r>
          </w:p>
        </w:tc>
        <w:tc>
          <w:tcPr>
            <w:tcW w:type="dxa" w:w="3369"/>
            <w:vAlign w:val="center"/>
            <w:shd w:fill="17365D"/>
          </w:tcPr>
          <w:p>
            <w:r/>
            <w:r>
              <w:rPr>
                <w:b/>
                <w:color w:val="FFFFFF"/>
                <w:sz w:val="16"/>
              </w:rPr>
              <w:t>Evidence</w:t>
            </w:r>
          </w:p>
        </w:tc>
      </w:tr>
      <w:tr>
        <w:trPr>
          <w:cantSplit/>
        </w:trPr>
        <w:tc>
          <w:tcPr>
            <w:tcW w:type="dxa" w:w="3369"/>
            <w:vAlign w:val="center"/>
          </w:tcPr>
          <w:p>
            <w:r/>
            <w:r>
              <w:rPr>
                <w:b w:val="0"/>
                <w:sz w:val="16"/>
              </w:rPr>
              <w:t>Affordability</w:t>
            </w:r>
          </w:p>
        </w:tc>
        <w:tc>
          <w:tcPr>
            <w:tcW w:type="dxa" w:w="3369"/>
            <w:vAlign w:val="center"/>
          </w:tcPr>
          <w:p>
            <w:r/>
            <w:r>
              <w:rPr>
                <w:b w:val="0"/>
                <w:sz w:val="16"/>
              </w:rPr>
              <w:t>Required DTI/FOIR assessment completed under correct version</w:t>
            </w:r>
          </w:p>
        </w:tc>
        <w:tc>
          <w:tcPr>
            <w:tcW w:type="dxa" w:w="3369"/>
            <w:vAlign w:val="center"/>
          </w:tcPr>
          <w:p>
            <w:r/>
            <w:r>
              <w:rPr>
                <w:b w:val="0"/>
                <w:sz w:val="16"/>
              </w:rPr>
              <w:t>Underwriting worksheet and source data</w:t>
            </w:r>
          </w:p>
        </w:tc>
      </w:tr>
      <w:tr>
        <w:trPr>
          <w:cantSplit/>
        </w:trPr>
        <w:tc>
          <w:tcPr>
            <w:tcW w:type="dxa" w:w="3369"/>
            <w:vAlign w:val="center"/>
          </w:tcPr>
          <w:p>
            <w:r/>
            <w:r>
              <w:rPr>
                <w:b w:val="0"/>
                <w:sz w:val="16"/>
              </w:rPr>
              <w:t>Credit exception</w:t>
            </w:r>
          </w:p>
        </w:tc>
        <w:tc>
          <w:tcPr>
            <w:tcW w:type="dxa" w:w="3369"/>
            <w:vAlign w:val="center"/>
          </w:tcPr>
          <w:p>
            <w:r/>
            <w:r>
              <w:rPr>
                <w:b w:val="0"/>
                <w:sz w:val="16"/>
              </w:rPr>
              <w:t>Exception approved before decision where required</w:t>
            </w:r>
          </w:p>
        </w:tc>
        <w:tc>
          <w:tcPr>
            <w:tcW w:type="dxa" w:w="3369"/>
            <w:vAlign w:val="center"/>
          </w:tcPr>
          <w:p>
            <w:r/>
            <w:r>
              <w:rPr>
                <w:b w:val="0"/>
                <w:sz w:val="16"/>
              </w:rPr>
              <w:t>CEP-006 record and approval timestamp</w:t>
            </w:r>
          </w:p>
        </w:tc>
      </w:tr>
      <w:tr>
        <w:trPr>
          <w:cantSplit/>
        </w:trPr>
        <w:tc>
          <w:tcPr>
            <w:tcW w:type="dxa" w:w="3369"/>
            <w:vAlign w:val="center"/>
          </w:tcPr>
          <w:p>
            <w:r/>
            <w:r>
              <w:rPr>
                <w:b w:val="0"/>
                <w:sz w:val="16"/>
              </w:rPr>
              <w:t>Delegated authority</w:t>
            </w:r>
          </w:p>
        </w:tc>
        <w:tc>
          <w:tcPr>
            <w:tcW w:type="dxa" w:w="3369"/>
            <w:vAlign w:val="center"/>
          </w:tcPr>
          <w:p>
            <w:r/>
            <w:r>
              <w:rPr>
                <w:b w:val="0"/>
                <w:sz w:val="16"/>
              </w:rPr>
              <w:t>Approver within CDAS-007 limit</w:t>
            </w:r>
          </w:p>
        </w:tc>
        <w:tc>
          <w:tcPr>
            <w:tcW w:type="dxa" w:w="3369"/>
            <w:vAlign w:val="center"/>
          </w:tcPr>
          <w:p>
            <w:r/>
            <w:r>
              <w:rPr>
                <w:b w:val="0"/>
                <w:sz w:val="16"/>
              </w:rPr>
              <w:t>Decision record and authority register</w:t>
            </w:r>
          </w:p>
        </w:tc>
      </w:tr>
      <w:tr>
        <w:trPr>
          <w:cantSplit/>
        </w:trPr>
        <w:tc>
          <w:tcPr>
            <w:tcW w:type="dxa" w:w="3369"/>
            <w:vAlign w:val="center"/>
          </w:tcPr>
          <w:p>
            <w:r/>
            <w:r>
              <w:rPr>
                <w:b w:val="0"/>
                <w:sz w:val="16"/>
              </w:rPr>
              <w:t>Disbursement readiness</w:t>
            </w:r>
          </w:p>
        </w:tc>
        <w:tc>
          <w:tcPr>
            <w:tcW w:type="dxa" w:w="3369"/>
            <w:vAlign w:val="center"/>
          </w:tcPr>
          <w:p>
            <w:r/>
            <w:r>
              <w:rPr>
                <w:b w:val="0"/>
                <w:sz w:val="16"/>
              </w:rPr>
              <w:t>Approval is not treated as payment readiness</w:t>
            </w:r>
          </w:p>
        </w:tc>
        <w:tc>
          <w:tcPr>
            <w:tcW w:type="dxa" w:w="3369"/>
            <w:vAlign w:val="center"/>
          </w:tcPr>
          <w:p>
            <w:r/>
            <w:r>
              <w:rPr>
                <w:b w:val="0"/>
                <w:sz w:val="16"/>
              </w:rPr>
              <w:t>LDP-013 checklist and checker</w:t>
            </w:r>
          </w:p>
        </w:tc>
      </w:tr>
      <w:tr>
        <w:trPr>
          <w:cantSplit/>
        </w:trPr>
        <w:tc>
          <w:tcPr>
            <w:tcW w:type="dxa" w:w="3369"/>
            <w:vAlign w:val="center"/>
          </w:tcPr>
          <w:p>
            <w:r/>
            <w:r>
              <w:rPr>
                <w:b w:val="0"/>
                <w:sz w:val="16"/>
              </w:rPr>
              <w:t>Customer communication</w:t>
            </w:r>
          </w:p>
        </w:tc>
        <w:tc>
          <w:tcPr>
            <w:tcW w:type="dxa" w:w="3369"/>
            <w:vAlign w:val="center"/>
          </w:tcPr>
          <w:p>
            <w:r/>
            <w:r>
              <w:rPr>
                <w:b w:val="0"/>
                <w:sz w:val="16"/>
              </w:rPr>
              <w:t>Decision/pricing communication follows controlled process</w:t>
            </w:r>
          </w:p>
        </w:tc>
        <w:tc>
          <w:tcPr>
            <w:tcW w:type="dxa" w:w="3369"/>
            <w:vAlign w:val="center"/>
          </w:tcPr>
          <w:p>
            <w:r/>
            <w:r>
              <w:rPr>
                <w:b w:val="0"/>
                <w:sz w:val="16"/>
              </w:rPr>
              <w:t>Notice and system record</w:t>
            </w:r>
          </w:p>
        </w:tc>
      </w:tr>
    </w:tbl>
    <w:p/>
    <w:p>
      <w:r>
        <w:br w:type="page"/>
      </w:r>
    </w:p>
    <w:p>
      <w:pPr>
        <w:pStyle w:val="Heading1"/>
      </w:pPr>
      <w:r>
        <w:t>Appendix G — Compliance Monitoring Program: KYC, CDD and AML</w:t>
      </w:r>
    </w:p>
    <w:p>
      <w:pPr>
        <w:spacing w:after="100"/>
      </w:pPr>
      <w:r>
        <w:t>Compliance tests governance and control operation while specialist AML/KYC owners retain case decisions.</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Theme</w:t>
            </w:r>
          </w:p>
        </w:tc>
        <w:tc>
          <w:tcPr>
            <w:tcW w:type="dxa" w:w="5054"/>
            <w:vAlign w:val="center"/>
            <w:shd w:fill="17365D"/>
          </w:tcPr>
          <w:p>
            <w:r/>
            <w:r>
              <w:rPr>
                <w:b/>
                <w:color w:val="FFFFFF"/>
                <w:sz w:val="16"/>
              </w:rPr>
              <w:t>Control Objective</w:t>
            </w:r>
          </w:p>
        </w:tc>
      </w:tr>
      <w:tr>
        <w:trPr>
          <w:cantSplit/>
        </w:trPr>
        <w:tc>
          <w:tcPr>
            <w:tcW w:type="dxa" w:w="5054"/>
            <w:vAlign w:val="center"/>
          </w:tcPr>
          <w:p>
            <w:r/>
            <w:r>
              <w:rPr>
                <w:b w:val="0"/>
                <w:sz w:val="16"/>
              </w:rPr>
              <w:t>PEP treatment</w:t>
            </w:r>
          </w:p>
        </w:tc>
        <w:tc>
          <w:tcPr>
            <w:tcW w:type="dxa" w:w="5054"/>
            <w:vAlign w:val="center"/>
          </w:tcPr>
          <w:p>
            <w:r/>
            <w:r>
              <w:rPr>
                <w:b w:val="0"/>
                <w:sz w:val="16"/>
              </w:rPr>
              <w:t>Confirmed high-risk PEP receives required senior AML approval.</w:t>
            </w:r>
          </w:p>
        </w:tc>
      </w:tr>
      <w:tr>
        <w:trPr>
          <w:cantSplit/>
        </w:trPr>
        <w:tc>
          <w:tcPr>
            <w:tcW w:type="dxa" w:w="5054"/>
            <w:vAlign w:val="center"/>
          </w:tcPr>
          <w:p>
            <w:r/>
            <w:r>
              <w:rPr>
                <w:b w:val="0"/>
                <w:sz w:val="16"/>
              </w:rPr>
              <w:t>Sanctions</w:t>
            </w:r>
          </w:p>
        </w:tc>
        <w:tc>
          <w:tcPr>
            <w:tcW w:type="dxa" w:w="5054"/>
            <w:vAlign w:val="center"/>
          </w:tcPr>
          <w:p>
            <w:r/>
            <w:r>
              <w:rPr>
                <w:b w:val="0"/>
                <w:sz w:val="16"/>
              </w:rPr>
              <w:t>Unresolved potential matches remain restricted pending specialist decision.</w:t>
            </w:r>
          </w:p>
        </w:tc>
      </w:tr>
      <w:tr>
        <w:trPr>
          <w:cantSplit/>
        </w:trPr>
        <w:tc>
          <w:tcPr>
            <w:tcW w:type="dxa" w:w="5054"/>
            <w:vAlign w:val="center"/>
          </w:tcPr>
          <w:p>
            <w:r/>
            <w:r>
              <w:rPr>
                <w:b w:val="0"/>
                <w:sz w:val="16"/>
              </w:rPr>
              <w:t>Beneficial ownership</w:t>
            </w:r>
          </w:p>
        </w:tc>
        <w:tc>
          <w:tcPr>
            <w:tcW w:type="dxa" w:w="5054"/>
            <w:vAlign w:val="center"/>
          </w:tcPr>
          <w:p>
            <w:r/>
            <w:r>
              <w:rPr>
                <w:b w:val="0"/>
                <w:sz w:val="16"/>
              </w:rPr>
              <w:t>25% standard / enhanced 10% information applied where required.</w:t>
            </w:r>
          </w:p>
        </w:tc>
      </w:tr>
      <w:tr>
        <w:trPr>
          <w:cantSplit/>
        </w:trPr>
        <w:tc>
          <w:tcPr>
            <w:tcW w:type="dxa" w:w="5054"/>
            <w:vAlign w:val="center"/>
          </w:tcPr>
          <w:p>
            <w:r/>
            <w:r>
              <w:rPr>
                <w:b w:val="0"/>
                <w:sz w:val="16"/>
              </w:rPr>
              <w:t>Periodic review</w:t>
            </w:r>
          </w:p>
        </w:tc>
        <w:tc>
          <w:tcPr>
            <w:tcW w:type="dxa" w:w="5054"/>
            <w:vAlign w:val="center"/>
          </w:tcPr>
          <w:p>
            <w:r/>
            <w:r>
              <w:rPr>
                <w:b w:val="0"/>
                <w:sz w:val="16"/>
              </w:rPr>
              <w:t>High/Medium/Low review cycles and trigger reviews are timely.</w:t>
            </w:r>
          </w:p>
        </w:tc>
      </w:tr>
      <w:tr>
        <w:trPr>
          <w:cantSplit/>
        </w:trPr>
        <w:tc>
          <w:tcPr>
            <w:tcW w:type="dxa" w:w="5054"/>
            <w:vAlign w:val="center"/>
          </w:tcPr>
          <w:p>
            <w:r/>
            <w:r>
              <w:rPr>
                <w:b w:val="0"/>
                <w:sz w:val="16"/>
              </w:rPr>
              <w:t>EDD</w:t>
            </w:r>
          </w:p>
        </w:tc>
        <w:tc>
          <w:tcPr>
            <w:tcW w:type="dxa" w:w="5054"/>
            <w:vAlign w:val="center"/>
          </w:tcPr>
          <w:p>
            <w:r/>
            <w:r>
              <w:rPr>
                <w:b w:val="0"/>
                <w:sz w:val="16"/>
              </w:rPr>
              <w:t>High-risk cases contain required SoF/SoW and approval evidence.</w:t>
            </w:r>
          </w:p>
        </w:tc>
      </w:tr>
      <w:tr>
        <w:trPr>
          <w:cantSplit/>
        </w:trPr>
        <w:tc>
          <w:tcPr>
            <w:tcW w:type="dxa" w:w="5054"/>
            <w:vAlign w:val="center"/>
          </w:tcPr>
          <w:p>
            <w:r/>
            <w:r>
              <w:rPr>
                <w:b w:val="0"/>
                <w:sz w:val="16"/>
              </w:rPr>
              <w:t>AML alert ageing</w:t>
            </w:r>
          </w:p>
        </w:tc>
        <w:tc>
          <w:tcPr>
            <w:tcW w:type="dxa" w:w="5054"/>
            <w:vAlign w:val="center"/>
          </w:tcPr>
          <w:p>
            <w:r/>
            <w:r>
              <w:rPr>
                <w:b w:val="0"/>
                <w:sz w:val="16"/>
              </w:rPr>
              <w:t>Open-alert and EDD ageing remain within RAS-009 appetite or are escalated.</w:t>
            </w:r>
          </w:p>
        </w:tc>
      </w:tr>
    </w:tbl>
    <w:p/>
    <w:p>
      <w:r>
        <w:br w:type="page"/>
      </w:r>
    </w:p>
    <w:p>
      <w:pPr>
        <w:pStyle w:val="Heading1"/>
      </w:pPr>
      <w:r>
        <w:t>Appendix H — Compliance Monitoring Program: Investments</w:t>
      </w:r>
    </w:p>
    <w:p>
      <w:pPr>
        <w:spacing w:after="100"/>
      </w:pPr>
      <w:r>
        <w:t>The Compliance function should avoid duplicating daily Investment Risk monitoring. Its focus is independent adherence and governance testing.</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Theme</w:t>
            </w:r>
          </w:p>
        </w:tc>
        <w:tc>
          <w:tcPr>
            <w:tcW w:type="dxa" w:w="5054"/>
            <w:vAlign w:val="center"/>
            <w:shd w:fill="17365D"/>
          </w:tcPr>
          <w:p>
            <w:r/>
            <w:r>
              <w:rPr>
                <w:b/>
                <w:color w:val="FFFFFF"/>
                <w:sz w:val="16"/>
              </w:rPr>
              <w:t>Control Objective</w:t>
            </w:r>
          </w:p>
        </w:tc>
      </w:tr>
      <w:tr>
        <w:trPr>
          <w:cantSplit/>
        </w:trPr>
        <w:tc>
          <w:tcPr>
            <w:tcW w:type="dxa" w:w="5054"/>
            <w:vAlign w:val="center"/>
          </w:tcPr>
          <w:p>
            <w:r/>
            <w:r>
              <w:rPr>
                <w:b w:val="0"/>
                <w:sz w:val="16"/>
              </w:rPr>
              <w:t>Instrument eligibility</w:t>
            </w:r>
          </w:p>
        </w:tc>
        <w:tc>
          <w:tcPr>
            <w:tcW w:type="dxa" w:w="5054"/>
            <w:vAlign w:val="center"/>
          </w:tcPr>
          <w:p>
            <w:r/>
            <w:r>
              <w:rPr>
                <w:b w:val="0"/>
                <w:sz w:val="16"/>
              </w:rPr>
              <w:t>No prohibited or unapproved instrument purchased.</w:t>
            </w:r>
          </w:p>
        </w:tc>
      </w:tr>
      <w:tr>
        <w:trPr>
          <w:cantSplit/>
        </w:trPr>
        <w:tc>
          <w:tcPr>
            <w:tcW w:type="dxa" w:w="5054"/>
            <w:vAlign w:val="center"/>
          </w:tcPr>
          <w:p>
            <w:r/>
            <w:r>
              <w:rPr>
                <w:b w:val="0"/>
                <w:sz w:val="16"/>
              </w:rPr>
              <w:t>Delegated authority</w:t>
            </w:r>
          </w:p>
        </w:tc>
        <w:tc>
          <w:tcPr>
            <w:tcW w:type="dxa" w:w="5054"/>
            <w:vAlign w:val="center"/>
          </w:tcPr>
          <w:p>
            <w:r/>
            <w:r>
              <w:rPr>
                <w:b w:val="0"/>
                <w:sz w:val="16"/>
              </w:rPr>
              <w:t>Decision authority matches IDS-042 current limits.</w:t>
            </w:r>
          </w:p>
        </w:tc>
      </w:tr>
      <w:tr>
        <w:trPr>
          <w:cantSplit/>
        </w:trPr>
        <w:tc>
          <w:tcPr>
            <w:tcW w:type="dxa" w:w="5054"/>
            <w:vAlign w:val="center"/>
          </w:tcPr>
          <w:p>
            <w:r/>
            <w:r>
              <w:rPr>
                <w:b w:val="0"/>
                <w:sz w:val="16"/>
              </w:rPr>
              <w:t>Policy exception</w:t>
            </w:r>
          </w:p>
        </w:tc>
        <w:tc>
          <w:tcPr>
            <w:tcW w:type="dxa" w:w="5054"/>
            <w:vAlign w:val="center"/>
          </w:tcPr>
          <w:p>
            <w:r/>
            <w:r>
              <w:rPr>
                <w:b w:val="0"/>
                <w:sz w:val="16"/>
              </w:rPr>
              <w:t>Exception is prospective, authorized and unexpired.</w:t>
            </w:r>
          </w:p>
        </w:tc>
      </w:tr>
      <w:tr>
        <w:trPr>
          <w:cantSplit/>
        </w:trPr>
        <w:tc>
          <w:tcPr>
            <w:tcW w:type="dxa" w:w="5054"/>
            <w:vAlign w:val="center"/>
          </w:tcPr>
          <w:p>
            <w:r/>
            <w:r>
              <w:rPr>
                <w:b w:val="0"/>
                <w:sz w:val="16"/>
              </w:rPr>
              <w:t>Conflict / gift</w:t>
            </w:r>
          </w:p>
        </w:tc>
        <w:tc>
          <w:tcPr>
            <w:tcW w:type="dxa" w:w="5054"/>
            <w:vAlign w:val="center"/>
          </w:tcPr>
          <w:p>
            <w:r/>
            <w:r>
              <w:rPr>
                <w:b w:val="0"/>
                <w:sz w:val="16"/>
              </w:rPr>
              <w:t>Dealer or approver conflict is declared and managed.</w:t>
            </w:r>
          </w:p>
        </w:tc>
      </w:tr>
      <w:tr>
        <w:trPr>
          <w:cantSplit/>
        </w:trPr>
        <w:tc>
          <w:tcPr>
            <w:tcW w:type="dxa" w:w="5054"/>
            <w:vAlign w:val="center"/>
          </w:tcPr>
          <w:p>
            <w:r/>
            <w:r>
              <w:rPr>
                <w:b w:val="0"/>
                <w:sz w:val="16"/>
              </w:rPr>
              <w:t>Breach handling</w:t>
            </w:r>
          </w:p>
        </w:tc>
        <w:tc>
          <w:tcPr>
            <w:tcW w:type="dxa" w:w="5054"/>
            <w:vAlign w:val="center"/>
          </w:tcPr>
          <w:p>
            <w:r/>
            <w:r>
              <w:rPr>
                <w:b w:val="0"/>
                <w:sz w:val="16"/>
              </w:rPr>
              <w:t>Active/passive breaches classified and escalated under IMP-041/CBP-043.</w:t>
            </w:r>
          </w:p>
        </w:tc>
      </w:tr>
      <w:tr>
        <w:trPr>
          <w:cantSplit/>
        </w:trPr>
        <w:tc>
          <w:tcPr>
            <w:tcW w:type="dxa" w:w="5054"/>
            <w:vAlign w:val="center"/>
          </w:tcPr>
          <w:p>
            <w:r/>
            <w:r>
              <w:rPr>
                <w:b w:val="0"/>
                <w:sz w:val="16"/>
              </w:rPr>
              <w:t>Historical rule use</w:t>
            </w:r>
          </w:p>
        </w:tc>
        <w:tc>
          <w:tcPr>
            <w:tcW w:type="dxa" w:w="5054"/>
            <w:vAlign w:val="center"/>
          </w:tcPr>
          <w:p>
            <w:r/>
            <w:r>
              <w:rPr>
                <w:b w:val="0"/>
                <w:sz w:val="16"/>
              </w:rPr>
              <w:t>Legacy limit applied only where transition provision permits.</w:t>
            </w:r>
          </w:p>
        </w:tc>
      </w:tr>
    </w:tbl>
    <w:p/>
    <w:p>
      <w:r>
        <w:br w:type="page"/>
      </w:r>
    </w:p>
    <w:p>
      <w:pPr>
        <w:pStyle w:val="Heading1"/>
      </w:pPr>
      <w:r>
        <w:t>Appendix I — Compliance Monitoring Program: Complaints and Customer Fairness</w:t>
      </w:r>
    </w:p>
    <w:p>
      <w:pPr>
        <w:spacing w:after="100"/>
      </w:pPr>
      <w:r>
        <w:t>Complaint data should be used to identify underlying control issues, not treated only as service-volume information.</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17365D"/>
          </w:tcPr>
          <w:p>
            <w:r/>
            <w:r>
              <w:rPr>
                <w:b/>
                <w:color w:val="FFFFFF"/>
                <w:sz w:val="16"/>
              </w:rPr>
              <w:t>Indicator</w:t>
            </w:r>
          </w:p>
        </w:tc>
        <w:tc>
          <w:tcPr>
            <w:tcW w:type="dxa" w:w="3369"/>
            <w:vAlign w:val="center"/>
            <w:shd w:fill="17365D"/>
          </w:tcPr>
          <w:p>
            <w:r/>
            <w:r>
              <w:rPr>
                <w:b/>
                <w:color w:val="FFFFFF"/>
                <w:sz w:val="16"/>
              </w:rPr>
              <w:t>Why It Matters</w:t>
            </w:r>
          </w:p>
        </w:tc>
        <w:tc>
          <w:tcPr>
            <w:tcW w:type="dxa" w:w="3369"/>
            <w:vAlign w:val="center"/>
            <w:shd w:fill="17365D"/>
          </w:tcPr>
          <w:p>
            <w:r/>
            <w:r>
              <w:rPr>
                <w:b/>
                <w:color w:val="FFFFFF"/>
                <w:sz w:val="16"/>
              </w:rPr>
              <w:t>Escalation Example</w:t>
            </w:r>
          </w:p>
        </w:tc>
      </w:tr>
      <w:tr>
        <w:trPr>
          <w:cantSplit/>
        </w:trPr>
        <w:tc>
          <w:tcPr>
            <w:tcW w:type="dxa" w:w="3369"/>
            <w:vAlign w:val="center"/>
          </w:tcPr>
          <w:p>
            <w:r/>
            <w:r>
              <w:rPr>
                <w:b w:val="0"/>
                <w:sz w:val="16"/>
              </w:rPr>
              <w:t>Repeat complaint by product/process</w:t>
            </w:r>
          </w:p>
        </w:tc>
        <w:tc>
          <w:tcPr>
            <w:tcW w:type="dxa" w:w="3369"/>
            <w:vAlign w:val="center"/>
          </w:tcPr>
          <w:p>
            <w:r/>
            <w:r>
              <w:rPr>
                <w:b w:val="0"/>
                <w:sz w:val="16"/>
              </w:rPr>
              <w:t>May indicate systemic design or communication issue</w:t>
            </w:r>
          </w:p>
        </w:tc>
        <w:tc>
          <w:tcPr>
            <w:tcW w:type="dxa" w:w="3369"/>
            <w:vAlign w:val="center"/>
          </w:tcPr>
          <w:p>
            <w:r/>
            <w:r>
              <w:rPr>
                <w:b w:val="0"/>
                <w:sz w:val="16"/>
              </w:rPr>
              <w:t>Thematic review</w:t>
            </w:r>
          </w:p>
        </w:tc>
      </w:tr>
      <w:tr>
        <w:trPr>
          <w:cantSplit/>
        </w:trPr>
        <w:tc>
          <w:tcPr>
            <w:tcW w:type="dxa" w:w="3369"/>
            <w:vAlign w:val="center"/>
          </w:tcPr>
          <w:p>
            <w:r/>
            <w:r>
              <w:rPr>
                <w:b w:val="0"/>
                <w:sz w:val="16"/>
              </w:rPr>
              <w:t>High uphold/rework rate</w:t>
            </w:r>
          </w:p>
        </w:tc>
        <w:tc>
          <w:tcPr>
            <w:tcW w:type="dxa" w:w="3369"/>
            <w:vAlign w:val="center"/>
          </w:tcPr>
          <w:p>
            <w:r/>
            <w:r>
              <w:rPr>
                <w:b w:val="0"/>
                <w:sz w:val="16"/>
              </w:rPr>
              <w:t>Potential control failure or inconsistent decisioning</w:t>
            </w:r>
          </w:p>
        </w:tc>
        <w:tc>
          <w:tcPr>
            <w:tcW w:type="dxa" w:w="3369"/>
            <w:vAlign w:val="center"/>
          </w:tcPr>
          <w:p>
            <w:r/>
            <w:r>
              <w:rPr>
                <w:b w:val="0"/>
                <w:sz w:val="16"/>
              </w:rPr>
              <w:t>Business + Compliance action plan</w:t>
            </w:r>
          </w:p>
        </w:tc>
      </w:tr>
      <w:tr>
        <w:trPr>
          <w:cantSplit/>
        </w:trPr>
        <w:tc>
          <w:tcPr>
            <w:tcW w:type="dxa" w:w="3369"/>
            <w:vAlign w:val="center"/>
          </w:tcPr>
          <w:p>
            <w:r/>
            <w:r>
              <w:rPr>
                <w:b w:val="0"/>
                <w:sz w:val="16"/>
              </w:rPr>
              <w:t>Complaint linked to vulnerable customer</w:t>
            </w:r>
          </w:p>
        </w:tc>
        <w:tc>
          <w:tcPr>
            <w:tcW w:type="dxa" w:w="3369"/>
            <w:vAlign w:val="center"/>
          </w:tcPr>
          <w:p>
            <w:r/>
            <w:r>
              <w:rPr>
                <w:b w:val="0"/>
                <w:sz w:val="16"/>
              </w:rPr>
              <w:t>Potential disproportionate harm</w:t>
            </w:r>
          </w:p>
        </w:tc>
        <w:tc>
          <w:tcPr>
            <w:tcW w:type="dxa" w:w="3369"/>
            <w:vAlign w:val="center"/>
          </w:tcPr>
          <w:p>
            <w:r/>
            <w:r>
              <w:rPr>
                <w:b w:val="0"/>
                <w:sz w:val="16"/>
              </w:rPr>
              <w:t>Priority case review</w:t>
            </w:r>
          </w:p>
        </w:tc>
      </w:tr>
      <w:tr>
        <w:trPr>
          <w:cantSplit/>
        </w:trPr>
        <w:tc>
          <w:tcPr>
            <w:tcW w:type="dxa" w:w="3369"/>
            <w:vAlign w:val="center"/>
          </w:tcPr>
          <w:p>
            <w:r/>
            <w:r>
              <w:rPr>
                <w:b w:val="0"/>
                <w:sz w:val="16"/>
              </w:rPr>
              <w:t>Complaint after unresolved restriction</w:t>
            </w:r>
          </w:p>
        </w:tc>
        <w:tc>
          <w:tcPr>
            <w:tcW w:type="dxa" w:w="3369"/>
            <w:vAlign w:val="center"/>
          </w:tcPr>
          <w:p>
            <w:r/>
            <w:r>
              <w:rPr>
                <w:b w:val="0"/>
                <w:sz w:val="16"/>
              </w:rPr>
              <w:t>May indicate unclear or incorrect status handling</w:t>
            </w:r>
          </w:p>
        </w:tc>
        <w:tc>
          <w:tcPr>
            <w:tcW w:type="dxa" w:w="3369"/>
            <w:vAlign w:val="center"/>
          </w:tcPr>
          <w:p>
            <w:r/>
            <w:r>
              <w:rPr>
                <w:b w:val="0"/>
                <w:sz w:val="16"/>
              </w:rPr>
              <w:t>KYC/AML + Customer Service review</w:t>
            </w:r>
          </w:p>
        </w:tc>
      </w:tr>
      <w:tr>
        <w:trPr>
          <w:cantSplit/>
        </w:trPr>
        <w:tc>
          <w:tcPr>
            <w:tcW w:type="dxa" w:w="3369"/>
            <w:vAlign w:val="center"/>
          </w:tcPr>
          <w:p>
            <w:r/>
            <w:r>
              <w:rPr>
                <w:b w:val="0"/>
                <w:sz w:val="16"/>
              </w:rPr>
              <w:t>Complaint about collections conduct</w:t>
            </w:r>
          </w:p>
        </w:tc>
        <w:tc>
          <w:tcPr>
            <w:tcW w:type="dxa" w:w="3369"/>
            <w:vAlign w:val="center"/>
          </w:tcPr>
          <w:p>
            <w:r/>
            <w:r>
              <w:rPr>
                <w:b w:val="0"/>
                <w:sz w:val="16"/>
              </w:rPr>
              <w:t>Fair-treatment and employee conduct risk</w:t>
            </w:r>
          </w:p>
        </w:tc>
        <w:tc>
          <w:tcPr>
            <w:tcW w:type="dxa" w:w="3369"/>
            <w:vAlign w:val="center"/>
          </w:tcPr>
          <w:p>
            <w:r/>
            <w:r>
              <w:rPr>
                <w:b w:val="0"/>
                <w:sz w:val="16"/>
              </w:rPr>
              <w:t>Compliance/HR review where appropriate</w:t>
            </w:r>
          </w:p>
        </w:tc>
      </w:tr>
    </w:tbl>
    <w:p/>
    <w:p>
      <w:r>
        <w:br w:type="page"/>
      </w:r>
    </w:p>
    <w:p>
      <w:pPr>
        <w:pStyle w:val="Heading1"/>
      </w:pPr>
      <w:r>
        <w:t>Appendix J — Regulatory Change Impact Assessment Template</w:t>
      </w:r>
    </w:p>
    <w:p>
      <w:pPr>
        <w:spacing w:after="100"/>
      </w:pPr>
      <w:r>
        <w:t>The purpose of this template is to make implementation ownership and evidence explicit.</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Field</w:t>
            </w:r>
          </w:p>
        </w:tc>
        <w:tc>
          <w:tcPr>
            <w:tcW w:type="dxa" w:w="5054"/>
            <w:vAlign w:val="center"/>
            <w:shd w:fill="17365D"/>
          </w:tcPr>
          <w:p>
            <w:r/>
            <w:r>
              <w:rPr>
                <w:b/>
                <w:color w:val="FFFFFF"/>
                <w:sz w:val="16"/>
              </w:rPr>
              <w:t>Required Entry</w:t>
            </w:r>
          </w:p>
        </w:tc>
      </w:tr>
      <w:tr>
        <w:trPr>
          <w:cantSplit/>
        </w:trPr>
        <w:tc>
          <w:tcPr>
            <w:tcW w:type="dxa" w:w="5054"/>
            <w:vAlign w:val="center"/>
          </w:tcPr>
          <w:p>
            <w:r/>
            <w:r>
              <w:rPr>
                <w:b w:val="0"/>
                <w:sz w:val="16"/>
              </w:rPr>
              <w:t>Change ID</w:t>
            </w:r>
          </w:p>
        </w:tc>
        <w:tc>
          <w:tcPr>
            <w:tcW w:type="dxa" w:w="5054"/>
            <w:vAlign w:val="center"/>
          </w:tcPr>
          <w:p>
            <w:r/>
            <w:r>
              <w:rPr>
                <w:b w:val="0"/>
                <w:sz w:val="16"/>
              </w:rPr>
              <w:t>Unique controlled identifier</w:t>
            </w:r>
          </w:p>
        </w:tc>
      </w:tr>
      <w:tr>
        <w:trPr>
          <w:cantSplit/>
        </w:trPr>
        <w:tc>
          <w:tcPr>
            <w:tcW w:type="dxa" w:w="5054"/>
            <w:vAlign w:val="center"/>
          </w:tcPr>
          <w:p>
            <w:r/>
            <w:r>
              <w:rPr>
                <w:b w:val="0"/>
                <w:sz w:val="16"/>
              </w:rPr>
              <w:t>Source / authority</w:t>
            </w:r>
          </w:p>
        </w:tc>
        <w:tc>
          <w:tcPr>
            <w:tcW w:type="dxa" w:w="5054"/>
            <w:vAlign w:val="center"/>
          </w:tcPr>
          <w:p>
            <w:r/>
            <w:r>
              <w:rPr>
                <w:b w:val="0"/>
                <w:sz w:val="16"/>
              </w:rPr>
              <w:t>Confirmed external or internal source</w:t>
            </w:r>
          </w:p>
        </w:tc>
      </w:tr>
      <w:tr>
        <w:trPr>
          <w:cantSplit/>
        </w:trPr>
        <w:tc>
          <w:tcPr>
            <w:tcW w:type="dxa" w:w="5054"/>
            <w:vAlign w:val="center"/>
          </w:tcPr>
          <w:p>
            <w:r/>
            <w:r>
              <w:rPr>
                <w:b w:val="0"/>
                <w:sz w:val="16"/>
              </w:rPr>
              <w:t>Effective date</w:t>
            </w:r>
          </w:p>
        </w:tc>
        <w:tc>
          <w:tcPr>
            <w:tcW w:type="dxa" w:w="5054"/>
            <w:vAlign w:val="center"/>
          </w:tcPr>
          <w:p>
            <w:r/>
            <w:r>
              <w:rPr>
                <w:b w:val="0"/>
                <w:sz w:val="16"/>
              </w:rPr>
              <w:t>Date requirement changes</w:t>
            </w:r>
          </w:p>
        </w:tc>
      </w:tr>
      <w:tr>
        <w:trPr>
          <w:cantSplit/>
        </w:trPr>
        <w:tc>
          <w:tcPr>
            <w:tcW w:type="dxa" w:w="5054"/>
            <w:vAlign w:val="center"/>
          </w:tcPr>
          <w:p>
            <w:r/>
            <w:r>
              <w:rPr>
                <w:b w:val="0"/>
                <w:sz w:val="16"/>
              </w:rPr>
              <w:t>Applicability</w:t>
            </w:r>
          </w:p>
        </w:tc>
        <w:tc>
          <w:tcPr>
            <w:tcW w:type="dxa" w:w="5054"/>
            <w:vAlign w:val="center"/>
          </w:tcPr>
          <w:p>
            <w:r/>
            <w:r>
              <w:rPr>
                <w:b w:val="0"/>
                <w:sz w:val="16"/>
              </w:rPr>
              <w:t>Products, entities, functions and customers affected</w:t>
            </w:r>
          </w:p>
        </w:tc>
      </w:tr>
      <w:tr>
        <w:trPr>
          <w:cantSplit/>
        </w:trPr>
        <w:tc>
          <w:tcPr>
            <w:tcW w:type="dxa" w:w="5054"/>
            <w:vAlign w:val="center"/>
          </w:tcPr>
          <w:p>
            <w:r/>
            <w:r>
              <w:rPr>
                <w:b w:val="0"/>
                <w:sz w:val="16"/>
              </w:rPr>
              <w:t>Current state</w:t>
            </w:r>
          </w:p>
        </w:tc>
        <w:tc>
          <w:tcPr>
            <w:tcW w:type="dxa" w:w="5054"/>
            <w:vAlign w:val="center"/>
          </w:tcPr>
          <w:p>
            <w:r/>
            <w:r>
              <w:rPr>
                <w:b w:val="0"/>
                <w:sz w:val="16"/>
              </w:rPr>
              <w:t>Existing control/process</w:t>
            </w:r>
          </w:p>
        </w:tc>
      </w:tr>
      <w:tr>
        <w:trPr>
          <w:cantSplit/>
        </w:trPr>
        <w:tc>
          <w:tcPr>
            <w:tcW w:type="dxa" w:w="5054"/>
            <w:vAlign w:val="center"/>
          </w:tcPr>
          <w:p>
            <w:r/>
            <w:r>
              <w:rPr>
                <w:b w:val="0"/>
                <w:sz w:val="16"/>
              </w:rPr>
              <w:t>Gap</w:t>
            </w:r>
          </w:p>
        </w:tc>
        <w:tc>
          <w:tcPr>
            <w:tcW w:type="dxa" w:w="5054"/>
            <w:vAlign w:val="center"/>
          </w:tcPr>
          <w:p>
            <w:r/>
            <w:r>
              <w:rPr>
                <w:b w:val="0"/>
                <w:sz w:val="16"/>
              </w:rPr>
              <w:t>What must change</w:t>
            </w:r>
          </w:p>
        </w:tc>
      </w:tr>
      <w:tr>
        <w:trPr>
          <w:cantSplit/>
        </w:trPr>
        <w:tc>
          <w:tcPr>
            <w:tcW w:type="dxa" w:w="5054"/>
            <w:vAlign w:val="center"/>
          </w:tcPr>
          <w:p>
            <w:r/>
            <w:r>
              <w:rPr>
                <w:b w:val="0"/>
                <w:sz w:val="16"/>
              </w:rPr>
              <w:t>Actions</w:t>
            </w:r>
          </w:p>
        </w:tc>
        <w:tc>
          <w:tcPr>
            <w:tcW w:type="dxa" w:w="5054"/>
            <w:vAlign w:val="center"/>
          </w:tcPr>
          <w:p>
            <w:r/>
            <w:r>
              <w:rPr>
                <w:b w:val="0"/>
                <w:sz w:val="16"/>
              </w:rPr>
              <w:t>Policy, process, system, training, communication and monitoring changes</w:t>
            </w:r>
          </w:p>
        </w:tc>
      </w:tr>
      <w:tr>
        <w:trPr>
          <w:cantSplit/>
        </w:trPr>
        <w:tc>
          <w:tcPr>
            <w:tcW w:type="dxa" w:w="5054"/>
            <w:vAlign w:val="center"/>
          </w:tcPr>
          <w:p>
            <w:r/>
            <w:r>
              <w:rPr>
                <w:b w:val="0"/>
                <w:sz w:val="16"/>
              </w:rPr>
              <w:t>Owner</w:t>
            </w:r>
          </w:p>
        </w:tc>
        <w:tc>
          <w:tcPr>
            <w:tcW w:type="dxa" w:w="5054"/>
            <w:vAlign w:val="center"/>
          </w:tcPr>
          <w:p>
            <w:r/>
            <w:r>
              <w:rPr>
                <w:b w:val="0"/>
                <w:sz w:val="16"/>
              </w:rPr>
              <w:t>Accountable executive / function</w:t>
            </w:r>
          </w:p>
        </w:tc>
      </w:tr>
      <w:tr>
        <w:trPr>
          <w:cantSplit/>
        </w:trPr>
        <w:tc>
          <w:tcPr>
            <w:tcW w:type="dxa" w:w="5054"/>
            <w:vAlign w:val="center"/>
          </w:tcPr>
          <w:p>
            <w:r/>
            <w:r>
              <w:rPr>
                <w:b w:val="0"/>
                <w:sz w:val="16"/>
              </w:rPr>
              <w:t>Due date</w:t>
            </w:r>
          </w:p>
        </w:tc>
        <w:tc>
          <w:tcPr>
            <w:tcW w:type="dxa" w:w="5054"/>
            <w:vAlign w:val="center"/>
          </w:tcPr>
          <w:p>
            <w:r/>
            <w:r>
              <w:rPr>
                <w:b w:val="0"/>
                <w:sz w:val="16"/>
              </w:rPr>
              <w:t>Implementation date and milestones</w:t>
            </w:r>
          </w:p>
        </w:tc>
      </w:tr>
      <w:tr>
        <w:trPr>
          <w:cantSplit/>
        </w:trPr>
        <w:tc>
          <w:tcPr>
            <w:tcW w:type="dxa" w:w="5054"/>
            <w:vAlign w:val="center"/>
          </w:tcPr>
          <w:p>
            <w:r/>
            <w:r>
              <w:rPr>
                <w:b w:val="0"/>
                <w:sz w:val="16"/>
              </w:rPr>
              <w:t>Validation</w:t>
            </w:r>
          </w:p>
        </w:tc>
        <w:tc>
          <w:tcPr>
            <w:tcW w:type="dxa" w:w="5054"/>
            <w:vAlign w:val="center"/>
          </w:tcPr>
          <w:p>
            <w:r/>
            <w:r>
              <w:rPr>
                <w:b w:val="0"/>
                <w:sz w:val="16"/>
              </w:rPr>
              <w:t>Evidence confirming implementation</w:t>
            </w:r>
          </w:p>
        </w:tc>
      </w:tr>
      <w:tr>
        <w:trPr>
          <w:cantSplit/>
        </w:trPr>
        <w:tc>
          <w:tcPr>
            <w:tcW w:type="dxa" w:w="5054"/>
            <w:vAlign w:val="center"/>
          </w:tcPr>
          <w:p>
            <w:r/>
            <w:r>
              <w:rPr>
                <w:b w:val="0"/>
                <w:sz w:val="16"/>
              </w:rPr>
              <w:t>Residual gap</w:t>
            </w:r>
          </w:p>
        </w:tc>
        <w:tc>
          <w:tcPr>
            <w:tcW w:type="dxa" w:w="5054"/>
            <w:vAlign w:val="center"/>
          </w:tcPr>
          <w:p>
            <w:r/>
            <w:r>
              <w:rPr>
                <w:b w:val="0"/>
                <w:sz w:val="16"/>
              </w:rPr>
              <w:t>Any open risk and approved treatment</w:t>
            </w:r>
          </w:p>
        </w:tc>
      </w:tr>
    </w:tbl>
    <w:p/>
    <w:p>
      <w:r>
        <w:br w:type="page"/>
      </w:r>
    </w:p>
    <w:p>
      <w:pPr>
        <w:pStyle w:val="Heading1"/>
      </w:pPr>
      <w:r>
        <w:t>Appendix K — Investigation Working-Paper Standard</w:t>
      </w:r>
    </w:p>
    <w:p>
      <w:pPr>
        <w:spacing w:after="100"/>
      </w:pPr>
      <w:r>
        <w:t>Material Compliance investigations should allow another reviewer to distinguish established fact from allegation, interpretation and unresolved uncertainty.</w:t>
      </w:r>
    </w:p>
    <w:p>
      <w:pPr>
        <w:pStyle w:val="ListBullet"/>
      </w:pPr>
      <w:r>
        <w:t>Use a dated chronology of relevant events and decisions.</w:t>
      </w:r>
    </w:p>
    <w:p>
      <w:pPr>
        <w:pStyle w:val="ListBullet"/>
      </w:pPr>
      <w:r>
        <w:t>Maintain an evidence index with source and custodian.</w:t>
      </w:r>
    </w:p>
    <w:p>
      <w:pPr>
        <w:pStyle w:val="ListBullet"/>
      </w:pPr>
      <w:r>
        <w:t>Record interviews accurately and avoid converting recollection into confirmed fact without corroboration.</w:t>
      </w:r>
    </w:p>
    <w:p>
      <w:pPr>
        <w:pStyle w:val="ListBullet"/>
      </w:pPr>
      <w:r>
        <w:t>Identify rule/version in force at the time of each event.</w:t>
      </w:r>
    </w:p>
    <w:p>
      <w:pPr>
        <w:pStyle w:val="ListBullet"/>
      </w:pPr>
      <w:r>
        <w:t>Document contrary evidence and unresolved points, not only evidence supporting the initial concern.</w:t>
      </w:r>
    </w:p>
    <w:p>
      <w:pPr>
        <w:pStyle w:val="ListBullet"/>
      </w:pPr>
      <w:r>
        <w:t>Separate root cause from immediate trigger.</w:t>
      </w:r>
    </w:p>
    <w:p>
      <w:pPr>
        <w:pStyle w:val="ListBullet"/>
      </w:pPr>
      <w:r>
        <w:t>Link findings to remediation and responsible owners.</w:t>
      </w:r>
    </w:p>
    <w:p>
      <w:r>
        <w:br w:type="page"/>
      </w:r>
    </w:p>
    <w:p>
      <w:pPr>
        <w:pStyle w:val="Heading1"/>
      </w:pPr>
      <w:r>
        <w:t>Appendix L — Gifts and Hospitality Decision Guide</w:t>
      </w:r>
    </w:p>
    <w:p>
      <w:pPr>
        <w:spacing w:after="100"/>
      </w:pPr>
      <w:r>
        <w:t>The monetary threshold is only one control. Context can make a low-value item inappropriate and a higher-value item subject to exceptional approval or refusal.</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Situation</w:t>
            </w:r>
          </w:p>
        </w:tc>
        <w:tc>
          <w:tcPr>
            <w:tcW w:type="dxa" w:w="5054"/>
            <w:vAlign w:val="center"/>
            <w:shd w:fill="17365D"/>
          </w:tcPr>
          <w:p>
            <w:r/>
            <w:r>
              <w:rPr>
                <w:b/>
                <w:color w:val="FFFFFF"/>
                <w:sz w:val="16"/>
              </w:rPr>
              <w:t>Treatment</w:t>
            </w:r>
          </w:p>
        </w:tc>
      </w:tr>
      <w:tr>
        <w:trPr>
          <w:cantSplit/>
        </w:trPr>
        <w:tc>
          <w:tcPr>
            <w:tcW w:type="dxa" w:w="5054"/>
            <w:vAlign w:val="center"/>
          </w:tcPr>
          <w:p>
            <w:r/>
            <w:r>
              <w:rPr>
                <w:b w:val="0"/>
                <w:sz w:val="16"/>
              </w:rPr>
              <w:t>₹900 branded notebook after routine vendor meeting</w:t>
            </w:r>
          </w:p>
        </w:tc>
        <w:tc>
          <w:tcPr>
            <w:tcW w:type="dxa" w:w="5054"/>
            <w:vAlign w:val="center"/>
          </w:tcPr>
          <w:p>
            <w:r/>
            <w:r>
              <w:rPr>
                <w:b w:val="0"/>
                <w:sz w:val="16"/>
              </w:rPr>
              <w:t>Generally permissible if infrequent; no conflict.</w:t>
            </w:r>
          </w:p>
        </w:tc>
      </w:tr>
      <w:tr>
        <w:trPr>
          <w:cantSplit/>
        </w:trPr>
        <w:tc>
          <w:tcPr>
            <w:tcW w:type="dxa" w:w="5054"/>
            <w:vAlign w:val="center"/>
          </w:tcPr>
          <w:p>
            <w:r/>
            <w:r>
              <w:rPr>
                <w:b w:val="0"/>
                <w:sz w:val="16"/>
              </w:rPr>
              <w:t>₹3,000 dinner during ordinary relationship management</w:t>
            </w:r>
          </w:p>
        </w:tc>
        <w:tc>
          <w:tcPr>
            <w:tcW w:type="dxa" w:w="5054"/>
            <w:vAlign w:val="center"/>
          </w:tcPr>
          <w:p>
            <w:r/>
            <w:r>
              <w:rPr>
                <w:b w:val="0"/>
                <w:sz w:val="16"/>
              </w:rPr>
              <w:t>Disclose/register and manager review.</w:t>
            </w:r>
          </w:p>
        </w:tc>
      </w:tr>
      <w:tr>
        <w:trPr>
          <w:cantSplit/>
        </w:trPr>
        <w:tc>
          <w:tcPr>
            <w:tcW w:type="dxa" w:w="5054"/>
            <w:vAlign w:val="center"/>
          </w:tcPr>
          <w:p>
            <w:r/>
            <w:r>
              <w:rPr>
                <w:b w:val="0"/>
                <w:sz w:val="16"/>
              </w:rPr>
              <w:t>₹6,500 event ticket from bidder during active procurement</w:t>
            </w:r>
          </w:p>
        </w:tc>
        <w:tc>
          <w:tcPr>
            <w:tcW w:type="dxa" w:w="5054"/>
            <w:vAlign w:val="center"/>
          </w:tcPr>
          <w:p>
            <w:r/>
            <w:r>
              <w:rPr>
                <w:b w:val="0"/>
                <w:sz w:val="16"/>
              </w:rPr>
              <w:t>Decline; prior Compliance approval would not normally cure the conflict.</w:t>
            </w:r>
          </w:p>
        </w:tc>
      </w:tr>
      <w:tr>
        <w:trPr>
          <w:cantSplit/>
        </w:trPr>
        <w:tc>
          <w:tcPr>
            <w:tcW w:type="dxa" w:w="5054"/>
            <w:vAlign w:val="center"/>
          </w:tcPr>
          <w:p>
            <w:r/>
            <w:r>
              <w:rPr>
                <w:b w:val="0"/>
                <w:sz w:val="16"/>
              </w:rPr>
              <w:t>₹4,500 hospitality repeatedly offered by same counterparty</w:t>
            </w:r>
          </w:p>
        </w:tc>
        <w:tc>
          <w:tcPr>
            <w:tcW w:type="dxa" w:w="5054"/>
            <w:vAlign w:val="center"/>
          </w:tcPr>
          <w:p>
            <w:r/>
            <w:r>
              <w:rPr>
                <w:b w:val="0"/>
                <w:sz w:val="16"/>
              </w:rPr>
              <w:t>Aggregate pattern and conflict must be considered.</w:t>
            </w:r>
          </w:p>
        </w:tc>
      </w:tr>
      <w:tr>
        <w:trPr>
          <w:cantSplit/>
        </w:trPr>
        <w:tc>
          <w:tcPr>
            <w:tcW w:type="dxa" w:w="5054"/>
            <w:vAlign w:val="center"/>
          </w:tcPr>
          <w:p>
            <w:r/>
            <w:r>
              <w:rPr>
                <w:b w:val="0"/>
                <w:sz w:val="16"/>
              </w:rPr>
              <w:t>Cash voucher worth ₹1,000</w:t>
            </w:r>
          </w:p>
        </w:tc>
        <w:tc>
          <w:tcPr>
            <w:tcW w:type="dxa" w:w="5054"/>
            <w:vAlign w:val="center"/>
          </w:tcPr>
          <w:p>
            <w:r/>
            <w:r>
              <w:rPr>
                <w:b w:val="0"/>
                <w:sz w:val="16"/>
              </w:rPr>
              <w:t>Prohibited as cash equivalent regardless of low value.</w:t>
            </w:r>
          </w:p>
        </w:tc>
      </w:tr>
    </w:tbl>
    <w:p/>
    <w:p>
      <w:r>
        <w:br w:type="page"/>
      </w:r>
    </w:p>
    <w:p>
      <w:pPr>
        <w:pStyle w:val="Heading1"/>
      </w:pPr>
      <w:r>
        <w:t>Appendix M — Compliance Training Curriculum</w:t>
      </w:r>
    </w:p>
    <w:p>
      <w:pPr>
        <w:spacing w:after="100"/>
      </w:pPr>
      <w:r>
        <w:t>Training is risk-based and should connect employees to the controls they actually perform.</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17365D"/>
          </w:tcPr>
          <w:p>
            <w:r/>
            <w:r>
              <w:rPr>
                <w:b/>
                <w:color w:val="FFFFFF"/>
                <w:sz w:val="16"/>
              </w:rPr>
              <w:t>Role Group</w:t>
            </w:r>
          </w:p>
        </w:tc>
        <w:tc>
          <w:tcPr>
            <w:tcW w:type="dxa" w:w="3369"/>
            <w:vAlign w:val="center"/>
            <w:shd w:fill="17365D"/>
          </w:tcPr>
          <w:p>
            <w:r/>
            <w:r>
              <w:rPr>
                <w:b/>
                <w:color w:val="FFFFFF"/>
                <w:sz w:val="16"/>
              </w:rPr>
              <w:t>Core Modules</w:t>
            </w:r>
          </w:p>
        </w:tc>
        <w:tc>
          <w:tcPr>
            <w:tcW w:type="dxa" w:w="3369"/>
            <w:vAlign w:val="center"/>
            <w:shd w:fill="17365D"/>
          </w:tcPr>
          <w:p>
            <w:r/>
            <w:r>
              <w:rPr>
                <w:b/>
                <w:color w:val="FFFFFF"/>
                <w:sz w:val="16"/>
              </w:rPr>
              <w:t>Additional Modules</w:t>
            </w:r>
          </w:p>
        </w:tc>
      </w:tr>
      <w:tr>
        <w:trPr>
          <w:cantSplit/>
        </w:trPr>
        <w:tc>
          <w:tcPr>
            <w:tcW w:type="dxa" w:w="3369"/>
            <w:vAlign w:val="center"/>
          </w:tcPr>
          <w:p>
            <w:r/>
            <w:r>
              <w:rPr>
                <w:b w:val="0"/>
                <w:sz w:val="16"/>
              </w:rPr>
              <w:t>All employees</w:t>
            </w:r>
          </w:p>
        </w:tc>
        <w:tc>
          <w:tcPr>
            <w:tcW w:type="dxa" w:w="3369"/>
            <w:vAlign w:val="center"/>
          </w:tcPr>
          <w:p>
            <w:r/>
            <w:r>
              <w:rPr>
                <w:b w:val="0"/>
                <w:sz w:val="16"/>
              </w:rPr>
              <w:t>Conduct, escalation, confidentiality, conflicts</w:t>
            </w:r>
          </w:p>
        </w:tc>
        <w:tc>
          <w:tcPr>
            <w:tcW w:type="dxa" w:w="3369"/>
            <w:vAlign w:val="center"/>
          </w:tcPr>
          <w:p>
            <w:r/>
            <w:r>
              <w:rPr>
                <w:b w:val="0"/>
                <w:sz w:val="16"/>
              </w:rPr>
              <w:t>Annual updates</w:t>
            </w:r>
          </w:p>
        </w:tc>
      </w:tr>
      <w:tr>
        <w:trPr>
          <w:cantSplit/>
        </w:trPr>
        <w:tc>
          <w:tcPr>
            <w:tcW w:type="dxa" w:w="3369"/>
            <w:vAlign w:val="center"/>
          </w:tcPr>
          <w:p>
            <w:r/>
            <w:r>
              <w:rPr>
                <w:b w:val="0"/>
                <w:sz w:val="16"/>
              </w:rPr>
              <w:t>Customer Operations</w:t>
            </w:r>
          </w:p>
        </w:tc>
        <w:tc>
          <w:tcPr>
            <w:tcW w:type="dxa" w:w="3369"/>
            <w:vAlign w:val="center"/>
          </w:tcPr>
          <w:p>
            <w:r/>
            <w:r>
              <w:rPr>
                <w:b w:val="0"/>
                <w:sz w:val="16"/>
              </w:rPr>
              <w:t>Onboarding, complaints, fair treatment</w:t>
            </w:r>
          </w:p>
        </w:tc>
        <w:tc>
          <w:tcPr>
            <w:tcW w:type="dxa" w:w="3369"/>
            <w:vAlign w:val="center"/>
          </w:tcPr>
          <w:p>
            <w:r/>
            <w:r>
              <w:rPr>
                <w:b w:val="0"/>
                <w:sz w:val="16"/>
              </w:rPr>
              <w:t>KYC restriction and fraud referral</w:t>
            </w:r>
          </w:p>
        </w:tc>
      </w:tr>
      <w:tr>
        <w:trPr>
          <w:cantSplit/>
        </w:trPr>
        <w:tc>
          <w:tcPr>
            <w:tcW w:type="dxa" w:w="3369"/>
            <w:vAlign w:val="center"/>
          </w:tcPr>
          <w:p>
            <w:r/>
            <w:r>
              <w:rPr>
                <w:b w:val="0"/>
                <w:sz w:val="16"/>
              </w:rPr>
              <w:t>Credit</w:t>
            </w:r>
          </w:p>
        </w:tc>
        <w:tc>
          <w:tcPr>
            <w:tcW w:type="dxa" w:w="3369"/>
            <w:vAlign w:val="center"/>
          </w:tcPr>
          <w:p>
            <w:r/>
            <w:r>
              <w:rPr>
                <w:b w:val="0"/>
                <w:sz w:val="16"/>
              </w:rPr>
              <w:t>Authority, exceptions, customer communication</w:t>
            </w:r>
          </w:p>
        </w:tc>
        <w:tc>
          <w:tcPr>
            <w:tcW w:type="dxa" w:w="3369"/>
            <w:vAlign w:val="center"/>
          </w:tcPr>
          <w:p>
            <w:r/>
            <w:r>
              <w:rPr>
                <w:b w:val="0"/>
                <w:sz w:val="16"/>
              </w:rPr>
              <w:t>Affordability and disbursement controls</w:t>
            </w:r>
          </w:p>
        </w:tc>
      </w:tr>
      <w:tr>
        <w:trPr>
          <w:cantSplit/>
        </w:trPr>
        <w:tc>
          <w:tcPr>
            <w:tcW w:type="dxa" w:w="3369"/>
            <w:vAlign w:val="center"/>
          </w:tcPr>
          <w:p>
            <w:r/>
            <w:r>
              <w:rPr>
                <w:b w:val="0"/>
                <w:sz w:val="16"/>
              </w:rPr>
              <w:t>AML/KYC</w:t>
            </w:r>
          </w:p>
        </w:tc>
        <w:tc>
          <w:tcPr>
            <w:tcW w:type="dxa" w:w="3369"/>
            <w:vAlign w:val="center"/>
          </w:tcPr>
          <w:p>
            <w:r/>
            <w:r>
              <w:rPr>
                <w:b w:val="0"/>
                <w:sz w:val="16"/>
              </w:rPr>
              <w:t>KYC/CDD/AML specialist controls</w:t>
            </w:r>
          </w:p>
        </w:tc>
        <w:tc>
          <w:tcPr>
            <w:tcW w:type="dxa" w:w="3369"/>
            <w:vAlign w:val="center"/>
          </w:tcPr>
          <w:p>
            <w:r/>
            <w:r>
              <w:rPr>
                <w:b w:val="0"/>
                <w:sz w:val="16"/>
              </w:rPr>
              <w:t>Investigation, EDD and risk rating</w:t>
            </w:r>
          </w:p>
        </w:tc>
      </w:tr>
      <w:tr>
        <w:trPr>
          <w:cantSplit/>
        </w:trPr>
        <w:tc>
          <w:tcPr>
            <w:tcW w:type="dxa" w:w="3369"/>
            <w:vAlign w:val="center"/>
          </w:tcPr>
          <w:p>
            <w:r/>
            <w:r>
              <w:rPr>
                <w:b w:val="0"/>
                <w:sz w:val="16"/>
              </w:rPr>
              <w:t>Investments/Treasury</w:t>
            </w:r>
          </w:p>
        </w:tc>
        <w:tc>
          <w:tcPr>
            <w:tcW w:type="dxa" w:w="3369"/>
            <w:vAlign w:val="center"/>
          </w:tcPr>
          <w:p>
            <w:r/>
            <w:r>
              <w:rPr>
                <w:b w:val="0"/>
                <w:sz w:val="16"/>
              </w:rPr>
              <w:t>Investment eligibility and authority</w:t>
            </w:r>
          </w:p>
        </w:tc>
        <w:tc>
          <w:tcPr>
            <w:tcW w:type="dxa" w:w="3369"/>
            <w:vAlign w:val="center"/>
          </w:tcPr>
          <w:p>
            <w:r/>
            <w:r>
              <w:rPr>
                <w:b w:val="0"/>
                <w:sz w:val="16"/>
              </w:rPr>
              <w:t>Market conduct, conflicts and breach handling</w:t>
            </w:r>
          </w:p>
        </w:tc>
      </w:tr>
      <w:tr>
        <w:trPr>
          <w:cantSplit/>
        </w:trPr>
        <w:tc>
          <w:tcPr>
            <w:tcW w:type="dxa" w:w="3369"/>
            <w:vAlign w:val="center"/>
          </w:tcPr>
          <w:p>
            <w:r/>
            <w:r>
              <w:rPr>
                <w:b w:val="0"/>
                <w:sz w:val="16"/>
              </w:rPr>
              <w:t>Managers</w:t>
            </w:r>
          </w:p>
        </w:tc>
        <w:tc>
          <w:tcPr>
            <w:tcW w:type="dxa" w:w="3369"/>
            <w:vAlign w:val="center"/>
          </w:tcPr>
          <w:p>
            <w:r/>
            <w:r>
              <w:rPr>
                <w:b w:val="0"/>
                <w:sz w:val="16"/>
              </w:rPr>
              <w:t>Issue ownership and escalation</w:t>
            </w:r>
          </w:p>
        </w:tc>
        <w:tc>
          <w:tcPr>
            <w:tcW w:type="dxa" w:w="3369"/>
            <w:vAlign w:val="center"/>
          </w:tcPr>
          <w:p>
            <w:r/>
            <w:r>
              <w:rPr>
                <w:b w:val="0"/>
                <w:sz w:val="16"/>
              </w:rPr>
              <w:t>Root cause, risk acceptance and committee reporting</w:t>
            </w:r>
          </w:p>
        </w:tc>
      </w:tr>
    </w:tbl>
    <w:p/>
    <w:p>
      <w:r>
        <w:br w:type="page"/>
      </w:r>
    </w:p>
    <w:p>
      <w:pPr>
        <w:pStyle w:val="Heading1"/>
      </w:pPr>
      <w:r>
        <w:t>Appendix N — Issue Closure Evidence Matrix</w:t>
      </w:r>
    </w:p>
    <w:p>
      <w:pPr>
        <w:spacing w:after="100"/>
      </w:pPr>
      <w:r>
        <w:t>Closure evidence should demonstrate implementation, not merely intent.</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Action Type</w:t>
            </w:r>
          </w:p>
        </w:tc>
        <w:tc>
          <w:tcPr>
            <w:tcW w:type="dxa" w:w="5054"/>
            <w:vAlign w:val="center"/>
            <w:shd w:fill="17365D"/>
          </w:tcPr>
          <w:p>
            <w:r/>
            <w:r>
              <w:rPr>
                <w:b/>
                <w:color w:val="FFFFFF"/>
                <w:sz w:val="16"/>
              </w:rPr>
              <w:t>Acceptable Evidence</w:t>
            </w:r>
          </w:p>
        </w:tc>
      </w:tr>
      <w:tr>
        <w:trPr>
          <w:cantSplit/>
        </w:trPr>
        <w:tc>
          <w:tcPr>
            <w:tcW w:type="dxa" w:w="5054"/>
            <w:vAlign w:val="center"/>
          </w:tcPr>
          <w:p>
            <w:r/>
            <w:r>
              <w:rPr>
                <w:b w:val="0"/>
                <w:sz w:val="16"/>
              </w:rPr>
              <w:t>Procedure update</w:t>
            </w:r>
          </w:p>
        </w:tc>
        <w:tc>
          <w:tcPr>
            <w:tcW w:type="dxa" w:w="5054"/>
            <w:vAlign w:val="center"/>
          </w:tcPr>
          <w:p>
            <w:r/>
            <w:r>
              <w:rPr>
                <w:b w:val="0"/>
                <w:sz w:val="16"/>
              </w:rPr>
              <w:t>Approved controlled document plus effective-date communication</w:t>
            </w:r>
          </w:p>
        </w:tc>
      </w:tr>
      <w:tr>
        <w:trPr>
          <w:cantSplit/>
        </w:trPr>
        <w:tc>
          <w:tcPr>
            <w:tcW w:type="dxa" w:w="5054"/>
            <w:vAlign w:val="center"/>
          </w:tcPr>
          <w:p>
            <w:r/>
            <w:r>
              <w:rPr>
                <w:b w:val="0"/>
                <w:sz w:val="16"/>
              </w:rPr>
              <w:t>System rule change</w:t>
            </w:r>
          </w:p>
        </w:tc>
        <w:tc>
          <w:tcPr>
            <w:tcW w:type="dxa" w:w="5054"/>
            <w:vAlign w:val="center"/>
          </w:tcPr>
          <w:p>
            <w:r/>
            <w:r>
              <w:rPr>
                <w:b w:val="0"/>
                <w:sz w:val="16"/>
              </w:rPr>
              <w:t>Change ticket, test evidence, deployment confirmation and post-change validation</w:t>
            </w:r>
          </w:p>
        </w:tc>
      </w:tr>
      <w:tr>
        <w:trPr>
          <w:cantSplit/>
        </w:trPr>
        <w:tc>
          <w:tcPr>
            <w:tcW w:type="dxa" w:w="5054"/>
            <w:vAlign w:val="center"/>
          </w:tcPr>
          <w:p>
            <w:r/>
            <w:r>
              <w:rPr>
                <w:b w:val="0"/>
                <w:sz w:val="16"/>
              </w:rPr>
              <w:t>Training</w:t>
            </w:r>
          </w:p>
        </w:tc>
        <w:tc>
          <w:tcPr>
            <w:tcW w:type="dxa" w:w="5054"/>
            <w:vAlign w:val="center"/>
          </w:tcPr>
          <w:p>
            <w:r/>
            <w:r>
              <w:rPr>
                <w:b w:val="0"/>
                <w:sz w:val="16"/>
              </w:rPr>
              <w:t>Target population, content, completion records and overdue follow-up</w:t>
            </w:r>
          </w:p>
        </w:tc>
      </w:tr>
      <w:tr>
        <w:trPr>
          <w:cantSplit/>
        </w:trPr>
        <w:tc>
          <w:tcPr>
            <w:tcW w:type="dxa" w:w="5054"/>
            <w:vAlign w:val="center"/>
          </w:tcPr>
          <w:p>
            <w:r/>
            <w:r>
              <w:rPr>
                <w:b w:val="0"/>
                <w:sz w:val="16"/>
              </w:rPr>
              <w:t>Access remediation</w:t>
            </w:r>
          </w:p>
        </w:tc>
        <w:tc>
          <w:tcPr>
            <w:tcW w:type="dxa" w:w="5054"/>
            <w:vAlign w:val="center"/>
          </w:tcPr>
          <w:p>
            <w:r/>
            <w:r>
              <w:rPr>
                <w:b w:val="0"/>
                <w:sz w:val="16"/>
              </w:rPr>
              <w:t>Entitlement removal/change evidence and recertification</w:t>
            </w:r>
          </w:p>
        </w:tc>
      </w:tr>
      <w:tr>
        <w:trPr>
          <w:cantSplit/>
        </w:trPr>
        <w:tc>
          <w:tcPr>
            <w:tcW w:type="dxa" w:w="5054"/>
            <w:vAlign w:val="center"/>
          </w:tcPr>
          <w:p>
            <w:r/>
            <w:r>
              <w:rPr>
                <w:b w:val="0"/>
                <w:sz w:val="16"/>
              </w:rPr>
              <w:t>Customer remediation</w:t>
            </w:r>
          </w:p>
        </w:tc>
        <w:tc>
          <w:tcPr>
            <w:tcW w:type="dxa" w:w="5054"/>
            <w:vAlign w:val="center"/>
          </w:tcPr>
          <w:p>
            <w:r/>
            <w:r>
              <w:rPr>
                <w:b w:val="0"/>
                <w:sz w:val="16"/>
              </w:rPr>
              <w:t>Affected population, calculation, communication/payment evidence and reconciliation</w:t>
            </w:r>
          </w:p>
        </w:tc>
      </w:tr>
      <w:tr>
        <w:trPr>
          <w:cantSplit/>
        </w:trPr>
        <w:tc>
          <w:tcPr>
            <w:tcW w:type="dxa" w:w="5054"/>
            <w:vAlign w:val="center"/>
          </w:tcPr>
          <w:p>
            <w:r/>
            <w:r>
              <w:rPr>
                <w:b w:val="0"/>
                <w:sz w:val="16"/>
              </w:rPr>
              <w:t>Monitoring enhancement</w:t>
            </w:r>
          </w:p>
        </w:tc>
        <w:tc>
          <w:tcPr>
            <w:tcW w:type="dxa" w:w="5054"/>
            <w:vAlign w:val="center"/>
          </w:tcPr>
          <w:p>
            <w:r/>
            <w:r>
              <w:rPr>
                <w:b w:val="0"/>
                <w:sz w:val="16"/>
              </w:rPr>
              <w:t>Approved metric, baseline output and evidence of ongoing review</w:t>
            </w:r>
          </w:p>
        </w:tc>
      </w:tr>
    </w:tbl>
    <w:p/>
    <w:p>
      <w:r>
        <w:br w:type="page"/>
      </w:r>
    </w:p>
    <w:p>
      <w:pPr>
        <w:pStyle w:val="Heading1"/>
      </w:pPr>
      <w:r>
        <w:t>Appendix O — Compliance Management Information Definitions</w:t>
      </w:r>
    </w:p>
    <w:p>
      <w:pPr>
        <w:spacing w:after="100"/>
      </w:pPr>
      <w:r>
        <w:t>Stable definitions make trend reporting comparable across periods.</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Metric</w:t>
            </w:r>
          </w:p>
        </w:tc>
        <w:tc>
          <w:tcPr>
            <w:tcW w:type="dxa" w:w="5054"/>
            <w:vAlign w:val="center"/>
            <w:shd w:fill="17365D"/>
          </w:tcPr>
          <w:p>
            <w:r/>
            <w:r>
              <w:rPr>
                <w:b/>
                <w:color w:val="FFFFFF"/>
                <w:sz w:val="16"/>
              </w:rPr>
              <w:t>Definition</w:t>
            </w:r>
          </w:p>
        </w:tc>
      </w:tr>
      <w:tr>
        <w:trPr>
          <w:cantSplit/>
        </w:trPr>
        <w:tc>
          <w:tcPr>
            <w:tcW w:type="dxa" w:w="5054"/>
            <w:vAlign w:val="center"/>
          </w:tcPr>
          <w:p>
            <w:r/>
            <w:r>
              <w:rPr>
                <w:b w:val="0"/>
                <w:sz w:val="16"/>
              </w:rPr>
              <w:t>Open C3/C4 breaches</w:t>
            </w:r>
          </w:p>
        </w:tc>
        <w:tc>
          <w:tcPr>
            <w:tcW w:type="dxa" w:w="5054"/>
            <w:vAlign w:val="center"/>
          </w:tcPr>
          <w:p>
            <w:r/>
            <w:r>
              <w:rPr>
                <w:b w:val="0"/>
                <w:sz w:val="16"/>
              </w:rPr>
              <w:t>Confirmed or suspected material breaches not formally closed</w:t>
            </w:r>
          </w:p>
        </w:tc>
      </w:tr>
      <w:tr>
        <w:trPr>
          <w:cantSplit/>
        </w:trPr>
        <w:tc>
          <w:tcPr>
            <w:tcW w:type="dxa" w:w="5054"/>
            <w:vAlign w:val="center"/>
          </w:tcPr>
          <w:p>
            <w:r/>
            <w:r>
              <w:rPr>
                <w:b w:val="0"/>
                <w:sz w:val="16"/>
              </w:rPr>
              <w:t>Overdue remediation</w:t>
            </w:r>
          </w:p>
        </w:tc>
        <w:tc>
          <w:tcPr>
            <w:tcW w:type="dxa" w:w="5054"/>
            <w:vAlign w:val="center"/>
          </w:tcPr>
          <w:p>
            <w:r/>
            <w:r>
              <w:rPr>
                <w:b w:val="0"/>
                <w:sz w:val="16"/>
              </w:rPr>
              <w:t>Action past approved due date without valid extension</w:t>
            </w:r>
          </w:p>
        </w:tc>
      </w:tr>
      <w:tr>
        <w:trPr>
          <w:cantSplit/>
        </w:trPr>
        <w:tc>
          <w:tcPr>
            <w:tcW w:type="dxa" w:w="5054"/>
            <w:vAlign w:val="center"/>
          </w:tcPr>
          <w:p>
            <w:r/>
            <w:r>
              <w:rPr>
                <w:b w:val="0"/>
                <w:sz w:val="16"/>
              </w:rPr>
              <w:t>Repeat issue rate</w:t>
            </w:r>
          </w:p>
        </w:tc>
        <w:tc>
          <w:tcPr>
            <w:tcW w:type="dxa" w:w="5054"/>
            <w:vAlign w:val="center"/>
          </w:tcPr>
          <w:p>
            <w:r/>
            <w:r>
              <w:rPr>
                <w:b w:val="0"/>
                <w:sz w:val="16"/>
              </w:rPr>
              <w:t>New issues sharing a materially similar root cause with prior closed issues</w:t>
            </w:r>
          </w:p>
        </w:tc>
      </w:tr>
      <w:tr>
        <w:trPr>
          <w:cantSplit/>
        </w:trPr>
        <w:tc>
          <w:tcPr>
            <w:tcW w:type="dxa" w:w="5054"/>
            <w:vAlign w:val="center"/>
          </w:tcPr>
          <w:p>
            <w:r/>
            <w:r>
              <w:rPr>
                <w:b w:val="0"/>
                <w:sz w:val="16"/>
              </w:rPr>
              <w:t>Monitoring exception rate</w:t>
            </w:r>
          </w:p>
        </w:tc>
        <w:tc>
          <w:tcPr>
            <w:tcW w:type="dxa" w:w="5054"/>
            <w:vAlign w:val="center"/>
          </w:tcPr>
          <w:p>
            <w:r/>
            <w:r>
              <w:rPr>
                <w:b w:val="0"/>
                <w:sz w:val="16"/>
              </w:rPr>
              <w:t>Exceptions / tested items for completed monitoring review</w:t>
            </w:r>
          </w:p>
        </w:tc>
      </w:tr>
      <w:tr>
        <w:trPr>
          <w:cantSplit/>
        </w:trPr>
        <w:tc>
          <w:tcPr>
            <w:tcW w:type="dxa" w:w="5054"/>
            <w:vAlign w:val="center"/>
          </w:tcPr>
          <w:p>
            <w:r/>
            <w:r>
              <w:rPr>
                <w:b w:val="0"/>
                <w:sz w:val="16"/>
              </w:rPr>
              <w:t>Training overdue rate</w:t>
            </w:r>
          </w:p>
        </w:tc>
        <w:tc>
          <w:tcPr>
            <w:tcW w:type="dxa" w:w="5054"/>
            <w:vAlign w:val="center"/>
          </w:tcPr>
          <w:p>
            <w:r/>
            <w:r>
              <w:rPr>
                <w:b w:val="0"/>
                <w:sz w:val="16"/>
              </w:rPr>
              <w:t>Required learners past due / assigned learners</w:t>
            </w:r>
          </w:p>
        </w:tc>
      </w:tr>
      <w:tr>
        <w:trPr>
          <w:cantSplit/>
        </w:trPr>
        <w:tc>
          <w:tcPr>
            <w:tcW w:type="dxa" w:w="5054"/>
            <w:vAlign w:val="center"/>
          </w:tcPr>
          <w:p>
            <w:r/>
            <w:r>
              <w:rPr>
                <w:b w:val="0"/>
                <w:sz w:val="16"/>
              </w:rPr>
              <w:t>Gift pre-approval exception</w:t>
            </w:r>
          </w:p>
        </w:tc>
        <w:tc>
          <w:tcPr>
            <w:tcW w:type="dxa" w:w="5054"/>
            <w:vAlign w:val="center"/>
          </w:tcPr>
          <w:p>
            <w:r/>
            <w:r>
              <w:rPr>
                <w:b w:val="0"/>
                <w:sz w:val="16"/>
              </w:rPr>
              <w:t>Items above current threshold lacking required prior approval</w:t>
            </w:r>
          </w:p>
        </w:tc>
      </w:tr>
      <w:tr>
        <w:trPr>
          <w:cantSplit/>
        </w:trPr>
        <w:tc>
          <w:tcPr>
            <w:tcW w:type="dxa" w:w="5054"/>
            <w:vAlign w:val="center"/>
          </w:tcPr>
          <w:p>
            <w:r/>
            <w:r>
              <w:rPr>
                <w:b w:val="0"/>
                <w:sz w:val="16"/>
              </w:rPr>
              <w:t>Material customer-remediation cases</w:t>
            </w:r>
          </w:p>
        </w:tc>
        <w:tc>
          <w:tcPr>
            <w:tcW w:type="dxa" w:w="5054"/>
            <w:vAlign w:val="center"/>
          </w:tcPr>
          <w:p>
            <w:r/>
            <w:r>
              <w:rPr>
                <w:b w:val="0"/>
                <w:sz w:val="16"/>
              </w:rPr>
              <w:t>Open cases requiring population-level customer correction or payment</w:t>
            </w:r>
          </w:p>
        </w:tc>
      </w:tr>
    </w:tbl>
    <w:p/>
    <w:sectPr w:rsidR="00FC693F" w:rsidRPr="0006063C" w:rsidSect="00034616">
      <w:headerReference w:type="default" r:id="rId9"/>
      <w:footerReference w:type="default" r:id="rId10"/>
      <w:pgSz w:w="12240" w:h="15840"/>
      <w:pgMar w:top="1037" w:right="1066" w:bottom="979"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3"/>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