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w:hAnsi="Aptos" w:eastAsia="Aptos"/>
          <w:b/>
          <w:color w:val="2F5597"/>
          <w:sz w:val="26"/>
        </w:rPr>
        <w:t>NORTHSTAR FINANCIAL</w:t>
      </w:r>
    </w:p>
    <w:p>
      <w:pPr>
        <w:spacing w:before="560"/>
        <w:jc w:val="center"/>
      </w:pPr>
      <w:r>
        <w:rPr>
          <w:rFonts w:ascii="Aptos" w:hAnsi="Aptos" w:eastAsia="Aptos"/>
          <w:b/>
          <w:color w:val="17365D"/>
          <w:sz w:val="50"/>
        </w:rPr>
        <w:t>Credit Delegated Authority Schedule</w:t>
      </w:r>
    </w:p>
    <w:p>
      <w:pPr>
        <w:jc w:val="center"/>
      </w:pPr>
      <w:r>
        <w:rPr>
          <w:rFonts w:ascii="Aptos" w:hAnsi="Aptos" w:eastAsia="Aptos"/>
          <w:b/>
          <w:color w:val="595959"/>
          <w:sz w:val="26"/>
        </w:rPr>
        <w:t>CDAS-007</w:t>
      </w:r>
    </w:p>
    <w:p>
      <w:pPr>
        <w:spacing w:before="520"/>
        <w:jc w:val="center"/>
      </w:pPr>
      <w:r>
        <w:rPr>
          <w:rFonts w:ascii="Aptos" w:hAnsi="Aptos" w:eastAsia="Aptos"/>
          <w:b w:val="0"/>
          <w:color w:val="595959"/>
          <w:sz w:val="22"/>
        </w:rPr>
        <w:t>Version 2.1  |  Effective 1 May 2025</w:t>
      </w:r>
    </w:p>
    <w:p>
      <w:pPr>
        <w:spacing w:before="2100"/>
        <w:jc w:val="center"/>
      </w:pPr>
      <w:r>
        <w:rPr>
          <w:rFonts w:ascii="Aptos" w:hAnsi="Aptos" w:eastAsia="Aptos"/>
          <w:b/>
          <w:color w:val="17365D"/>
          <w:sz w:val="18"/>
        </w:rPr>
        <w:t>Classification: INTERNAL — CONTROLLED</w:t>
      </w:r>
    </w:p>
    <w:p>
      <w:pPr>
        <w:jc w:val="center"/>
      </w:pPr>
      <w:r>
        <w:rPr>
          <w:rFonts w:ascii="Aptos" w:hAnsi="Aptos" w:eastAsia="Aptos"/>
          <w:b w:val="0"/>
          <w:i/>
          <w:color w:val="595959"/>
          <w:sz w:val="14"/>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75"/>
        <w:gridCol w:w="4975"/>
      </w:tblGrid>
      <w:tr>
        <w:tc>
          <w:tcPr>
            <w:tcW w:type="dxa" w:w="4975"/>
            <w:shd w:fill="D9EAF7"/>
            <w:tcMar>
              <w:top w:w="70" w:type="dxa"/>
              <w:start w:w="90" w:type="dxa"/>
              <w:bottom w:w="70" w:type="dxa"/>
              <w:end w:w="90" w:type="dxa"/>
            </w:tcMar>
            <w:vAlign w:val="center"/>
          </w:tcPr>
          <w:p>
            <w:r>
              <w:rPr>
                <w:rFonts w:ascii="Aptos" w:hAnsi="Aptos" w:eastAsia="Aptos"/>
                <w:b/>
                <w:color w:val="17365D"/>
                <w:sz w:val="16"/>
              </w:rPr>
              <w:t>Document ID</w:t>
            </w:r>
          </w:p>
        </w:tc>
        <w:tc>
          <w:tcPr>
            <w:tcW w:type="dxa" w:w="4975"/>
            <w:tcMar>
              <w:top w:w="70" w:type="dxa"/>
              <w:start w:w="90" w:type="dxa"/>
              <w:bottom w:w="70" w:type="dxa"/>
              <w:end w:w="90" w:type="dxa"/>
            </w:tcMar>
            <w:vAlign w:val="center"/>
          </w:tcPr>
          <w:p>
            <w:r>
              <w:rPr>
                <w:rFonts w:ascii="Aptos" w:hAnsi="Aptos" w:eastAsia="Aptos"/>
                <w:b w:val="0"/>
                <w:sz w:val="16"/>
              </w:rPr>
              <w:t>CDAS-007</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Document Title</w:t>
            </w:r>
          </w:p>
        </w:tc>
        <w:tc>
          <w:tcPr>
            <w:tcW w:type="dxa" w:w="4975"/>
            <w:tcMar>
              <w:top w:w="70" w:type="dxa"/>
              <w:start w:w="90" w:type="dxa"/>
              <w:bottom w:w="70" w:type="dxa"/>
              <w:end w:w="90" w:type="dxa"/>
            </w:tcMar>
            <w:vAlign w:val="center"/>
          </w:tcPr>
          <w:p>
            <w:r>
              <w:rPr>
                <w:rFonts w:ascii="Aptos" w:hAnsi="Aptos" w:eastAsia="Aptos"/>
                <w:b w:val="0"/>
                <w:sz w:val="16"/>
              </w:rPr>
              <w:t>Credit Delegated Authority Schedule</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Version</w:t>
            </w:r>
          </w:p>
        </w:tc>
        <w:tc>
          <w:tcPr>
            <w:tcW w:type="dxa" w:w="4975"/>
            <w:tcMar>
              <w:top w:w="70" w:type="dxa"/>
              <w:start w:w="90" w:type="dxa"/>
              <w:bottom w:w="70" w:type="dxa"/>
              <w:end w:w="90" w:type="dxa"/>
            </w:tcMar>
            <w:vAlign w:val="center"/>
          </w:tcPr>
          <w:p>
            <w:r>
              <w:rPr>
                <w:rFonts w:ascii="Aptos" w:hAnsi="Aptos" w:eastAsia="Aptos"/>
                <w:b w:val="0"/>
                <w:sz w:val="16"/>
              </w:rPr>
              <w:t>2.1</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Policy / Procedure Owner</w:t>
            </w:r>
          </w:p>
        </w:tc>
        <w:tc>
          <w:tcPr>
            <w:tcW w:type="dxa" w:w="4975"/>
            <w:tcMar>
              <w:top w:w="70" w:type="dxa"/>
              <w:start w:w="90" w:type="dxa"/>
              <w:bottom w:w="70" w:type="dxa"/>
              <w:end w:w="90" w:type="dxa"/>
            </w:tcMar>
            <w:vAlign w:val="center"/>
          </w:tcPr>
          <w:p>
            <w:r>
              <w:rPr>
                <w:rFonts w:ascii="Aptos" w:hAnsi="Aptos" w:eastAsia="Aptos"/>
                <w:b w:val="0"/>
                <w:sz w:val="16"/>
              </w:rPr>
              <w:t>Meera Iyer — Chief Risk Officer</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Business Unit</w:t>
            </w:r>
          </w:p>
        </w:tc>
        <w:tc>
          <w:tcPr>
            <w:tcW w:type="dxa" w:w="4975"/>
            <w:tcMar>
              <w:top w:w="70" w:type="dxa"/>
              <w:start w:w="90" w:type="dxa"/>
              <w:bottom w:w="70" w:type="dxa"/>
              <w:end w:w="90" w:type="dxa"/>
            </w:tcMar>
            <w:vAlign w:val="center"/>
          </w:tcPr>
          <w:p>
            <w:r>
              <w:rPr>
                <w:rFonts w:ascii="Aptos" w:hAnsi="Aptos" w:eastAsia="Aptos"/>
                <w:b w:val="0"/>
                <w:sz w:val="16"/>
              </w:rPr>
              <w:t>Enterprise Risk / Credit Risk</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Approving Authority</w:t>
            </w:r>
          </w:p>
        </w:tc>
        <w:tc>
          <w:tcPr>
            <w:tcW w:type="dxa" w:w="4975"/>
            <w:tcMar>
              <w:top w:w="70" w:type="dxa"/>
              <w:start w:w="90" w:type="dxa"/>
              <w:bottom w:w="70" w:type="dxa"/>
              <w:end w:w="90" w:type="dxa"/>
            </w:tcMar>
            <w:vAlign w:val="center"/>
          </w:tcPr>
          <w:p>
            <w:r>
              <w:rPr>
                <w:rFonts w:ascii="Aptos" w:hAnsi="Aptos" w:eastAsia="Aptos"/>
                <w:b w:val="0"/>
                <w:sz w:val="16"/>
              </w:rPr>
              <w:t>Chief Executive Officer and Board Risk Committee</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Effective Date</w:t>
            </w:r>
          </w:p>
        </w:tc>
        <w:tc>
          <w:tcPr>
            <w:tcW w:type="dxa" w:w="4975"/>
            <w:tcMar>
              <w:top w:w="70" w:type="dxa"/>
              <w:start w:w="90" w:type="dxa"/>
              <w:bottom w:w="70" w:type="dxa"/>
              <w:end w:w="90" w:type="dxa"/>
            </w:tcMar>
            <w:vAlign w:val="center"/>
          </w:tcPr>
          <w:p>
            <w:r>
              <w:rPr>
                <w:rFonts w:ascii="Aptos" w:hAnsi="Aptos" w:eastAsia="Aptos"/>
                <w:b w:val="0"/>
                <w:sz w:val="16"/>
              </w:rPr>
              <w:t>1 May 2025</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Previous Version</w:t>
            </w:r>
          </w:p>
        </w:tc>
        <w:tc>
          <w:tcPr>
            <w:tcW w:type="dxa" w:w="4975"/>
            <w:tcMar>
              <w:top w:w="70" w:type="dxa"/>
              <w:start w:w="90" w:type="dxa"/>
              <w:bottom w:w="70" w:type="dxa"/>
              <w:end w:w="90" w:type="dxa"/>
            </w:tcMar>
            <w:vAlign w:val="center"/>
          </w:tcPr>
          <w:p>
            <w:r>
              <w:rPr>
                <w:rFonts w:ascii="Aptos" w:hAnsi="Aptos" w:eastAsia="Aptos"/>
                <w:b w:val="0"/>
                <w:sz w:val="16"/>
              </w:rPr>
              <w:t>Version 2.0 (effective 1 November 2024)</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Review Frequency</w:t>
            </w:r>
          </w:p>
        </w:tc>
        <w:tc>
          <w:tcPr>
            <w:tcW w:type="dxa" w:w="4975"/>
            <w:tcMar>
              <w:top w:w="70" w:type="dxa"/>
              <w:start w:w="90" w:type="dxa"/>
              <w:bottom w:w="70" w:type="dxa"/>
              <w:end w:w="90" w:type="dxa"/>
            </w:tcMar>
            <w:vAlign w:val="center"/>
          </w:tcPr>
          <w:p>
            <w:r>
              <w:rPr>
                <w:rFonts w:ascii="Aptos" w:hAnsi="Aptos" w:eastAsia="Aptos"/>
                <w:b w:val="0"/>
                <w:sz w:val="16"/>
              </w:rPr>
              <w:t>Annual and upon material organization or product change</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Classification</w:t>
            </w:r>
          </w:p>
        </w:tc>
        <w:tc>
          <w:tcPr>
            <w:tcW w:type="dxa" w:w="4975"/>
            <w:tcMar>
              <w:top w:w="70" w:type="dxa"/>
              <w:start w:w="90" w:type="dxa"/>
              <w:bottom w:w="70" w:type="dxa"/>
              <w:end w:w="90" w:type="dxa"/>
            </w:tcMar>
            <w:vAlign w:val="center"/>
          </w:tcPr>
          <w:p>
            <w:r>
              <w:rPr>
                <w:rFonts w:ascii="Aptos" w:hAnsi="Aptos" w:eastAsia="Aptos"/>
                <w:b w:val="0"/>
                <w:sz w:val="16"/>
              </w:rPr>
              <w:t>Internal — Controlled</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Status</w:t>
            </w:r>
          </w:p>
        </w:tc>
        <w:tc>
          <w:tcPr>
            <w:tcW w:type="dxa" w:w="4975"/>
            <w:tcMar>
              <w:top w:w="70" w:type="dxa"/>
              <w:start w:w="90" w:type="dxa"/>
              <w:bottom w:w="70" w:type="dxa"/>
              <w:end w:w="90" w:type="dxa"/>
            </w:tcMar>
            <w:vAlign w:val="center"/>
          </w:tcPr>
          <w:p>
            <w:r>
              <w:rPr>
                <w:rFonts w:ascii="Aptos" w:hAnsi="Aptos" w:eastAsia="Aptos"/>
                <w:b w:val="0"/>
                <w:sz w:val="16"/>
              </w:rPr>
              <w:t>Approved</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Supersedes</w:t>
            </w:r>
          </w:p>
        </w:tc>
        <w:tc>
          <w:tcPr>
            <w:tcW w:type="dxa" w:w="4975"/>
            <w:tcMar>
              <w:top w:w="70" w:type="dxa"/>
              <w:start w:w="90" w:type="dxa"/>
              <w:bottom w:w="70" w:type="dxa"/>
              <w:end w:w="90" w:type="dxa"/>
            </w:tcMar>
            <w:vAlign w:val="center"/>
          </w:tcPr>
          <w:p>
            <w:r>
              <w:rPr>
                <w:rFonts w:ascii="Aptos" w:hAnsi="Aptos" w:eastAsia="Aptos"/>
                <w:b w:val="0"/>
                <w:sz w:val="16"/>
              </w:rPr>
              <w:t>CDAS-007 v2.0</w:t>
            </w:r>
          </w:p>
        </w:tc>
      </w:tr>
      <w:tr>
        <w:tc>
          <w:tcPr>
            <w:tcW w:type="dxa" w:w="4975"/>
            <w:shd w:fill="D9EAF7"/>
            <w:tcMar>
              <w:top w:w="70" w:type="dxa"/>
              <w:start w:w="90" w:type="dxa"/>
              <w:bottom w:w="70" w:type="dxa"/>
              <w:end w:w="90" w:type="dxa"/>
            </w:tcMar>
            <w:vAlign w:val="center"/>
          </w:tcPr>
          <w:p>
            <w:r>
              <w:rPr>
                <w:rFonts w:ascii="Aptos" w:hAnsi="Aptos" w:eastAsia="Aptos"/>
                <w:b/>
                <w:color w:val="17365D"/>
                <w:sz w:val="16"/>
              </w:rPr>
              <w:t>Related Documents</w:t>
            </w:r>
          </w:p>
        </w:tc>
        <w:tc>
          <w:tcPr>
            <w:tcW w:type="dxa" w:w="4975"/>
            <w:tcMar>
              <w:top w:w="70" w:type="dxa"/>
              <w:start w:w="90" w:type="dxa"/>
              <w:bottom w:w="70" w:type="dxa"/>
              <w:end w:w="90" w:type="dxa"/>
            </w:tcMar>
            <w:vAlign w:val="center"/>
          </w:tcPr>
          <w:p>
            <w:r>
              <w:rPr>
                <w:rFonts w:ascii="Aptos" w:hAnsi="Aptos" w:eastAsia="Aptos"/>
                <w:b w:val="0"/>
                <w:sz w:val="16"/>
              </w:rPr>
              <w:t>CRP-001 Credit Risk Policy; CEP-006 Credit Exception Procedure; LOP-002 Loan Origination Policy; PLU-011 Personal Loan Underwriting Procedure; Credit Committee Terms of Reference (future issue); Risk Committee Terms of Reference (future issue)</w:t>
            </w:r>
          </w:p>
        </w:tc>
      </w:tr>
    </w:tbl>
    <w:p/>
    <w:p>
      <w:pPr>
        <w:pStyle w:val="Heading2"/>
      </w:pPr>
      <w:r>
        <w:t>Approval Record</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488"/>
        <w:gridCol w:w="2488"/>
        <w:gridCol w:w="2488"/>
        <w:gridCol w:w="2488"/>
      </w:tblGrid>
      <w:tr>
        <w:trPr>
          <w:tblHeader w:val="true"/>
        </w:trPr>
        <w:tc>
          <w:tcPr>
            <w:tcW w:type="dxa" w:w="1872"/>
            <w:shd w:fill="17365D"/>
            <w:tcMar>
              <w:top w:w="70" w:type="dxa"/>
              <w:start w:w="90" w:type="dxa"/>
              <w:bottom w:w="70" w:type="dxa"/>
              <w:end w:w="90" w:type="dxa"/>
            </w:tcMar>
          </w:tcPr>
          <w:p>
            <w:pPr>
              <w:spacing w:after="0"/>
            </w:pPr>
            <w:r>
              <w:rPr>
                <w:rFonts w:ascii="Aptos" w:hAnsi="Aptos" w:eastAsia="Aptos"/>
                <w:b/>
                <w:color w:val="FFFFFF"/>
                <w:sz w:val="15"/>
              </w:rPr>
              <w:t>Role</w:t>
            </w:r>
          </w:p>
        </w:tc>
        <w:tc>
          <w:tcPr>
            <w:tcW w:type="dxa" w:w="3600"/>
            <w:shd w:fill="17365D"/>
            <w:tcMar>
              <w:top w:w="70" w:type="dxa"/>
              <w:start w:w="90" w:type="dxa"/>
              <w:bottom w:w="70" w:type="dxa"/>
              <w:end w:w="90" w:type="dxa"/>
            </w:tcMar>
          </w:tcPr>
          <w:p>
            <w:pPr>
              <w:spacing w:after="0"/>
            </w:pPr>
            <w:r>
              <w:rPr>
                <w:rFonts w:ascii="Aptos" w:hAnsi="Aptos" w:eastAsia="Aptos"/>
                <w:b/>
                <w:color w:val="FFFFFF"/>
                <w:sz w:val="15"/>
              </w:rPr>
              <w:t>Name / Committee</w:t>
            </w:r>
          </w:p>
        </w:tc>
        <w:tc>
          <w:tcPr>
            <w:tcW w:type="dxa" w:w="1728"/>
            <w:shd w:fill="17365D"/>
            <w:tcMar>
              <w:top w:w="70" w:type="dxa"/>
              <w:start w:w="90" w:type="dxa"/>
              <w:bottom w:w="70" w:type="dxa"/>
              <w:end w:w="90" w:type="dxa"/>
            </w:tcMar>
          </w:tcPr>
          <w:p>
            <w:pPr>
              <w:spacing w:after="0"/>
            </w:pPr>
            <w:r>
              <w:rPr>
                <w:rFonts w:ascii="Aptos" w:hAnsi="Aptos" w:eastAsia="Aptos"/>
                <w:b/>
                <w:color w:val="FFFFFF"/>
                <w:sz w:val="15"/>
              </w:rPr>
              <w:t>Decision</w:t>
            </w:r>
          </w:p>
        </w:tc>
        <w:tc>
          <w:tcPr>
            <w:tcW w:type="dxa" w:w="1872"/>
            <w:shd w:fill="17365D"/>
            <w:tcMar>
              <w:top w:w="70" w:type="dxa"/>
              <w:start w:w="90" w:type="dxa"/>
              <w:bottom w:w="70" w:type="dxa"/>
              <w:end w:w="90" w:type="dxa"/>
            </w:tcMar>
          </w:tcPr>
          <w:p>
            <w:pPr>
              <w:spacing w:after="0"/>
            </w:pPr>
            <w:r>
              <w:rPr>
                <w:rFonts w:ascii="Aptos" w:hAnsi="Aptos" w:eastAsia="Aptos"/>
                <w:b/>
                <w:color w:val="FFFFFF"/>
                <w:sz w:val="15"/>
              </w:rPr>
              <w:t>Date</w:t>
            </w:r>
          </w:p>
        </w:tc>
      </w:tr>
      <w:tr>
        <w:tc>
          <w:tcPr>
            <w:tcW w:type="dxa" w:w="1872"/>
            <w:tcMar>
              <w:top w:w="70" w:type="dxa"/>
              <w:start w:w="90" w:type="dxa"/>
              <w:bottom w:w="70" w:type="dxa"/>
              <w:end w:w="90" w:type="dxa"/>
            </w:tcMar>
            <w:vAlign w:val="center"/>
          </w:tcPr>
          <w:p>
            <w:pPr>
              <w:spacing w:after="0"/>
            </w:pPr>
            <w:r>
              <w:rPr>
                <w:rFonts w:ascii="Aptos" w:hAnsi="Aptos" w:eastAsia="Aptos"/>
                <w:sz w:val="15"/>
              </w:rPr>
              <w:t>Approving Authorities</w:t>
            </w:r>
          </w:p>
        </w:tc>
        <w:tc>
          <w:tcPr>
            <w:tcW w:type="dxa" w:w="3600"/>
            <w:tcMar>
              <w:top w:w="70" w:type="dxa"/>
              <w:start w:w="90" w:type="dxa"/>
              <w:bottom w:w="70" w:type="dxa"/>
              <w:end w:w="90" w:type="dxa"/>
            </w:tcMar>
            <w:vAlign w:val="center"/>
          </w:tcPr>
          <w:p>
            <w:pPr>
              <w:spacing w:after="0"/>
            </w:pPr>
            <w:r>
              <w:rPr>
                <w:rFonts w:ascii="Aptos" w:hAnsi="Aptos" w:eastAsia="Aptos"/>
                <w:sz w:val="15"/>
              </w:rPr>
              <w:t>Vikram Sethi — Chief Executive Officer; Board Risk Committee</w:t>
            </w:r>
          </w:p>
        </w:tc>
        <w:tc>
          <w:tcPr>
            <w:tcW w:type="dxa" w:w="1728"/>
            <w:tcMar>
              <w:top w:w="70" w:type="dxa"/>
              <w:start w:w="90" w:type="dxa"/>
              <w:bottom w:w="70" w:type="dxa"/>
              <w:end w:w="90" w:type="dxa"/>
            </w:tcMar>
            <w:vAlign w:val="center"/>
          </w:tcPr>
          <w:p>
            <w:pPr>
              <w:spacing w:after="0"/>
            </w:pPr>
            <w:r>
              <w:rPr>
                <w:rFonts w:ascii="Aptos" w:hAnsi="Aptos" w:eastAsia="Aptos"/>
                <w:sz w:val="15"/>
              </w:rPr>
              <w:t>Approved</w:t>
            </w:r>
          </w:p>
        </w:tc>
        <w:tc>
          <w:tcPr>
            <w:tcW w:type="dxa" w:w="1872"/>
            <w:tcMar>
              <w:top w:w="70" w:type="dxa"/>
              <w:start w:w="90" w:type="dxa"/>
              <w:bottom w:w="70" w:type="dxa"/>
              <w:end w:w="90" w:type="dxa"/>
            </w:tcMar>
            <w:vAlign w:val="center"/>
          </w:tcPr>
          <w:p>
            <w:pPr>
              <w:spacing w:after="0"/>
            </w:pPr>
            <w:r>
              <w:rPr>
                <w:rFonts w:ascii="Aptos" w:hAnsi="Aptos" w:eastAsia="Aptos"/>
                <w:sz w:val="15"/>
              </w:rPr>
              <w:t>21 April 2025</w:t>
            </w:r>
          </w:p>
        </w:tc>
      </w:tr>
      <w:tr>
        <w:tc>
          <w:tcPr>
            <w:tcW w:type="dxa" w:w="1872"/>
            <w:shd w:fill="F7F9FC"/>
            <w:tcMar>
              <w:top w:w="70" w:type="dxa"/>
              <w:start w:w="90" w:type="dxa"/>
              <w:bottom w:w="70" w:type="dxa"/>
              <w:end w:w="90" w:type="dxa"/>
            </w:tcMar>
            <w:vAlign w:val="center"/>
          </w:tcPr>
          <w:p>
            <w:pPr>
              <w:spacing w:after="0"/>
            </w:pPr>
            <w:r>
              <w:rPr>
                <w:rFonts w:ascii="Aptos" w:hAnsi="Aptos" w:eastAsia="Aptos"/>
                <w:sz w:val="15"/>
              </w:rPr>
              <w:t>Document Owner</w:t>
            </w:r>
          </w:p>
        </w:tc>
        <w:tc>
          <w:tcPr>
            <w:tcW w:type="dxa" w:w="3600"/>
            <w:shd w:fill="F7F9FC"/>
            <w:tcMar>
              <w:top w:w="70" w:type="dxa"/>
              <w:start w:w="90" w:type="dxa"/>
              <w:bottom w:w="70" w:type="dxa"/>
              <w:end w:w="90" w:type="dxa"/>
            </w:tcMar>
            <w:vAlign w:val="center"/>
          </w:tcPr>
          <w:p>
            <w:pPr>
              <w:spacing w:after="0"/>
            </w:pPr>
            <w:r>
              <w:rPr>
                <w:rFonts w:ascii="Aptos" w:hAnsi="Aptos" w:eastAsia="Aptos"/>
                <w:sz w:val="15"/>
              </w:rPr>
              <w:t>Meera Iyer — Chief Risk Officer</w:t>
            </w:r>
          </w:p>
        </w:tc>
        <w:tc>
          <w:tcPr>
            <w:tcW w:type="dxa" w:w="1728"/>
            <w:shd w:fill="F7F9FC"/>
            <w:tcMar>
              <w:top w:w="70" w:type="dxa"/>
              <w:start w:w="90" w:type="dxa"/>
              <w:bottom w:w="70" w:type="dxa"/>
              <w:end w:w="90" w:type="dxa"/>
            </w:tcMar>
            <w:vAlign w:val="center"/>
          </w:tcPr>
          <w:p>
            <w:pPr>
              <w:spacing w:after="0"/>
            </w:pPr>
            <w:r>
              <w:rPr>
                <w:rFonts w:ascii="Aptos" w:hAnsi="Aptos" w:eastAsia="Aptos"/>
                <w:sz w:val="15"/>
              </w:rPr>
              <w:t>Certified for issue</w:t>
            </w:r>
          </w:p>
        </w:tc>
        <w:tc>
          <w:tcPr>
            <w:tcW w:type="dxa" w:w="1872"/>
            <w:shd w:fill="F7F9FC"/>
            <w:tcMar>
              <w:top w:w="70" w:type="dxa"/>
              <w:start w:w="90" w:type="dxa"/>
              <w:bottom w:w="70" w:type="dxa"/>
              <w:end w:w="90" w:type="dxa"/>
            </w:tcMar>
            <w:vAlign w:val="center"/>
          </w:tcPr>
          <w:p>
            <w:pPr>
              <w:spacing w:after="0"/>
            </w:pPr>
            <w:r>
              <w:rPr>
                <w:rFonts w:ascii="Aptos" w:hAnsi="Aptos" w:eastAsia="Aptos"/>
                <w:sz w:val="15"/>
              </w:rPr>
              <w:t>25 April 2025</w:t>
            </w:r>
          </w:p>
        </w:tc>
      </w:tr>
    </w:tbl>
    <w:p>
      <w:pPr>
        <w:spacing w:after="0"/>
      </w:pPr>
    </w:p>
    <w:p>
      <w:pPr>
        <w:pStyle w:val="Heading2"/>
      </w:pPr>
      <w:r>
        <w:t>Revision History</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7"/>
        <w:gridCol w:w="3317"/>
        <w:gridCol w:w="3317"/>
      </w:tblGrid>
      <w:tr>
        <w:trPr>
          <w:tblHeader w:val="true"/>
        </w:trPr>
        <w:tc>
          <w:tcPr>
            <w:tcW w:type="dxa" w:w="1152"/>
            <w:shd w:fill="17365D"/>
            <w:tcMar>
              <w:top w:w="70" w:type="dxa"/>
              <w:start w:w="90" w:type="dxa"/>
              <w:bottom w:w="70" w:type="dxa"/>
              <w:end w:w="90" w:type="dxa"/>
            </w:tcMar>
          </w:tcPr>
          <w:p>
            <w:pPr>
              <w:spacing w:after="0"/>
            </w:pPr>
            <w:r>
              <w:rPr>
                <w:rFonts w:ascii="Aptos" w:hAnsi="Aptos" w:eastAsia="Aptos"/>
                <w:b/>
                <w:color w:val="FFFFFF"/>
                <w:sz w:val="15"/>
              </w:rPr>
              <w:t>Version</w:t>
            </w:r>
          </w:p>
        </w:tc>
        <w:tc>
          <w:tcPr>
            <w:tcW w:type="dxa" w:w="1728"/>
            <w:shd w:fill="17365D"/>
            <w:tcMar>
              <w:top w:w="70" w:type="dxa"/>
              <w:start w:w="90" w:type="dxa"/>
              <w:bottom w:w="70" w:type="dxa"/>
              <w:end w:w="90" w:type="dxa"/>
            </w:tcMar>
          </w:tcPr>
          <w:p>
            <w:pPr>
              <w:spacing w:after="0"/>
            </w:pPr>
            <w:r>
              <w:rPr>
                <w:rFonts w:ascii="Aptos" w:hAnsi="Aptos" w:eastAsia="Aptos"/>
                <w:b/>
                <w:color w:val="FFFFFF"/>
                <w:sz w:val="15"/>
              </w:rPr>
              <w:t>Effective date</w:t>
            </w:r>
          </w:p>
        </w:tc>
        <w:tc>
          <w:tcPr>
            <w:tcW w:type="dxa" w:w="6336"/>
            <w:shd w:fill="17365D"/>
            <w:tcMar>
              <w:top w:w="70" w:type="dxa"/>
              <w:start w:w="90" w:type="dxa"/>
              <w:bottom w:w="70" w:type="dxa"/>
              <w:end w:w="90" w:type="dxa"/>
            </w:tcMar>
          </w:tcPr>
          <w:p>
            <w:pPr>
              <w:spacing w:after="0"/>
            </w:pPr>
            <w:r>
              <w:rPr>
                <w:rFonts w:ascii="Aptos" w:hAnsi="Aptos" w:eastAsia="Aptos"/>
                <w:b/>
                <w:color w:val="FFFFFF"/>
                <w:sz w:val="15"/>
              </w:rPr>
              <w:t>Change summary</w:t>
            </w:r>
          </w:p>
        </w:tc>
      </w:tr>
      <w:tr>
        <w:tc>
          <w:tcPr>
            <w:tcW w:type="dxa" w:w="1152"/>
            <w:tcMar>
              <w:top w:w="70" w:type="dxa"/>
              <w:start w:w="90" w:type="dxa"/>
              <w:bottom w:w="70" w:type="dxa"/>
              <w:end w:w="90" w:type="dxa"/>
            </w:tcMar>
            <w:vAlign w:val="center"/>
          </w:tcPr>
          <w:p>
            <w:pPr>
              <w:spacing w:after="0"/>
            </w:pPr>
            <w:r>
              <w:rPr>
                <w:rFonts w:ascii="Aptos" w:hAnsi="Aptos" w:eastAsia="Aptos"/>
                <w:sz w:val="15"/>
              </w:rPr>
              <w:t>1.0</w:t>
            </w:r>
          </w:p>
        </w:tc>
        <w:tc>
          <w:tcPr>
            <w:tcW w:type="dxa" w:w="1728"/>
            <w:tcMar>
              <w:top w:w="70" w:type="dxa"/>
              <w:start w:w="90" w:type="dxa"/>
              <w:bottom w:w="70" w:type="dxa"/>
              <w:end w:w="90" w:type="dxa"/>
            </w:tcMar>
            <w:vAlign w:val="center"/>
          </w:tcPr>
          <w:p>
            <w:pPr>
              <w:spacing w:after="0"/>
            </w:pPr>
            <w:r>
              <w:rPr>
                <w:rFonts w:ascii="Aptos" w:hAnsi="Aptos" w:eastAsia="Aptos"/>
                <w:sz w:val="15"/>
              </w:rPr>
              <w:t>1 August 2022</w:t>
            </w:r>
          </w:p>
        </w:tc>
        <w:tc>
          <w:tcPr>
            <w:tcW w:type="dxa" w:w="6336"/>
            <w:tcMar>
              <w:top w:w="70" w:type="dxa"/>
              <w:start w:w="90" w:type="dxa"/>
              <w:bottom w:w="70" w:type="dxa"/>
              <w:end w:w="90" w:type="dxa"/>
            </w:tcMar>
            <w:vAlign w:val="center"/>
          </w:tcPr>
          <w:p>
            <w:pPr>
              <w:spacing w:after="0"/>
            </w:pPr>
            <w:r>
              <w:rPr>
                <w:rFonts w:ascii="Aptos" w:hAnsi="Aptos" w:eastAsia="Aptos"/>
                <w:sz w:val="15"/>
              </w:rPr>
              <w:t>Initial common credit authority structure.</w:t>
            </w:r>
          </w:p>
        </w:tc>
      </w:tr>
      <w:tr>
        <w:tc>
          <w:tcPr>
            <w:tcW w:type="dxa" w:w="1152"/>
            <w:shd w:fill="F7F9FC"/>
            <w:tcMar>
              <w:top w:w="70" w:type="dxa"/>
              <w:start w:w="90" w:type="dxa"/>
              <w:bottom w:w="70" w:type="dxa"/>
              <w:end w:w="90" w:type="dxa"/>
            </w:tcMar>
            <w:vAlign w:val="center"/>
          </w:tcPr>
          <w:p>
            <w:pPr>
              <w:spacing w:after="0"/>
            </w:pPr>
            <w:r>
              <w:rPr>
                <w:rFonts w:ascii="Aptos" w:hAnsi="Aptos" w:eastAsia="Aptos"/>
                <w:sz w:val="15"/>
              </w:rPr>
              <w:t>2.0</w:t>
            </w:r>
          </w:p>
        </w:tc>
        <w:tc>
          <w:tcPr>
            <w:tcW w:type="dxa" w:w="1728"/>
            <w:shd w:fill="F7F9FC"/>
            <w:tcMar>
              <w:top w:w="70" w:type="dxa"/>
              <w:start w:w="90" w:type="dxa"/>
              <w:bottom w:w="70" w:type="dxa"/>
              <w:end w:w="90" w:type="dxa"/>
            </w:tcMar>
            <w:vAlign w:val="center"/>
          </w:tcPr>
          <w:p>
            <w:pPr>
              <w:spacing w:after="0"/>
            </w:pPr>
            <w:r>
              <w:rPr>
                <w:rFonts w:ascii="Aptos" w:hAnsi="Aptos" w:eastAsia="Aptos"/>
                <w:sz w:val="15"/>
              </w:rPr>
              <w:t>1 November 2024</w:t>
            </w:r>
          </w:p>
        </w:tc>
        <w:tc>
          <w:tcPr>
            <w:tcW w:type="dxa" w:w="6336"/>
            <w:shd w:fill="F7F9FC"/>
            <w:tcMar>
              <w:top w:w="70" w:type="dxa"/>
              <w:start w:w="90" w:type="dxa"/>
              <w:bottom w:w="70" w:type="dxa"/>
              <w:end w:w="90" w:type="dxa"/>
            </w:tcMar>
            <w:vAlign w:val="center"/>
          </w:tcPr>
          <w:p>
            <w:pPr>
              <w:spacing w:after="0"/>
            </w:pPr>
            <w:r>
              <w:rPr>
                <w:rFonts w:ascii="Aptos" w:hAnsi="Aptos" w:eastAsia="Aptos"/>
                <w:sz w:val="15"/>
              </w:rPr>
              <w:t>Introduced product-specific caps and committee escalation.</w:t>
            </w:r>
          </w:p>
        </w:tc>
      </w:tr>
      <w:tr>
        <w:tc>
          <w:tcPr>
            <w:tcW w:type="dxa" w:w="1152"/>
            <w:tcMar>
              <w:top w:w="70" w:type="dxa"/>
              <w:start w:w="90" w:type="dxa"/>
              <w:bottom w:w="70" w:type="dxa"/>
              <w:end w:w="90" w:type="dxa"/>
            </w:tcMar>
            <w:vAlign w:val="center"/>
          </w:tcPr>
          <w:p>
            <w:pPr>
              <w:spacing w:after="0"/>
            </w:pPr>
            <w:r>
              <w:rPr>
                <w:rFonts w:ascii="Aptos" w:hAnsi="Aptos" w:eastAsia="Aptos"/>
                <w:sz w:val="15"/>
              </w:rPr>
              <w:t>2.1</w:t>
            </w:r>
          </w:p>
        </w:tc>
        <w:tc>
          <w:tcPr>
            <w:tcW w:type="dxa" w:w="1728"/>
            <w:tcMar>
              <w:top w:w="70" w:type="dxa"/>
              <w:start w:w="90" w:type="dxa"/>
              <w:bottom w:w="70" w:type="dxa"/>
              <w:end w:w="90" w:type="dxa"/>
            </w:tcMar>
            <w:vAlign w:val="center"/>
          </w:tcPr>
          <w:p>
            <w:pPr>
              <w:spacing w:after="0"/>
            </w:pPr>
            <w:r>
              <w:rPr>
                <w:rFonts w:ascii="Aptos" w:hAnsi="Aptos" w:eastAsia="Aptos"/>
                <w:sz w:val="15"/>
              </w:rPr>
              <w:t>1 May 2025</w:t>
            </w:r>
          </w:p>
        </w:tc>
        <w:tc>
          <w:tcPr>
            <w:tcW w:type="dxa" w:w="6336"/>
            <w:tcMar>
              <w:top w:w="70" w:type="dxa"/>
              <w:start w:w="90" w:type="dxa"/>
              <w:bottom w:w="70" w:type="dxa"/>
              <w:end w:w="90" w:type="dxa"/>
            </w:tcMar>
            <w:vAlign w:val="center"/>
          </w:tcPr>
          <w:p>
            <w:pPr>
              <w:spacing w:after="0"/>
            </w:pPr>
            <w:r>
              <w:rPr>
                <w:rFonts w:ascii="Aptos" w:hAnsi="Aptos" w:eastAsia="Aptos"/>
                <w:sz w:val="15"/>
              </w:rPr>
              <w:t>Aligned exception rights to CEP-006 v1.3; reduced selected vehicle and SME role limits.</w:t>
            </w:r>
          </w:p>
        </w:tc>
      </w:tr>
    </w:tbl>
    <w:p>
      <w:pPr>
        <w:spacing w:after="0"/>
      </w:pPr>
    </w:p>
    <w:p>
      <w:pPr>
        <w:pStyle w:val="ControlNote"/>
      </w:pPr>
      <w:r>
        <w:t>Controlled copies are maintained in the Northstar Financial policy repository. Printed or locally saved copies are uncontrolled unless explicitly marked otherwise.</w:t>
      </w:r>
    </w:p>
    <w:p>
      <w:r>
        <w:br w:type="page"/>
      </w:r>
    </w:p>
    <w:p>
      <w:pPr>
        <w:pStyle w:val="Heading1"/>
      </w:pPr>
      <w:r>
        <w:t>Contents</w:t>
      </w:r>
    </w:p>
    <w:p>
      <w:pPr>
        <w:spacing w:after="30"/>
      </w:pPr>
      <w:r>
        <w:rPr>
          <w:rFonts w:ascii="Aptos" w:hAnsi="Aptos" w:eastAsia="Aptos"/>
          <w:sz w:val="18"/>
        </w:rPr>
        <w:t>1. Purpose, Authority Structure and Precedence</w:t>
      </w:r>
    </w:p>
    <w:p>
      <w:pPr>
        <w:spacing w:after="30"/>
      </w:pPr>
      <w:r>
        <w:rPr>
          <w:rFonts w:ascii="Aptos" w:hAnsi="Aptos" w:eastAsia="Aptos"/>
          <w:sz w:val="18"/>
        </w:rPr>
        <w:t>2. Authority Level Definitions</w:t>
      </w:r>
    </w:p>
    <w:p>
      <w:pPr>
        <w:spacing w:after="30"/>
      </w:pPr>
      <w:r>
        <w:rPr>
          <w:rFonts w:ascii="Aptos" w:hAnsi="Aptos" w:eastAsia="Aptos"/>
          <w:sz w:val="18"/>
        </w:rPr>
        <w:t>3. General Retail Monetary Authority</w:t>
      </w:r>
    </w:p>
    <w:p>
      <w:pPr>
        <w:spacing w:after="30"/>
      </w:pPr>
      <w:r>
        <w:rPr>
          <w:rFonts w:ascii="Aptos" w:hAnsi="Aptos" w:eastAsia="Aptos"/>
          <w:sz w:val="18"/>
        </w:rPr>
        <w:t>4. Personal Loan Authority</w:t>
      </w:r>
    </w:p>
    <w:p>
      <w:pPr>
        <w:spacing w:after="30"/>
      </w:pPr>
      <w:r>
        <w:rPr>
          <w:rFonts w:ascii="Aptos" w:hAnsi="Aptos" w:eastAsia="Aptos"/>
          <w:sz w:val="18"/>
        </w:rPr>
        <w:t>5. Vehicle Finance Authority</w:t>
      </w:r>
    </w:p>
    <w:p>
      <w:pPr>
        <w:spacing w:after="30"/>
      </w:pPr>
      <w:r>
        <w:rPr>
          <w:rFonts w:ascii="Aptos" w:hAnsi="Aptos" w:eastAsia="Aptos"/>
          <w:sz w:val="18"/>
        </w:rPr>
        <w:t>6. SME and Secured-Lending Authority</w:t>
      </w:r>
    </w:p>
    <w:p>
      <w:pPr>
        <w:spacing w:after="30"/>
      </w:pPr>
      <w:r>
        <w:rPr>
          <w:rFonts w:ascii="Aptos" w:hAnsi="Aptos" w:eastAsia="Aptos"/>
          <w:sz w:val="18"/>
        </w:rPr>
        <w:t>7. Risk-Grade Restrictions</w:t>
      </w:r>
    </w:p>
    <w:p>
      <w:pPr>
        <w:spacing w:after="30"/>
      </w:pPr>
      <w:r>
        <w:rPr>
          <w:rFonts w:ascii="Aptos" w:hAnsi="Aptos" w:eastAsia="Aptos"/>
          <w:sz w:val="18"/>
        </w:rPr>
        <w:t>8. Exception Authority</w:t>
      </w:r>
    </w:p>
    <w:p>
      <w:pPr>
        <w:spacing w:after="30"/>
      </w:pPr>
      <w:r>
        <w:rPr>
          <w:rFonts w:ascii="Aptos" w:hAnsi="Aptos" w:eastAsia="Aptos"/>
          <w:sz w:val="18"/>
        </w:rPr>
        <w:t>9. Dual Approval and Independent Concurrence</w:t>
      </w:r>
    </w:p>
    <w:p>
      <w:pPr>
        <w:spacing w:after="30"/>
      </w:pPr>
      <w:r>
        <w:rPr>
          <w:rFonts w:ascii="Aptos" w:hAnsi="Aptos" w:eastAsia="Aptos"/>
          <w:sz w:val="18"/>
        </w:rPr>
        <w:t>10. Temporary Delegation and Acting Authority</w:t>
      </w:r>
    </w:p>
    <w:p>
      <w:pPr>
        <w:spacing w:after="30"/>
      </w:pPr>
      <w:r>
        <w:rPr>
          <w:rFonts w:ascii="Aptos" w:hAnsi="Aptos" w:eastAsia="Aptos"/>
          <w:sz w:val="18"/>
        </w:rPr>
        <w:t>11. Conflicts of Interest and Self-Approval Restrictions</w:t>
      </w:r>
    </w:p>
    <w:p>
      <w:pPr>
        <w:spacing w:after="30"/>
      </w:pPr>
      <w:r>
        <w:rPr>
          <w:rFonts w:ascii="Aptos" w:hAnsi="Aptos" w:eastAsia="Aptos"/>
          <w:sz w:val="18"/>
        </w:rPr>
        <w:t>12. System Entitlements, Maker-Checker and Authority Administration</w:t>
      </w:r>
    </w:p>
    <w:p>
      <w:pPr>
        <w:spacing w:after="30"/>
      </w:pPr>
      <w:r>
        <w:rPr>
          <w:rFonts w:ascii="Aptos" w:hAnsi="Aptos" w:eastAsia="Aptos"/>
          <w:sz w:val="18"/>
        </w:rPr>
        <w:t>13. Committee and Reserved Matters</w:t>
      </w:r>
    </w:p>
    <w:p>
      <w:pPr>
        <w:spacing w:after="30"/>
      </w:pPr>
      <w:r>
        <w:rPr>
          <w:rFonts w:ascii="Aptos" w:hAnsi="Aptos" w:eastAsia="Aptos"/>
          <w:sz w:val="18"/>
        </w:rPr>
        <w:t>14. Authority Reduction, Suspension and Historical Changes</w:t>
      </w:r>
    </w:p>
    <w:p>
      <w:pPr>
        <w:spacing w:after="30"/>
      </w:pPr>
      <w:r>
        <w:rPr>
          <w:rFonts w:ascii="Aptos" w:hAnsi="Aptos" w:eastAsia="Aptos"/>
          <w:sz w:val="18"/>
        </w:rPr>
        <w:t>Appendix A. Consolidated Monetary Authority Matrix</w:t>
      </w:r>
    </w:p>
    <w:p>
      <w:pPr>
        <w:spacing w:after="30"/>
      </w:pPr>
      <w:r>
        <w:rPr>
          <w:rFonts w:ascii="Aptos" w:hAnsi="Aptos" w:eastAsia="Aptos"/>
          <w:sz w:val="18"/>
        </w:rPr>
        <w:t>Appendix B. Exception Rights Matrix</w:t>
      </w:r>
    </w:p>
    <w:p>
      <w:pPr>
        <w:spacing w:after="30"/>
      </w:pPr>
      <w:r>
        <w:rPr>
          <w:rFonts w:ascii="Aptos" w:hAnsi="Aptos" w:eastAsia="Aptos"/>
          <w:sz w:val="18"/>
        </w:rPr>
        <w:t>Appendix C. Approval Examples</w:t>
      </w:r>
    </w:p>
    <w:p>
      <w:pPr>
        <w:spacing w:after="30"/>
      </w:pPr>
      <w:r>
        <w:rPr>
          <w:rFonts w:ascii="Aptos" w:hAnsi="Aptos" w:eastAsia="Aptos"/>
          <w:sz w:val="18"/>
        </w:rPr>
        <w:t>Appendix D. Authority Administration Checklist</w:t>
      </w:r>
    </w:p>
    <w:p/>
    <w:p>
      <w:pPr>
        <w:pStyle w:val="ControlNote"/>
      </w:pPr>
      <w:r>
        <w:t>Section numbering in this document is authoritative. References to other Northstar documents are subject to the version and effective-date rules stated in the referenced document.</w:t>
      </w:r>
    </w:p>
    <w:p>
      <w:r>
        <w:br w:type="page"/>
      </w:r>
    </w:p>
    <w:p>
      <w:pPr>
        <w:pStyle w:val="Heading1"/>
      </w:pPr>
      <w:r>
        <w:t>1. Purpose, Authority Structure and Precedence</w:t>
      </w:r>
    </w:p>
    <w:p>
      <w:pPr>
        <w:spacing w:after="80"/>
        <w:keepLines/>
      </w:pPr>
      <w:r>
        <w:t>This Schedule defines the maximum credit-decision authority assigned to designated Northstar roles. It must be read with the governing policy, product procedure and exception requirements; the lowest applicable authority limit governs.</w:t>
      </w:r>
    </w:p>
    <w:p>
      <w:pPr>
        <w:spacing w:after="80"/>
        <w:keepLines/>
      </w:pPr>
      <w:r>
        <w:t>Authority administration treats the controlled schedule as the source of decision rights; workflow permissions are supporting evidence only.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Authority is determined by product, exposure amount, risk grade, exception class and any specific restriction attached to the role.</w:t>
      </w:r>
    </w:p>
    <w:p>
      <w:pPr>
        <w:spacing w:after="46"/>
        <w:ind w:left="259" w:hanging="173"/>
      </w:pPr>
      <w:r>
        <w:rPr>
          <w:rFonts w:ascii="Aptos" w:hAnsi="Aptos" w:eastAsia="Aptos"/>
          <w:b/>
          <w:color w:val="2F5597"/>
          <w:sz w:val="18"/>
        </w:rPr>
        <w:t xml:space="preserve">• </w:t>
      </w:r>
      <w:r>
        <w:rPr>
          <w:rFonts w:ascii="Aptos" w:hAnsi="Aptos" w:eastAsia="Aptos"/>
          <w:sz w:val="18"/>
        </w:rPr>
        <w:t>A monetary limit does not authorize a policy exception unless exception rights are separately stated.</w:t>
      </w:r>
    </w:p>
    <w:p>
      <w:pPr>
        <w:spacing w:after="46"/>
        <w:ind w:left="259" w:hanging="173"/>
      </w:pPr>
      <w:r>
        <w:rPr>
          <w:rFonts w:ascii="Aptos" w:hAnsi="Aptos" w:eastAsia="Aptos"/>
          <w:b/>
          <w:color w:val="2F5597"/>
          <w:sz w:val="18"/>
        </w:rPr>
        <w:t xml:space="preserve">• </w:t>
      </w:r>
      <w:r>
        <w:rPr>
          <w:rFonts w:ascii="Aptos" w:hAnsi="Aptos" w:eastAsia="Aptos"/>
          <w:sz w:val="18"/>
        </w:rPr>
        <w:t>A product-specific limit may be lower than the general retail limit and shall prevail for that product.</w:t>
      </w:r>
    </w:p>
    <w:p>
      <w:pPr>
        <w:spacing w:after="46"/>
        <w:ind w:left="259" w:hanging="173"/>
      </w:pPr>
      <w:r>
        <w:rPr>
          <w:rFonts w:ascii="Aptos" w:hAnsi="Aptos" w:eastAsia="Aptos"/>
          <w:b/>
          <w:color w:val="2F5597"/>
          <w:sz w:val="18"/>
        </w:rPr>
        <w:t xml:space="preserve">• </w:t>
      </w:r>
      <w:r>
        <w:rPr>
          <w:rFonts w:ascii="Aptos" w:hAnsi="Aptos" w:eastAsia="Aptos"/>
          <w:sz w:val="18"/>
        </w:rPr>
        <w:t>Authority cannot be increased by splitting a transaction, staging drawdowns or booking connected exposures separately.</w:t>
      </w:r>
    </w:p>
    <w:p>
      <w:pPr>
        <w:spacing w:after="46"/>
        <w:ind w:left="259" w:hanging="173"/>
      </w:pPr>
      <w:r>
        <w:rPr>
          <w:rFonts w:ascii="Aptos" w:hAnsi="Aptos" w:eastAsia="Aptos"/>
          <w:b/>
          <w:color w:val="2F5597"/>
          <w:sz w:val="18"/>
        </w:rPr>
        <w:t xml:space="preserve">• </w:t>
      </w:r>
      <w:r>
        <w:rPr>
          <w:rFonts w:ascii="Aptos" w:hAnsi="Aptos" w:eastAsia="Aptos"/>
          <w:sz w:val="18"/>
        </w:rPr>
        <w:t>Where this Schedule conflicts with an older department memo, this controlled Schedule prevails unless a later approved product document is explicitly more restrictive.</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Current authority schedule; role assignment; decision record; effective-date evidence.</w:t>
      </w:r>
    </w:p>
    <w:p>
      <w:pPr>
        <w:pStyle w:val="Heading1"/>
      </w:pPr>
      <w:r>
        <w:t>2. Authority Level Definitions</w:t>
      </w:r>
    </w:p>
    <w:p>
      <w:pPr>
        <w:spacing w:after="80"/>
        <w:keepLines/>
      </w:pPr>
      <w:r>
        <w:t>Northstar uses authority codes CA1 through CA6, with committees used for exposures or exceptions beyond individual discretion. Titles are indicative; the controlled role mapping determines actual authority.</w:t>
      </w:r>
    </w:p>
    <w:p>
      <w:pPr>
        <w:spacing w:after="80"/>
        <w:keepLines/>
      </w:pPr>
      <w:r>
        <w:t>Authority administration treats the controlled schedule as the source of decision rights; workflow permissions are supporting evidence only.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CA1: Credit Officer / equivalent first-line credit approver.</w:t>
      </w:r>
    </w:p>
    <w:p>
      <w:pPr>
        <w:spacing w:after="46"/>
        <w:ind w:left="259" w:hanging="173"/>
      </w:pPr>
      <w:r>
        <w:rPr>
          <w:rFonts w:ascii="Aptos" w:hAnsi="Aptos" w:eastAsia="Aptos"/>
          <w:b/>
          <w:color w:val="2F5597"/>
          <w:sz w:val="18"/>
        </w:rPr>
        <w:t xml:space="preserve">• </w:t>
      </w:r>
      <w:r>
        <w:rPr>
          <w:rFonts w:ascii="Aptos" w:hAnsi="Aptos" w:eastAsia="Aptos"/>
          <w:sz w:val="18"/>
        </w:rPr>
        <w:t>CA2: Senior Credit Officer / Credit Manager.</w:t>
      </w:r>
    </w:p>
    <w:p>
      <w:pPr>
        <w:spacing w:after="46"/>
        <w:ind w:left="259" w:hanging="173"/>
      </w:pPr>
      <w:r>
        <w:rPr>
          <w:rFonts w:ascii="Aptos" w:hAnsi="Aptos" w:eastAsia="Aptos"/>
          <w:b/>
          <w:color w:val="2F5597"/>
          <w:sz w:val="18"/>
        </w:rPr>
        <w:t xml:space="preserve">• </w:t>
      </w:r>
      <w:r>
        <w:rPr>
          <w:rFonts w:ascii="Aptos" w:hAnsi="Aptos" w:eastAsia="Aptos"/>
          <w:sz w:val="18"/>
        </w:rPr>
        <w:t>CA3: Regional Credit Manager or designated senior underwriting manager.</w:t>
      </w:r>
    </w:p>
    <w:p>
      <w:pPr>
        <w:spacing w:after="46"/>
        <w:ind w:left="259" w:hanging="173"/>
      </w:pPr>
      <w:r>
        <w:rPr>
          <w:rFonts w:ascii="Aptos" w:hAnsi="Aptos" w:eastAsia="Aptos"/>
          <w:b/>
          <w:color w:val="2F5597"/>
          <w:sz w:val="18"/>
        </w:rPr>
        <w:t xml:space="preserve">• </w:t>
      </w:r>
      <w:r>
        <w:rPr>
          <w:rFonts w:ascii="Aptos" w:hAnsi="Aptos" w:eastAsia="Aptos"/>
          <w:sz w:val="18"/>
        </w:rPr>
        <w:t>CA4: Senior Credit Manager / national product credit authority.</w:t>
      </w:r>
    </w:p>
    <w:p>
      <w:pPr>
        <w:spacing w:after="46"/>
        <w:ind w:left="259" w:hanging="173"/>
      </w:pPr>
      <w:r>
        <w:rPr>
          <w:rFonts w:ascii="Aptos" w:hAnsi="Aptos" w:eastAsia="Aptos"/>
          <w:b/>
          <w:color w:val="2F5597"/>
          <w:sz w:val="18"/>
        </w:rPr>
        <w:t xml:space="preserve">• </w:t>
      </w:r>
      <w:r>
        <w:rPr>
          <w:rFonts w:ascii="Aptos" w:hAnsi="Aptos" w:eastAsia="Aptos"/>
          <w:sz w:val="18"/>
        </w:rPr>
        <w:t>CA5: Head of Credit Risk or delegated equivalent.</w:t>
      </w:r>
    </w:p>
    <w:p>
      <w:pPr>
        <w:spacing w:after="46"/>
        <w:ind w:left="259" w:hanging="173"/>
      </w:pPr>
      <w:r>
        <w:rPr>
          <w:rFonts w:ascii="Aptos" w:hAnsi="Aptos" w:eastAsia="Aptos"/>
          <w:b/>
          <w:color w:val="2F5597"/>
          <w:sz w:val="18"/>
        </w:rPr>
        <w:t xml:space="preserve">• </w:t>
      </w:r>
      <w:r>
        <w:rPr>
          <w:rFonts w:ascii="Aptos" w:hAnsi="Aptos" w:eastAsia="Aptos"/>
          <w:sz w:val="18"/>
        </w:rPr>
        <w:t>CA6: Chief Risk Officer, subject to committee matters reserved above individual authority.</w:t>
      </w:r>
    </w:p>
    <w:p>
      <w:pPr>
        <w:spacing w:after="46"/>
        <w:ind w:left="259" w:hanging="173"/>
      </w:pPr>
      <w:r>
        <w:rPr>
          <w:rFonts w:ascii="Aptos" w:hAnsi="Aptos" w:eastAsia="Aptos"/>
          <w:b/>
          <w:color w:val="2F5597"/>
          <w:sz w:val="18"/>
        </w:rPr>
        <w:t xml:space="preserve">• </w:t>
      </w:r>
      <w:r>
        <w:rPr>
          <w:rFonts w:ascii="Aptos" w:hAnsi="Aptos" w:eastAsia="Aptos"/>
          <w:sz w:val="18"/>
        </w:rPr>
        <w:t>Committee approval is required where a reserved matter, connected exposure or material exception exceeds individual discretion.</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Role-to-code mapping; HR role record; temporary-delegation record.</w:t>
      </w:r>
    </w:p>
    <w:p>
      <w:r>
        <w:br w:type="page"/>
      </w:r>
    </w:p>
    <w:p>
      <w:pPr>
        <w:pStyle w:val="Heading1"/>
      </w:pPr>
      <w:r>
        <w:t>3. General Retail Monetary Authority</w:t>
      </w:r>
    </w:p>
    <w:p>
      <w:pPr>
        <w:spacing w:after="80"/>
        <w:keepLines/>
      </w:pPr>
      <w:r>
        <w:t>The general retail limits are the upper bounds for standard transactions where no lower product limit, risk-grade restriction or exception requirement applies.</w:t>
      </w:r>
    </w:p>
    <w:p>
      <w:pPr>
        <w:spacing w:after="80"/>
        <w:keepLines/>
      </w:pPr>
      <w:r>
        <w:t>Authority administration treats the controlled schedule as the source of decision rights; workflow permissions are supporting evidence only.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CA1 general retail limit is ₹10 lakh.</w:t>
      </w:r>
    </w:p>
    <w:p>
      <w:pPr>
        <w:spacing w:after="46"/>
        <w:ind w:left="259" w:hanging="173"/>
      </w:pPr>
      <w:r>
        <w:rPr>
          <w:rFonts w:ascii="Aptos" w:hAnsi="Aptos" w:eastAsia="Aptos"/>
          <w:b/>
          <w:color w:val="2F5597"/>
          <w:sz w:val="18"/>
        </w:rPr>
        <w:t xml:space="preserve">• </w:t>
      </w:r>
      <w:r>
        <w:rPr>
          <w:rFonts w:ascii="Aptos" w:hAnsi="Aptos" w:eastAsia="Aptos"/>
          <w:sz w:val="18"/>
        </w:rPr>
        <w:t>CA2 general retail limit is ₹20 lakh.</w:t>
      </w:r>
    </w:p>
    <w:p>
      <w:pPr>
        <w:spacing w:after="46"/>
        <w:ind w:left="259" w:hanging="173"/>
      </w:pPr>
      <w:r>
        <w:rPr>
          <w:rFonts w:ascii="Aptos" w:hAnsi="Aptos" w:eastAsia="Aptos"/>
          <w:b/>
          <w:color w:val="2F5597"/>
          <w:sz w:val="18"/>
        </w:rPr>
        <w:t xml:space="preserve">• </w:t>
      </w:r>
      <w:r>
        <w:rPr>
          <w:rFonts w:ascii="Aptos" w:hAnsi="Aptos" w:eastAsia="Aptos"/>
          <w:sz w:val="18"/>
        </w:rPr>
        <w:t>CA3 general retail limit is ₹35 lakh.</w:t>
      </w:r>
    </w:p>
    <w:p>
      <w:pPr>
        <w:spacing w:after="46"/>
        <w:ind w:left="259" w:hanging="173"/>
      </w:pPr>
      <w:r>
        <w:rPr>
          <w:rFonts w:ascii="Aptos" w:hAnsi="Aptos" w:eastAsia="Aptos"/>
          <w:b/>
          <w:color w:val="2F5597"/>
          <w:sz w:val="18"/>
        </w:rPr>
        <w:t xml:space="preserve">• </w:t>
      </w:r>
      <w:r>
        <w:rPr>
          <w:rFonts w:ascii="Aptos" w:hAnsi="Aptos" w:eastAsia="Aptos"/>
          <w:sz w:val="18"/>
        </w:rPr>
        <w:t>CA4 general retail limit is ₹50 lakh.</w:t>
      </w:r>
    </w:p>
    <w:p>
      <w:pPr>
        <w:spacing w:after="46"/>
        <w:ind w:left="259" w:hanging="173"/>
      </w:pPr>
      <w:r>
        <w:rPr>
          <w:rFonts w:ascii="Aptos" w:hAnsi="Aptos" w:eastAsia="Aptos"/>
          <w:b/>
          <w:color w:val="2F5597"/>
          <w:sz w:val="18"/>
        </w:rPr>
        <w:t xml:space="preserve">• </w:t>
      </w:r>
      <w:r>
        <w:rPr>
          <w:rFonts w:ascii="Aptos" w:hAnsi="Aptos" w:eastAsia="Aptos"/>
          <w:sz w:val="18"/>
        </w:rPr>
        <w:t>CA5 may approve aggregate retail exposure up to ₹1 crore, subject to product and concentration rules.</w:t>
      </w:r>
    </w:p>
    <w:p>
      <w:pPr>
        <w:spacing w:after="46"/>
        <w:ind w:left="259" w:hanging="173"/>
      </w:pPr>
      <w:r>
        <w:rPr>
          <w:rFonts w:ascii="Aptos" w:hAnsi="Aptos" w:eastAsia="Aptos"/>
          <w:b/>
          <w:color w:val="2F5597"/>
          <w:sz w:val="18"/>
        </w:rPr>
        <w:t xml:space="preserve">• </w:t>
      </w:r>
      <w:r>
        <w:rPr>
          <w:rFonts w:ascii="Aptos" w:hAnsi="Aptos" w:eastAsia="Aptos"/>
          <w:sz w:val="18"/>
        </w:rPr>
        <w:t>CA6 may approve within the individual authority reserved by the Board Risk Committee; cases above that range follow committee governance.</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Approval amount; aggregate exposure check; authority code; decision timestamp.</w:t>
      </w:r>
    </w:p>
    <w:p>
      <w:pPr>
        <w:pStyle w:val="Heading1"/>
      </w:pPr>
      <w:r>
        <w:t>4. Personal Loan Authority</w:t>
      </w:r>
    </w:p>
    <w:p>
      <w:pPr>
        <w:spacing w:after="80"/>
        <w:keepLines/>
      </w:pPr>
      <w:r>
        <w:t>Standard personal loans retain the general CA1 and CA2 retail limits but remain subject to the product cap and any elevated authority triggered by risk or exception status.</w:t>
      </w:r>
    </w:p>
    <w:p>
      <w:pPr>
        <w:spacing w:after="80"/>
        <w:keepLines/>
      </w:pPr>
      <w:r>
        <w:t>Authority administration treats the controlled schedule as the source of decision rights; workflow permissions are supporting evidence only.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CA1 may approve standard personal loans up to ₹10 lakh.</w:t>
      </w:r>
    </w:p>
    <w:p>
      <w:pPr>
        <w:spacing w:after="46"/>
        <w:ind w:left="259" w:hanging="173"/>
      </w:pPr>
      <w:r>
        <w:rPr>
          <w:rFonts w:ascii="Aptos" w:hAnsi="Aptos" w:eastAsia="Aptos"/>
          <w:b/>
          <w:color w:val="2F5597"/>
          <w:sz w:val="18"/>
        </w:rPr>
        <w:t xml:space="preserve">• </w:t>
      </w:r>
      <w:r>
        <w:rPr>
          <w:rFonts w:ascii="Aptos" w:hAnsi="Aptos" w:eastAsia="Aptos"/>
          <w:sz w:val="18"/>
        </w:rPr>
        <w:t>CA2 may approve standard personal loans up to the standard product cap of ₹20 lakh.</w:t>
      </w:r>
    </w:p>
    <w:p>
      <w:pPr>
        <w:spacing w:after="46"/>
        <w:ind w:left="259" w:hanging="173"/>
      </w:pPr>
      <w:r>
        <w:rPr>
          <w:rFonts w:ascii="Aptos" w:hAnsi="Aptos" w:eastAsia="Aptos"/>
          <w:b/>
          <w:color w:val="2F5597"/>
          <w:sz w:val="18"/>
        </w:rPr>
        <w:t xml:space="preserve">• </w:t>
      </w:r>
      <w:r>
        <w:rPr>
          <w:rFonts w:ascii="Aptos" w:hAnsi="Aptos" w:eastAsia="Aptos"/>
          <w:sz w:val="18"/>
        </w:rPr>
        <w:t>CA3 and above may approve within their general monetary limit only where a separately approved personal-loan program permits an amount above ₹20 lakh; the standard product does not.</w:t>
      </w:r>
    </w:p>
    <w:p>
      <w:pPr>
        <w:spacing w:after="46"/>
        <w:ind w:left="259" w:hanging="173"/>
      </w:pPr>
      <w:r>
        <w:rPr>
          <w:rFonts w:ascii="Aptos" w:hAnsi="Aptos" w:eastAsia="Aptos"/>
          <w:b/>
          <w:color w:val="2F5597"/>
          <w:sz w:val="18"/>
        </w:rPr>
        <w:t xml:space="preserve">• </w:t>
      </w:r>
      <w:r>
        <w:rPr>
          <w:rFonts w:ascii="Aptos" w:hAnsi="Aptos" w:eastAsia="Aptos"/>
          <w:sz w:val="18"/>
        </w:rPr>
        <w:t>DTI exceptions, low-score exceptions and Risk Grade 4 cases may require a higher authority than the amount alone.</w:t>
      </w:r>
    </w:p>
    <w:p>
      <w:pPr>
        <w:spacing w:after="46"/>
        <w:ind w:left="259" w:hanging="173"/>
      </w:pPr>
      <w:r>
        <w:rPr>
          <w:rFonts w:ascii="Aptos" w:hAnsi="Aptos" w:eastAsia="Aptos"/>
          <w:b/>
          <w:color w:val="2F5597"/>
          <w:sz w:val="18"/>
        </w:rPr>
        <w:t xml:space="preserve">• </w:t>
      </w:r>
      <w:r>
        <w:rPr>
          <w:rFonts w:ascii="Aptos" w:hAnsi="Aptos" w:eastAsia="Aptos"/>
          <w:sz w:val="18"/>
        </w:rPr>
        <w:t>A top-up shall be assessed on aggregate exposure after the proposed increase, not only the incremental amount.</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Product code; requested amount; aggregate exposure; exception/risk flag.</w:t>
      </w:r>
    </w:p>
    <w:p>
      <w:r>
        <w:br w:type="page"/>
      </w:r>
    </w:p>
    <w:p>
      <w:pPr>
        <w:pStyle w:val="Heading1"/>
      </w:pPr>
      <w:r>
        <w:t>5. Vehicle Finance Authority</w:t>
      </w:r>
    </w:p>
    <w:p>
      <w:pPr>
        <w:spacing w:after="80"/>
        <w:keepLines/>
      </w:pPr>
      <w:r>
        <w:t>Vehicle finance uses lower role limits at junior levels because collateral value, dealer concentration and asset fraud introduce product-specific controls.</w:t>
      </w:r>
    </w:p>
    <w:p>
      <w:pPr>
        <w:spacing w:after="80"/>
        <w:keepLines/>
      </w:pPr>
      <w:r>
        <w:t>Authority administration treats the controlled schedule as the source of decision rights; workflow permissions are supporting evidence only.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CA1 may approve new-vehicle finance up to ₹8 lakh and used-vehicle finance up to ₹6 lakh.</w:t>
      </w:r>
    </w:p>
    <w:p>
      <w:pPr>
        <w:spacing w:after="46"/>
        <w:ind w:left="259" w:hanging="173"/>
      </w:pPr>
      <w:r>
        <w:rPr>
          <w:rFonts w:ascii="Aptos" w:hAnsi="Aptos" w:eastAsia="Aptos"/>
          <w:b/>
          <w:color w:val="2F5597"/>
          <w:sz w:val="18"/>
        </w:rPr>
        <w:t xml:space="preserve">• </w:t>
      </w:r>
      <w:r>
        <w:rPr>
          <w:rFonts w:ascii="Aptos" w:hAnsi="Aptos" w:eastAsia="Aptos"/>
          <w:sz w:val="18"/>
        </w:rPr>
        <w:t>CA2 may approve new-vehicle finance up to ₹15 lakh and used-vehicle finance up to ₹12 lakh.</w:t>
      </w:r>
    </w:p>
    <w:p>
      <w:pPr>
        <w:spacing w:after="46"/>
        <w:ind w:left="259" w:hanging="173"/>
      </w:pPr>
      <w:r>
        <w:rPr>
          <w:rFonts w:ascii="Aptos" w:hAnsi="Aptos" w:eastAsia="Aptos"/>
          <w:b/>
          <w:color w:val="2F5597"/>
          <w:sz w:val="18"/>
        </w:rPr>
        <w:t xml:space="preserve">• </w:t>
      </w:r>
      <w:r>
        <w:rPr>
          <w:rFonts w:ascii="Aptos" w:hAnsi="Aptos" w:eastAsia="Aptos"/>
          <w:sz w:val="18"/>
        </w:rPr>
        <w:t>CA3 may approve vehicle finance up to ₹25 lakh, subject to LTV and collateral controls.</w:t>
      </w:r>
    </w:p>
    <w:p>
      <w:pPr>
        <w:spacing w:after="46"/>
        <w:ind w:left="259" w:hanging="173"/>
      </w:pPr>
      <w:r>
        <w:rPr>
          <w:rFonts w:ascii="Aptos" w:hAnsi="Aptos" w:eastAsia="Aptos"/>
          <w:b/>
          <w:color w:val="2F5597"/>
          <w:sz w:val="18"/>
        </w:rPr>
        <w:t xml:space="preserve">• </w:t>
      </w:r>
      <w:r>
        <w:rPr>
          <w:rFonts w:ascii="Aptos" w:hAnsi="Aptos" w:eastAsia="Aptos"/>
          <w:sz w:val="18"/>
        </w:rPr>
        <w:t>Any amount above ₹25 lakh requires CA4 or higher even where the general retail schedule would allow more at CA3.</w:t>
      </w:r>
    </w:p>
    <w:p>
      <w:pPr>
        <w:spacing w:after="46"/>
        <w:ind w:left="259" w:hanging="173"/>
      </w:pPr>
      <w:r>
        <w:rPr>
          <w:rFonts w:ascii="Aptos" w:hAnsi="Aptos" w:eastAsia="Aptos"/>
          <w:b/>
          <w:color w:val="2F5597"/>
          <w:sz w:val="18"/>
        </w:rPr>
        <w:t xml:space="preserve">• </w:t>
      </w:r>
      <w:r>
        <w:rPr>
          <w:rFonts w:ascii="Aptos" w:hAnsi="Aptos" w:eastAsia="Aptos"/>
          <w:sz w:val="18"/>
        </w:rPr>
        <w:t>Valuation, dealer and collateral exceptions remain subject to separate exception authority.</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Vehicle type; eligible value; LTV; amount; approver level.</w:t>
      </w:r>
    </w:p>
    <w:p>
      <w:pPr>
        <w:pStyle w:val="Heading1"/>
      </w:pPr>
      <w:r>
        <w:t>6. SME and Secured-Lending Authority</w:t>
      </w:r>
    </w:p>
    <w:p>
      <w:pPr>
        <w:spacing w:after="80"/>
        <w:keepLines/>
      </w:pPr>
      <w:r>
        <w:t>SME and secured-lending authority considers connected exposure, collateral complexity and business leverage in addition to the nominal facility amount.</w:t>
      </w:r>
    </w:p>
    <w:p>
      <w:pPr>
        <w:spacing w:after="80"/>
        <w:keepLines/>
      </w:pPr>
      <w:r>
        <w:t>Authority administration treats the controlled schedule as the source of decision rights; workflow permissions are supporting evidence only.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CA1 may approve SME lending up to ₹5 lakh only where the product permits individual CA1 approval.</w:t>
      </w:r>
    </w:p>
    <w:p>
      <w:pPr>
        <w:spacing w:after="46"/>
        <w:ind w:left="259" w:hanging="173"/>
      </w:pPr>
      <w:r>
        <w:rPr>
          <w:rFonts w:ascii="Aptos" w:hAnsi="Aptos" w:eastAsia="Aptos"/>
          <w:b/>
          <w:color w:val="2F5597"/>
          <w:sz w:val="18"/>
        </w:rPr>
        <w:t xml:space="preserve">• </w:t>
      </w:r>
      <w:r>
        <w:rPr>
          <w:rFonts w:ascii="Aptos" w:hAnsi="Aptos" w:eastAsia="Aptos"/>
          <w:sz w:val="18"/>
        </w:rPr>
        <w:t>CA2 may approve SME exposure up to ₹15 lakh; CA3 up to ₹50 lakh; CA4 up to ₹1.5 crore.</w:t>
      </w:r>
    </w:p>
    <w:p>
      <w:pPr>
        <w:spacing w:after="46"/>
        <w:ind w:left="259" w:hanging="173"/>
      </w:pPr>
      <w:r>
        <w:rPr>
          <w:rFonts w:ascii="Aptos" w:hAnsi="Aptos" w:eastAsia="Aptos"/>
          <w:b/>
          <w:color w:val="2F5597"/>
          <w:sz w:val="18"/>
        </w:rPr>
        <w:t xml:space="preserve">• </w:t>
      </w:r>
      <w:r>
        <w:rPr>
          <w:rFonts w:ascii="Aptos" w:hAnsi="Aptos" w:eastAsia="Aptos"/>
          <w:sz w:val="18"/>
        </w:rPr>
        <w:t>Aggregate connected-group exposure above ₹5 crore is reserved for Credit Risk Committee consideration under CRP-001.</w:t>
      </w:r>
    </w:p>
    <w:p>
      <w:pPr>
        <w:spacing w:after="46"/>
        <w:ind w:left="259" w:hanging="173"/>
      </w:pPr>
      <w:r>
        <w:rPr>
          <w:rFonts w:ascii="Aptos" w:hAnsi="Aptos" w:eastAsia="Aptos"/>
          <w:b/>
          <w:color w:val="2F5597"/>
          <w:sz w:val="18"/>
        </w:rPr>
        <w:t xml:space="preserve">• </w:t>
      </w:r>
      <w:r>
        <w:rPr>
          <w:rFonts w:ascii="Aptos" w:hAnsi="Aptos" w:eastAsia="Aptos"/>
          <w:sz w:val="18"/>
        </w:rPr>
        <w:t>Secured retail cases within monetary authority remain subject to LTV, valuation and legal-document controls.</w:t>
      </w:r>
    </w:p>
    <w:p>
      <w:pPr>
        <w:spacing w:after="46"/>
        <w:ind w:left="259" w:hanging="173"/>
      </w:pPr>
      <w:r>
        <w:rPr>
          <w:rFonts w:ascii="Aptos" w:hAnsi="Aptos" w:eastAsia="Aptos"/>
          <w:b/>
          <w:color w:val="2F5597"/>
          <w:sz w:val="18"/>
        </w:rPr>
        <w:t xml:space="preserve">• </w:t>
      </w:r>
      <w:r>
        <w:rPr>
          <w:rFonts w:ascii="Aptos" w:hAnsi="Aptos" w:eastAsia="Aptos"/>
          <w:sz w:val="18"/>
        </w:rPr>
        <w:t>Facilities sharing common beneficial owners shall be aggregated for authority where the SME procedure defines them as connected.</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Connected-group calculation; amount; collateral; authority level; committee reference where applicable.</w:t>
      </w:r>
    </w:p>
    <w:p>
      <w:r>
        <w:br w:type="page"/>
      </w:r>
    </w:p>
    <w:p>
      <w:pPr>
        <w:pStyle w:val="Heading1"/>
      </w:pPr>
      <w:r>
        <w:t>7. Risk-Grade Restrictions</w:t>
      </w:r>
    </w:p>
    <w:p>
      <w:pPr>
        <w:spacing w:after="80"/>
        <w:keepLines/>
      </w:pPr>
      <w:r>
        <w:t>Risk grade can reduce otherwise available monetary authority. These overlays are intended to prevent elevated-risk cases from being approved solely because the amount is small.</w:t>
      </w:r>
    </w:p>
    <w:p>
      <w:pPr>
        <w:spacing w:after="80"/>
        <w:keepLines/>
      </w:pPr>
      <w:r>
        <w:t>Authority administration treats the controlled schedule as the source of decision rights; workflow permissions are supporting evidence only.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Risk Grades 1–3 may follow ordinary monetary authority subject to product criteria.</w:t>
      </w:r>
    </w:p>
    <w:p>
      <w:pPr>
        <w:spacing w:after="46"/>
        <w:ind w:left="259" w:hanging="173"/>
      </w:pPr>
      <w:r>
        <w:rPr>
          <w:rFonts w:ascii="Aptos" w:hAnsi="Aptos" w:eastAsia="Aptos"/>
          <w:b/>
          <w:color w:val="2F5597"/>
          <w:sz w:val="18"/>
        </w:rPr>
        <w:t xml:space="preserve">• </w:t>
      </w:r>
      <w:r>
        <w:rPr>
          <w:rFonts w:ascii="Aptos" w:hAnsi="Aptos" w:eastAsia="Aptos"/>
          <w:sz w:val="18"/>
        </w:rPr>
        <w:t>Risk Grade 4 requires at least CA3 for new standard retail lending and may require CA4 under a product procedure.</w:t>
      </w:r>
    </w:p>
    <w:p>
      <w:pPr>
        <w:spacing w:after="46"/>
        <w:ind w:left="259" w:hanging="173"/>
      </w:pPr>
      <w:r>
        <w:rPr>
          <w:rFonts w:ascii="Aptos" w:hAnsi="Aptos" w:eastAsia="Aptos"/>
          <w:b/>
          <w:color w:val="2F5597"/>
          <w:sz w:val="18"/>
        </w:rPr>
        <w:t xml:space="preserve">• </w:t>
      </w:r>
      <w:r>
        <w:rPr>
          <w:rFonts w:ascii="Aptos" w:hAnsi="Aptos" w:eastAsia="Aptos"/>
          <w:sz w:val="18"/>
        </w:rPr>
        <w:t>Risk Grade 5 is normally ineligible for standard new lending and cannot be approved merely by escalating monetary authority.</w:t>
      </w:r>
    </w:p>
    <w:p>
      <w:pPr>
        <w:spacing w:after="46"/>
        <w:ind w:left="259" w:hanging="173"/>
      </w:pPr>
      <w:r>
        <w:rPr>
          <w:rFonts w:ascii="Aptos" w:hAnsi="Aptos" w:eastAsia="Aptos"/>
          <w:b/>
          <w:color w:val="2F5597"/>
          <w:sz w:val="18"/>
        </w:rPr>
        <w:t xml:space="preserve">• </w:t>
      </w:r>
      <w:r>
        <w:rPr>
          <w:rFonts w:ascii="Aptos" w:hAnsi="Aptos" w:eastAsia="Aptos"/>
          <w:sz w:val="18"/>
        </w:rPr>
        <w:t>A manual downgrade in risk grade that would reduce authority must be applied before approval.</w:t>
      </w:r>
    </w:p>
    <w:p>
      <w:pPr>
        <w:spacing w:after="46"/>
        <w:ind w:left="259" w:hanging="173"/>
      </w:pPr>
      <w:r>
        <w:rPr>
          <w:rFonts w:ascii="Aptos" w:hAnsi="Aptos" w:eastAsia="Aptos"/>
          <w:b/>
          <w:color w:val="2F5597"/>
          <w:sz w:val="18"/>
        </w:rPr>
        <w:t xml:space="preserve">• </w:t>
      </w:r>
      <w:r>
        <w:rPr>
          <w:rFonts w:ascii="Aptos" w:hAnsi="Aptos" w:eastAsia="Aptos"/>
          <w:sz w:val="18"/>
        </w:rPr>
        <w:t>Risk-grade override requires the approval and evidence specified in the relevant underwriting procedure.</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Risk grade; original score outcome; override record; minimum authority check.</w:t>
      </w:r>
    </w:p>
    <w:p>
      <w:pPr>
        <w:pStyle w:val="Heading1"/>
      </w:pPr>
      <w:r>
        <w:t>8. Exception Authority</w:t>
      </w:r>
    </w:p>
    <w:p>
      <w:pPr>
        <w:spacing w:after="80"/>
        <w:keepLines/>
      </w:pPr>
      <w:r>
        <w:t>Exception authority follows CEP-006 and is cumulative with monetary authority. The approver must hold both sufficient amount authority and the required exception right, or the case must follow the specified dual route.</w:t>
      </w:r>
    </w:p>
    <w:p>
      <w:pPr>
        <w:spacing w:after="80"/>
        <w:keepLines/>
      </w:pPr>
      <w:r>
        <w:t>Authority administration treats the controlled schedule as the source of decision rights; workflow permissions are supporting evidence only.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E1 may be approved by CA2 where the underlying product procedure permits that deviation.</w:t>
      </w:r>
    </w:p>
    <w:p>
      <w:pPr>
        <w:spacing w:after="46"/>
        <w:ind w:left="259" w:hanging="173"/>
      </w:pPr>
      <w:r>
        <w:rPr>
          <w:rFonts w:ascii="Aptos" w:hAnsi="Aptos" w:eastAsia="Aptos"/>
          <w:b/>
          <w:color w:val="2F5597"/>
          <w:sz w:val="18"/>
        </w:rPr>
        <w:t xml:space="preserve">• </w:t>
      </w:r>
      <w:r>
        <w:rPr>
          <w:rFonts w:ascii="Aptos" w:hAnsi="Aptos" w:eastAsia="Aptos"/>
          <w:sz w:val="18"/>
        </w:rPr>
        <w:t>E2 normally requires CA3; the personal-loan DTI band 45.01–46.50% is an explicit stricter case requiring CA4.</w:t>
      </w:r>
    </w:p>
    <w:p>
      <w:pPr>
        <w:spacing w:after="46"/>
        <w:ind w:left="259" w:hanging="173"/>
      </w:pPr>
      <w:r>
        <w:rPr>
          <w:rFonts w:ascii="Aptos" w:hAnsi="Aptos" w:eastAsia="Aptos"/>
          <w:b/>
          <w:color w:val="2F5597"/>
          <w:sz w:val="18"/>
        </w:rPr>
        <w:t xml:space="preserve">• </w:t>
      </w:r>
      <w:r>
        <w:rPr>
          <w:rFonts w:ascii="Aptos" w:hAnsi="Aptos" w:eastAsia="Aptos"/>
          <w:sz w:val="18"/>
        </w:rPr>
        <w:t>E3 requires CA4 at minimum and may also require Credit Risk concurrence.</w:t>
      </w:r>
    </w:p>
    <w:p>
      <w:pPr>
        <w:spacing w:after="46"/>
        <w:ind w:left="259" w:hanging="173"/>
      </w:pPr>
      <w:r>
        <w:rPr>
          <w:rFonts w:ascii="Aptos" w:hAnsi="Aptos" w:eastAsia="Aptos"/>
          <w:b/>
          <w:color w:val="2F5597"/>
          <w:sz w:val="18"/>
        </w:rPr>
        <w:t xml:space="preserve">• </w:t>
      </w:r>
      <w:r>
        <w:rPr>
          <w:rFonts w:ascii="Aptos" w:hAnsi="Aptos" w:eastAsia="Aptos"/>
          <w:sz w:val="18"/>
        </w:rPr>
        <w:t>E4 requires CA5, CA6 or committee approval depending on the rule and portfolio significance.</w:t>
      </w:r>
    </w:p>
    <w:p>
      <w:pPr>
        <w:spacing w:after="46"/>
        <w:ind w:left="259" w:hanging="173"/>
      </w:pPr>
      <w:r>
        <w:rPr>
          <w:rFonts w:ascii="Aptos" w:hAnsi="Aptos" w:eastAsia="Aptos"/>
          <w:b/>
          <w:color w:val="2F5597"/>
          <w:sz w:val="18"/>
        </w:rPr>
        <w:t xml:space="preserve">• </w:t>
      </w:r>
      <w:r>
        <w:rPr>
          <w:rFonts w:ascii="Aptos" w:hAnsi="Aptos" w:eastAsia="Aptos"/>
          <w:sz w:val="18"/>
        </w:rPr>
        <w:t>A low-score personal-loan exception for score 620–639 requires CA3 minimum.</w:t>
      </w:r>
    </w:p>
    <w:p>
      <w:pPr>
        <w:spacing w:after="46"/>
        <w:ind w:left="259" w:hanging="173"/>
      </w:pPr>
      <w:r>
        <w:rPr>
          <w:rFonts w:ascii="Aptos" w:hAnsi="Aptos" w:eastAsia="Aptos"/>
          <w:b/>
          <w:color w:val="2F5597"/>
          <w:sz w:val="18"/>
        </w:rPr>
        <w:t xml:space="preserve">• </w:t>
      </w:r>
      <w:r>
        <w:rPr>
          <w:rFonts w:ascii="Aptos" w:hAnsi="Aptos" w:eastAsia="Aptos"/>
          <w:sz w:val="18"/>
        </w:rPr>
        <w:t>No individual authority may waive a rule expressly stated to be non-exceptionable.</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Exception ID; class; specific rule; amount authority; exception authority.</w:t>
      </w:r>
    </w:p>
    <w:p>
      <w:r>
        <w:br w:type="page"/>
      </w:r>
    </w:p>
    <w:p>
      <w:pPr>
        <w:pStyle w:val="Heading1"/>
      </w:pPr>
      <w:r>
        <w:t>9. Dual Approval and Independent Concurrence</w:t>
      </w:r>
    </w:p>
    <w:p>
      <w:pPr>
        <w:spacing w:after="80"/>
        <w:keepLines/>
      </w:pPr>
      <w:r>
        <w:t>Certain decisions require two distinct control actions because the risk being approved is not captured by a single monetary sign-off.</w:t>
      </w:r>
    </w:p>
    <w:p>
      <w:pPr>
        <w:spacing w:after="80"/>
        <w:keepLines/>
      </w:pPr>
      <w:r>
        <w:t>Authority administration treats the controlled schedule as the source of decision rights; workflow permissions are supporting evidence only.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Personal-loan DTI 46.51–48.00% requires CA4 approval plus separate Credit Risk concurrence.</w:t>
      </w:r>
    </w:p>
    <w:p>
      <w:pPr>
        <w:spacing w:after="46"/>
        <w:ind w:left="259" w:hanging="173"/>
      </w:pPr>
      <w:r>
        <w:rPr>
          <w:rFonts w:ascii="Aptos" w:hAnsi="Aptos" w:eastAsia="Aptos"/>
          <w:b/>
          <w:color w:val="2F5597"/>
          <w:sz w:val="18"/>
        </w:rPr>
        <w:t xml:space="preserve">• </w:t>
      </w:r>
      <w:r>
        <w:rPr>
          <w:rFonts w:ascii="Aptos" w:hAnsi="Aptos" w:eastAsia="Aptos"/>
          <w:sz w:val="18"/>
        </w:rPr>
        <w:t>A designated concurrence is not interchangeable with maker-checker operational verification.</w:t>
      </w:r>
    </w:p>
    <w:p>
      <w:pPr>
        <w:spacing w:after="46"/>
        <w:ind w:left="259" w:hanging="173"/>
      </w:pPr>
      <w:r>
        <w:rPr>
          <w:rFonts w:ascii="Aptos" w:hAnsi="Aptos" w:eastAsia="Aptos"/>
          <w:b/>
          <w:color w:val="2F5597"/>
          <w:sz w:val="18"/>
        </w:rPr>
        <w:t xml:space="preserve">• </w:t>
      </w:r>
      <w:r>
        <w:rPr>
          <w:rFonts w:ascii="Aptos" w:hAnsi="Aptos" w:eastAsia="Aptos"/>
          <w:sz w:val="18"/>
        </w:rPr>
        <w:t>Where the same individual occupies two temporary roles, required independence must still be preserved unless an emergency governance decision expressly authorizes otherwise.</w:t>
      </w:r>
    </w:p>
    <w:p>
      <w:pPr>
        <w:spacing w:after="46"/>
        <w:ind w:left="259" w:hanging="173"/>
      </w:pPr>
      <w:r>
        <w:rPr>
          <w:rFonts w:ascii="Aptos" w:hAnsi="Aptos" w:eastAsia="Aptos"/>
          <w:b/>
          <w:color w:val="2F5597"/>
          <w:sz w:val="18"/>
        </w:rPr>
        <w:t xml:space="preserve">• </w:t>
      </w:r>
      <w:r>
        <w:rPr>
          <w:rFonts w:ascii="Aptos" w:hAnsi="Aptos" w:eastAsia="Aptos"/>
          <w:sz w:val="18"/>
        </w:rPr>
        <w:t>Committee secretary acknowledgement is not credit approval.</w:t>
      </w:r>
    </w:p>
    <w:p>
      <w:pPr>
        <w:spacing w:after="46"/>
        <w:ind w:left="259" w:hanging="173"/>
      </w:pPr>
      <w:r>
        <w:rPr>
          <w:rFonts w:ascii="Aptos" w:hAnsi="Aptos" w:eastAsia="Aptos"/>
          <w:b/>
          <w:color w:val="2F5597"/>
          <w:sz w:val="18"/>
        </w:rPr>
        <w:t xml:space="preserve">• </w:t>
      </w:r>
      <w:r>
        <w:rPr>
          <w:rFonts w:ascii="Aptos" w:hAnsi="Aptos" w:eastAsia="Aptos"/>
          <w:sz w:val="18"/>
        </w:rPr>
        <w:t>Both decisions shall be time-stamped and retained before funds are released.</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Primary decision; concurrence; independence check; workflow history.</w:t>
      </w:r>
    </w:p>
    <w:p>
      <w:pPr>
        <w:pStyle w:val="Heading1"/>
      </w:pPr>
      <w:r>
        <w:t>10. Temporary Delegation and Acting Authority</w:t>
      </w:r>
    </w:p>
    <w:p>
      <w:pPr>
        <w:spacing w:after="80"/>
        <w:keepLines/>
      </w:pPr>
      <w:r>
        <w:t>Temporary authority may be granted for leave coverage, vacancy or business continuity but shall be documented, time-limited and no greater than the grantor's own authority.</w:t>
      </w:r>
    </w:p>
    <w:p>
      <w:pPr>
        <w:spacing w:after="80"/>
        <w:keepLines/>
      </w:pPr>
      <w:r>
        <w:t>Authority administration treats the controlled schedule as the source of decision rights; workflow permissions are supporting evidence only.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The grant shall specify role, product, amount, exception rights, start date and end date.</w:t>
      </w:r>
    </w:p>
    <w:p>
      <w:pPr>
        <w:spacing w:after="46"/>
        <w:ind w:left="259" w:hanging="173"/>
      </w:pPr>
      <w:r>
        <w:rPr>
          <w:rFonts w:ascii="Aptos" w:hAnsi="Aptos" w:eastAsia="Aptos"/>
          <w:b/>
          <w:color w:val="2F5597"/>
          <w:sz w:val="18"/>
        </w:rPr>
        <w:t xml:space="preserve">• </w:t>
      </w:r>
      <w:r>
        <w:rPr>
          <w:rFonts w:ascii="Aptos" w:hAnsi="Aptos" w:eastAsia="Aptos"/>
          <w:sz w:val="18"/>
        </w:rPr>
        <w:t>Temporary delegation does not transfer reserved committee powers.</w:t>
      </w:r>
    </w:p>
    <w:p>
      <w:pPr>
        <w:spacing w:after="46"/>
        <w:ind w:left="259" w:hanging="173"/>
      </w:pPr>
      <w:r>
        <w:rPr>
          <w:rFonts w:ascii="Aptos" w:hAnsi="Aptos" w:eastAsia="Aptos"/>
          <w:b/>
          <w:color w:val="2F5597"/>
          <w:sz w:val="18"/>
        </w:rPr>
        <w:t xml:space="preserve">• </w:t>
      </w:r>
      <w:r>
        <w:rPr>
          <w:rFonts w:ascii="Aptos" w:hAnsi="Aptos" w:eastAsia="Aptos"/>
          <w:sz w:val="18"/>
        </w:rPr>
        <w:t>An acting title alone does not create authority until the controlled assignment is effective.</w:t>
      </w:r>
    </w:p>
    <w:p>
      <w:pPr>
        <w:spacing w:after="46"/>
        <w:ind w:left="259" w:hanging="173"/>
      </w:pPr>
      <w:r>
        <w:rPr>
          <w:rFonts w:ascii="Aptos" w:hAnsi="Aptos" w:eastAsia="Aptos"/>
          <w:b/>
          <w:color w:val="2F5597"/>
          <w:sz w:val="18"/>
        </w:rPr>
        <w:t xml:space="preserve">• </w:t>
      </w:r>
      <w:r>
        <w:rPr>
          <w:rFonts w:ascii="Aptos" w:hAnsi="Aptos" w:eastAsia="Aptos"/>
          <w:sz w:val="18"/>
        </w:rPr>
        <w:t>Expired temporary authority shall be removed from systems promptly.</w:t>
      </w:r>
    </w:p>
    <w:p>
      <w:pPr>
        <w:spacing w:after="46"/>
        <w:ind w:left="259" w:hanging="173"/>
      </w:pPr>
      <w:r>
        <w:rPr>
          <w:rFonts w:ascii="Aptos" w:hAnsi="Aptos" w:eastAsia="Aptos"/>
          <w:b/>
          <w:color w:val="2F5597"/>
          <w:sz w:val="18"/>
        </w:rPr>
        <w:t xml:space="preserve">• </w:t>
      </w:r>
      <w:r>
        <w:rPr>
          <w:rFonts w:ascii="Aptos" w:hAnsi="Aptos" w:eastAsia="Aptos"/>
          <w:sz w:val="18"/>
        </w:rPr>
        <w:t>Decisions made after expiry are breaches even if the person previously held valid acting authority.</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Delegation letter; system-access record; effective dates; removal confirmation.</w:t>
      </w:r>
    </w:p>
    <w:p>
      <w:r>
        <w:br w:type="page"/>
      </w:r>
    </w:p>
    <w:p>
      <w:pPr>
        <w:pStyle w:val="Heading1"/>
      </w:pPr>
      <w:r>
        <w:t>11. Conflicts of Interest and Self-Approval Restrictions</w:t>
      </w:r>
    </w:p>
    <w:p>
      <w:pPr>
        <w:spacing w:after="80"/>
        <w:keepLines/>
      </w:pPr>
      <w:r>
        <w:t>Delegated authority is subject to conflict and independence controls. An approver shall not use authority where personal, financial or reporting relationships could compromise objective judgement.</w:t>
      </w:r>
    </w:p>
    <w:p>
      <w:pPr>
        <w:spacing w:after="80"/>
        <w:keepLines/>
      </w:pPr>
      <w:r>
        <w:t>Authority administration treats the controlled schedule as the source of decision rights; workflow permissions are supporting evidence only.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Employees shall not approve their own lending applications or those of closely related parties where the conflict standard requires recusal.</w:t>
      </w:r>
    </w:p>
    <w:p>
      <w:pPr>
        <w:spacing w:after="46"/>
        <w:ind w:left="259" w:hanging="173"/>
      </w:pPr>
      <w:r>
        <w:rPr>
          <w:rFonts w:ascii="Aptos" w:hAnsi="Aptos" w:eastAsia="Aptos"/>
          <w:b/>
          <w:color w:val="2F5597"/>
          <w:sz w:val="18"/>
        </w:rPr>
        <w:t xml:space="preserve">• </w:t>
      </w:r>
      <w:r>
        <w:rPr>
          <w:rFonts w:ascii="Aptos" w:hAnsi="Aptos" w:eastAsia="Aptos"/>
          <w:sz w:val="18"/>
        </w:rPr>
        <w:t>An originator may not perform a required independent credit approval merely because the originator also holds a credit title.</w:t>
      </w:r>
    </w:p>
    <w:p>
      <w:pPr>
        <w:spacing w:after="46"/>
        <w:ind w:left="259" w:hanging="173"/>
      </w:pPr>
      <w:r>
        <w:rPr>
          <w:rFonts w:ascii="Aptos" w:hAnsi="Aptos" w:eastAsia="Aptos"/>
          <w:b/>
          <w:color w:val="2F5597"/>
          <w:sz w:val="18"/>
        </w:rPr>
        <w:t xml:space="preserve">• </w:t>
      </w:r>
      <w:r>
        <w:rPr>
          <w:rFonts w:ascii="Aptos" w:hAnsi="Aptos" w:eastAsia="Aptos"/>
          <w:sz w:val="18"/>
        </w:rPr>
        <w:t>Referral fees, dealer relationships or sales incentives must not influence exception approval.</w:t>
      </w:r>
    </w:p>
    <w:p>
      <w:pPr>
        <w:spacing w:after="46"/>
        <w:ind w:left="259" w:hanging="173"/>
      </w:pPr>
      <w:r>
        <w:rPr>
          <w:rFonts w:ascii="Aptos" w:hAnsi="Aptos" w:eastAsia="Aptos"/>
          <w:b/>
          <w:color w:val="2F5597"/>
          <w:sz w:val="18"/>
        </w:rPr>
        <w:t xml:space="preserve">• </w:t>
      </w:r>
      <w:r>
        <w:rPr>
          <w:rFonts w:ascii="Aptos" w:hAnsi="Aptos" w:eastAsia="Aptos"/>
          <w:sz w:val="18"/>
        </w:rPr>
        <w:t>Potential conflicts shall be disclosed and the case reassigned where independence is impaired.</w:t>
      </w:r>
    </w:p>
    <w:p>
      <w:pPr>
        <w:spacing w:after="46"/>
        <w:ind w:left="259" w:hanging="173"/>
      </w:pPr>
      <w:r>
        <w:rPr>
          <w:rFonts w:ascii="Aptos" w:hAnsi="Aptos" w:eastAsia="Aptos"/>
          <w:b/>
          <w:color w:val="2F5597"/>
          <w:sz w:val="18"/>
        </w:rPr>
        <w:t xml:space="preserve">• </w:t>
      </w:r>
      <w:r>
        <w:rPr>
          <w:rFonts w:ascii="Aptos" w:hAnsi="Aptos" w:eastAsia="Aptos"/>
          <w:sz w:val="18"/>
        </w:rPr>
        <w:t>Conflict-driven reassignment does not reduce the authority level required.</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Conflict declaration; reassignment record; final approver.</w:t>
      </w:r>
    </w:p>
    <w:p>
      <w:pPr>
        <w:pStyle w:val="Heading1"/>
      </w:pPr>
      <w:r>
        <w:t>12. System Entitlements, Maker-Checker and Authority Administration</w:t>
      </w:r>
    </w:p>
    <w:p>
      <w:pPr>
        <w:spacing w:after="80"/>
        <w:keepLines/>
      </w:pPr>
      <w:r>
        <w:t>Workflow permissions must reflect the controlled authority schedule but are administrative controls, not the legal source of delegated authority within Northstar.</w:t>
      </w:r>
    </w:p>
    <w:p>
      <w:pPr>
        <w:spacing w:after="80"/>
        <w:keepLines/>
      </w:pPr>
      <w:r>
        <w:t>Authority administration treats the controlled schedule as the source of decision rights; workflow permissions are supporting evidence only.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Technology shall not infer authority from a user's ability to select an approval action.</w:t>
      </w:r>
    </w:p>
    <w:p>
      <w:pPr>
        <w:spacing w:after="46"/>
        <w:ind w:left="259" w:hanging="173"/>
      </w:pPr>
      <w:r>
        <w:rPr>
          <w:rFonts w:ascii="Aptos" w:hAnsi="Aptos" w:eastAsia="Aptos"/>
          <w:b/>
          <w:color w:val="2F5597"/>
          <w:sz w:val="18"/>
        </w:rPr>
        <w:t xml:space="preserve">• </w:t>
      </w:r>
      <w:r>
        <w:rPr>
          <w:rFonts w:ascii="Aptos" w:hAnsi="Aptos" w:eastAsia="Aptos"/>
          <w:sz w:val="18"/>
        </w:rPr>
        <w:t>Operations maker-checker rights are separate from credit-decision rights.</w:t>
      </w:r>
    </w:p>
    <w:p>
      <w:pPr>
        <w:spacing w:after="46"/>
        <w:ind w:left="259" w:hanging="173"/>
      </w:pPr>
      <w:r>
        <w:rPr>
          <w:rFonts w:ascii="Aptos" w:hAnsi="Aptos" w:eastAsia="Aptos"/>
          <w:b/>
          <w:color w:val="2F5597"/>
          <w:sz w:val="18"/>
        </w:rPr>
        <w:t xml:space="preserve">• </w:t>
      </w:r>
      <w:r>
        <w:rPr>
          <w:rFonts w:ascii="Aptos" w:hAnsi="Aptos" w:eastAsia="Aptos"/>
          <w:sz w:val="18"/>
        </w:rPr>
        <w:t>Authority changes require documented business owner approval and controlled system provisioning.</w:t>
      </w:r>
    </w:p>
    <w:p>
      <w:pPr>
        <w:spacing w:after="46"/>
        <w:ind w:left="259" w:hanging="173"/>
      </w:pPr>
      <w:r>
        <w:rPr>
          <w:rFonts w:ascii="Aptos" w:hAnsi="Aptos" w:eastAsia="Aptos"/>
          <w:b/>
          <w:color w:val="2F5597"/>
          <w:sz w:val="18"/>
        </w:rPr>
        <w:t xml:space="preserve">• </w:t>
      </w:r>
      <w:r>
        <w:rPr>
          <w:rFonts w:ascii="Aptos" w:hAnsi="Aptos" w:eastAsia="Aptos"/>
          <w:sz w:val="18"/>
        </w:rPr>
        <w:t>Periodic access review shall compare active entitlements with current role assignments and temporary delegations.</w:t>
      </w:r>
    </w:p>
    <w:p>
      <w:pPr>
        <w:spacing w:after="46"/>
        <w:ind w:left="259" w:hanging="173"/>
      </w:pPr>
      <w:r>
        <w:rPr>
          <w:rFonts w:ascii="Aptos" w:hAnsi="Aptos" w:eastAsia="Aptos"/>
          <w:b/>
          <w:color w:val="2F5597"/>
          <w:sz w:val="18"/>
        </w:rPr>
        <w:t xml:space="preserve">• </w:t>
      </w:r>
      <w:r>
        <w:rPr>
          <w:rFonts w:ascii="Aptos" w:hAnsi="Aptos" w:eastAsia="Aptos"/>
          <w:sz w:val="18"/>
        </w:rPr>
        <w:t>A stale entitlement that permits an over-authority approval creates a control breach and must be remediated.</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Access request; approval; role mapping; periodic review; remediation ticket.</w:t>
      </w:r>
    </w:p>
    <w:p>
      <w:r>
        <w:br w:type="page"/>
      </w:r>
    </w:p>
    <w:p>
      <w:pPr>
        <w:pStyle w:val="Heading1"/>
      </w:pPr>
      <w:r>
        <w:t>13. Committee and Reserved Matters</w:t>
      </w:r>
    </w:p>
    <w:p>
      <w:pPr>
        <w:spacing w:after="80"/>
        <w:keepLines/>
      </w:pPr>
      <w:r>
        <w:t>Cases exceeding individual authority or involving reserved matters shall be submitted to the appropriate committee with a complete recommendation and prior technical assessment.</w:t>
      </w:r>
    </w:p>
    <w:p>
      <w:pPr>
        <w:spacing w:after="80"/>
        <w:keepLines/>
      </w:pPr>
      <w:r>
        <w:t>Authority administration treats the controlled schedule as the source of decision rights; workflow permissions are supporting evidence only.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Credit Risk Committee considers material SME group exposure, major portfolio exceptions and other matters reserved by its Terms of Reference.</w:t>
      </w:r>
    </w:p>
    <w:p>
      <w:pPr>
        <w:spacing w:after="46"/>
        <w:ind w:left="259" w:hanging="173"/>
      </w:pPr>
      <w:r>
        <w:rPr>
          <w:rFonts w:ascii="Aptos" w:hAnsi="Aptos" w:eastAsia="Aptos"/>
          <w:b/>
          <w:color w:val="2F5597"/>
          <w:sz w:val="18"/>
        </w:rPr>
        <w:t xml:space="preserve">• </w:t>
      </w:r>
      <w:r>
        <w:rPr>
          <w:rFonts w:ascii="Aptos" w:hAnsi="Aptos" w:eastAsia="Aptos"/>
          <w:sz w:val="18"/>
        </w:rPr>
        <w:t>Board Risk Committee retains approval of enterprise credit-risk policy and designated risk-appetite matters.</w:t>
      </w:r>
    </w:p>
    <w:p>
      <w:pPr>
        <w:spacing w:after="46"/>
        <w:ind w:left="259" w:hanging="173"/>
      </w:pPr>
      <w:r>
        <w:rPr>
          <w:rFonts w:ascii="Aptos" w:hAnsi="Aptos" w:eastAsia="Aptos"/>
          <w:b/>
          <w:color w:val="2F5597"/>
          <w:sz w:val="18"/>
        </w:rPr>
        <w:t xml:space="preserve">• </w:t>
      </w:r>
      <w:r>
        <w:rPr>
          <w:rFonts w:ascii="Aptos" w:hAnsi="Aptos" w:eastAsia="Aptos"/>
          <w:sz w:val="18"/>
        </w:rPr>
        <w:t>Committees may impose conditions or lower limits than requested.</w:t>
      </w:r>
    </w:p>
    <w:p>
      <w:pPr>
        <w:spacing w:after="46"/>
        <w:ind w:left="259" w:hanging="173"/>
      </w:pPr>
      <w:r>
        <w:rPr>
          <w:rFonts w:ascii="Aptos" w:hAnsi="Aptos" w:eastAsia="Aptos"/>
          <w:b/>
          <w:color w:val="2F5597"/>
          <w:sz w:val="18"/>
        </w:rPr>
        <w:t xml:space="preserve">• </w:t>
      </w:r>
      <w:r>
        <w:rPr>
          <w:rFonts w:ascii="Aptos" w:hAnsi="Aptos" w:eastAsia="Aptos"/>
          <w:sz w:val="18"/>
        </w:rPr>
        <w:t>A committee approval does not remove operational pre-disbursement checks.</w:t>
      </w:r>
    </w:p>
    <w:p>
      <w:pPr>
        <w:spacing w:after="46"/>
        <w:ind w:left="259" w:hanging="173"/>
      </w:pPr>
      <w:r>
        <w:rPr>
          <w:rFonts w:ascii="Aptos" w:hAnsi="Aptos" w:eastAsia="Aptos"/>
          <w:b/>
          <w:color w:val="2F5597"/>
          <w:sz w:val="18"/>
        </w:rPr>
        <w:t xml:space="preserve">• </w:t>
      </w:r>
      <w:r>
        <w:rPr>
          <w:rFonts w:ascii="Aptos" w:hAnsi="Aptos" w:eastAsia="Aptos"/>
          <w:sz w:val="18"/>
        </w:rPr>
        <w:t>The final system decision shall reference the committee minute or approval identifier.</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Committee paper; minutes; conditions; system reference.</w:t>
      </w:r>
    </w:p>
    <w:p>
      <w:pPr>
        <w:pStyle w:val="Heading1"/>
      </w:pPr>
      <w:r>
        <w:t>14. Authority Reduction, Suspension and Historical Changes</w:t>
      </w:r>
    </w:p>
    <w:p>
      <w:pPr>
        <w:spacing w:after="80"/>
        <w:keepLines/>
      </w:pPr>
      <w:r>
        <w:t>Northstar may reduce or suspend an individual's authority for risk, performance, conduct, QA or organizational reasons without amending the entire Schedule. Historical decisions remain assessed against the authority valid at their time.</w:t>
      </w:r>
    </w:p>
    <w:p>
      <w:pPr>
        <w:spacing w:after="80"/>
        <w:keepLines/>
      </w:pPr>
      <w:r>
        <w:t>Authority administration treats the controlled schedule as the source of decision rights; workflow permissions are supporting evidence only. The requirements in this section apply unless a documented product rule, approved exception, or later effective instruction expressly provides otherwise.</w:t>
      </w:r>
    </w:p>
    <w:p>
      <w:pPr>
        <w:spacing w:after="40"/>
      </w:pPr>
      <w:r>
        <w:rPr>
          <w:rFonts w:ascii="Aptos" w:hAnsi="Aptos" w:eastAsia="Aptos"/>
          <w:b/>
          <w:color w:val="17365D"/>
          <w:sz w:val="18"/>
        </w:rPr>
        <w:t>Control requirements</w:t>
      </w:r>
    </w:p>
    <w:p>
      <w:pPr>
        <w:spacing w:after="46"/>
        <w:ind w:left="259" w:hanging="173"/>
      </w:pPr>
      <w:r>
        <w:rPr>
          <w:rFonts w:ascii="Aptos" w:hAnsi="Aptos" w:eastAsia="Aptos"/>
          <w:b/>
          <w:color w:val="2F5597"/>
          <w:sz w:val="18"/>
        </w:rPr>
        <w:t xml:space="preserve">• </w:t>
      </w:r>
      <w:r>
        <w:rPr>
          <w:rFonts w:ascii="Aptos" w:hAnsi="Aptos" w:eastAsia="Aptos"/>
          <w:sz w:val="18"/>
        </w:rPr>
        <w:t>A documented individual restriction overrides the generic role maximum.</w:t>
      </w:r>
    </w:p>
    <w:p>
      <w:pPr>
        <w:spacing w:after="46"/>
        <w:ind w:left="259" w:hanging="173"/>
      </w:pPr>
      <w:r>
        <w:rPr>
          <w:rFonts w:ascii="Aptos" w:hAnsi="Aptos" w:eastAsia="Aptos"/>
          <w:b/>
          <w:color w:val="2F5597"/>
          <w:sz w:val="18"/>
        </w:rPr>
        <w:t xml:space="preserve">• </w:t>
      </w:r>
      <w:r>
        <w:rPr>
          <w:rFonts w:ascii="Aptos" w:hAnsi="Aptos" w:eastAsia="Aptos"/>
          <w:sz w:val="18"/>
        </w:rPr>
        <w:t>Suspended authority shall be reflected in workflow systems as soon as practicable.</w:t>
      </w:r>
    </w:p>
    <w:p>
      <w:pPr>
        <w:spacing w:after="46"/>
        <w:ind w:left="259" w:hanging="173"/>
      </w:pPr>
      <w:r>
        <w:rPr>
          <w:rFonts w:ascii="Aptos" w:hAnsi="Aptos" w:eastAsia="Aptos"/>
          <w:b/>
          <w:color w:val="2F5597"/>
          <w:sz w:val="18"/>
        </w:rPr>
        <w:t xml:space="preserve">• </w:t>
      </w:r>
      <w:r>
        <w:rPr>
          <w:rFonts w:ascii="Aptos" w:hAnsi="Aptos" w:eastAsia="Aptos"/>
          <w:sz w:val="18"/>
        </w:rPr>
        <w:t>Version 2.1 reduced CA1 vehicle and SME limits relative to older local practices; older approvals should not be rewritten.</w:t>
      </w:r>
    </w:p>
    <w:p>
      <w:pPr>
        <w:spacing w:after="46"/>
        <w:ind w:left="259" w:hanging="173"/>
      </w:pPr>
      <w:r>
        <w:rPr>
          <w:rFonts w:ascii="Aptos" w:hAnsi="Aptos" w:eastAsia="Aptos"/>
          <w:b/>
          <w:color w:val="2F5597"/>
          <w:sz w:val="18"/>
        </w:rPr>
        <w:t xml:space="preserve">• </w:t>
      </w:r>
      <w:r>
        <w:rPr>
          <w:rFonts w:ascii="Aptos" w:hAnsi="Aptos" w:eastAsia="Aptos"/>
          <w:sz w:val="18"/>
        </w:rPr>
        <w:t>Decisions on or after 1 May 2025 shall use v2.1 unless a controlled transition note expressly states otherwise.</w:t>
      </w:r>
    </w:p>
    <w:p>
      <w:pPr>
        <w:spacing w:after="46"/>
        <w:ind w:left="259" w:hanging="173"/>
      </w:pPr>
      <w:r>
        <w:rPr>
          <w:rFonts w:ascii="Aptos" w:hAnsi="Aptos" w:eastAsia="Aptos"/>
          <w:b/>
          <w:color w:val="2F5597"/>
          <w:sz w:val="18"/>
        </w:rPr>
        <w:t xml:space="preserve">• </w:t>
      </w:r>
      <w:r>
        <w:rPr>
          <w:rFonts w:ascii="Aptos" w:hAnsi="Aptos" w:eastAsia="Aptos"/>
          <w:sz w:val="18"/>
        </w:rPr>
        <w:t>Where a procedure remains more restrictive than this Schedule, the procedure remains valid within its scope.</w:t>
      </w:r>
    </w:p>
    <w:p>
      <w:pPr>
        <w:pStyle w:val="Heading2"/>
      </w:pPr>
      <w:r>
        <w:t>Records and control evidence</w:t>
      </w:r>
    </w:p>
    <w:p>
      <w:pPr>
        <w:spacing w:after="46"/>
        <w:ind w:left="259" w:hanging="173"/>
      </w:pPr>
      <w:r>
        <w:rPr>
          <w:rFonts w:ascii="Aptos" w:hAnsi="Aptos" w:eastAsia="Aptos"/>
          <w:b/>
          <w:color w:val="2F5597"/>
          <w:sz w:val="18"/>
        </w:rPr>
        <w:t xml:space="preserve">• </w:t>
      </w:r>
      <w:r>
        <w:rPr>
          <w:rFonts w:ascii="Aptos" w:hAnsi="Aptos" w:eastAsia="Aptos"/>
          <w:sz w:val="18"/>
        </w:rPr>
        <w:t>Restriction notice; system update; historical version; decision date.</w:t>
      </w:r>
    </w:p>
    <w:p>
      <w:r>
        <w:br w:type="page"/>
      </w:r>
    </w:p>
    <w:p>
      <w:pPr>
        <w:pStyle w:val="Heading1"/>
      </w:pPr>
      <w:r>
        <w:t>Appendix A — Consolidated Monetary Authority Matrix</w:t>
      </w:r>
    </w:p>
    <w:p>
      <w:r>
        <w:t>The matrix shows maximum standard limits before risk-grade, exception and product overlays.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658"/>
        <w:gridCol w:w="1658"/>
        <w:gridCol w:w="1658"/>
        <w:gridCol w:w="1658"/>
        <w:gridCol w:w="1658"/>
        <w:gridCol w:w="1658"/>
      </w:tblGrid>
      <w:tr>
        <w:trPr>
          <w:tblHeader w:val="true"/>
        </w:trPr>
        <w:tc>
          <w:tcPr>
            <w:tcW w:type="dxa" w:w="1296"/>
            <w:shd w:fill="17365D"/>
            <w:tcMar>
              <w:top w:w="70" w:type="dxa"/>
              <w:start w:w="90" w:type="dxa"/>
              <w:bottom w:w="70" w:type="dxa"/>
              <w:end w:w="90" w:type="dxa"/>
            </w:tcMar>
          </w:tcPr>
          <w:p>
            <w:pPr>
              <w:spacing w:after="0"/>
            </w:pPr>
            <w:r>
              <w:rPr>
                <w:rFonts w:ascii="Aptos" w:hAnsi="Aptos" w:eastAsia="Aptos"/>
                <w:b/>
                <w:color w:val="FFFFFF"/>
                <w:sz w:val="15"/>
              </w:rPr>
              <w:t>Authority</w:t>
            </w:r>
          </w:p>
        </w:tc>
        <w:tc>
          <w:tcPr>
            <w:tcW w:type="dxa" w:w="1656"/>
            <w:shd w:fill="17365D"/>
            <w:tcMar>
              <w:top w:w="70" w:type="dxa"/>
              <w:start w:w="90" w:type="dxa"/>
              <w:bottom w:w="70" w:type="dxa"/>
              <w:end w:w="90" w:type="dxa"/>
            </w:tcMar>
          </w:tcPr>
          <w:p>
            <w:pPr>
              <w:spacing w:after="0"/>
            </w:pPr>
            <w:r>
              <w:rPr>
                <w:rFonts w:ascii="Aptos" w:hAnsi="Aptos" w:eastAsia="Aptos"/>
                <w:b/>
                <w:color w:val="FFFFFF"/>
                <w:sz w:val="15"/>
              </w:rPr>
              <w:t>General retail</w:t>
            </w:r>
          </w:p>
        </w:tc>
        <w:tc>
          <w:tcPr>
            <w:tcW w:type="dxa" w:w="2232"/>
            <w:shd w:fill="17365D"/>
            <w:tcMar>
              <w:top w:w="70" w:type="dxa"/>
              <w:start w:w="90" w:type="dxa"/>
              <w:bottom w:w="70" w:type="dxa"/>
              <w:end w:w="90" w:type="dxa"/>
            </w:tcMar>
          </w:tcPr>
          <w:p>
            <w:pPr>
              <w:spacing w:after="0"/>
            </w:pPr>
            <w:r>
              <w:rPr>
                <w:rFonts w:ascii="Aptos" w:hAnsi="Aptos" w:eastAsia="Aptos"/>
                <w:b/>
                <w:color w:val="FFFFFF"/>
                <w:sz w:val="15"/>
              </w:rPr>
              <w:t>Personal loan</w:t>
            </w:r>
          </w:p>
        </w:tc>
        <w:tc>
          <w:tcPr>
            <w:tcW w:type="dxa" w:w="1584"/>
            <w:shd w:fill="17365D"/>
            <w:tcMar>
              <w:top w:w="70" w:type="dxa"/>
              <w:start w:w="90" w:type="dxa"/>
              <w:bottom w:w="70" w:type="dxa"/>
              <w:end w:w="90" w:type="dxa"/>
            </w:tcMar>
          </w:tcPr>
          <w:p>
            <w:pPr>
              <w:spacing w:after="0"/>
            </w:pPr>
            <w:r>
              <w:rPr>
                <w:rFonts w:ascii="Aptos" w:hAnsi="Aptos" w:eastAsia="Aptos"/>
                <w:b/>
                <w:color w:val="FFFFFF"/>
                <w:sz w:val="15"/>
              </w:rPr>
              <w:t>New vehicle</w:t>
            </w:r>
          </w:p>
        </w:tc>
        <w:tc>
          <w:tcPr>
            <w:tcW w:type="dxa" w:w="1584"/>
            <w:shd w:fill="17365D"/>
            <w:tcMar>
              <w:top w:w="70" w:type="dxa"/>
              <w:start w:w="90" w:type="dxa"/>
              <w:bottom w:w="70" w:type="dxa"/>
              <w:end w:w="90" w:type="dxa"/>
            </w:tcMar>
          </w:tcPr>
          <w:p>
            <w:pPr>
              <w:spacing w:after="0"/>
            </w:pPr>
            <w:r>
              <w:rPr>
                <w:rFonts w:ascii="Aptos" w:hAnsi="Aptos" w:eastAsia="Aptos"/>
                <w:b/>
                <w:color w:val="FFFFFF"/>
                <w:sz w:val="15"/>
              </w:rPr>
              <w:t>Used vehicle</w:t>
            </w:r>
          </w:p>
        </w:tc>
        <w:tc>
          <w:tcPr>
            <w:tcW w:type="dxa" w:w="1872"/>
            <w:shd w:fill="17365D"/>
            <w:tcMar>
              <w:top w:w="70" w:type="dxa"/>
              <w:start w:w="90" w:type="dxa"/>
              <w:bottom w:w="70" w:type="dxa"/>
              <w:end w:w="90" w:type="dxa"/>
            </w:tcMar>
          </w:tcPr>
          <w:p>
            <w:pPr>
              <w:spacing w:after="0"/>
            </w:pPr>
            <w:r>
              <w:rPr>
                <w:rFonts w:ascii="Aptos" w:hAnsi="Aptos" w:eastAsia="Aptos"/>
                <w:b/>
                <w:color w:val="FFFFFF"/>
                <w:sz w:val="15"/>
              </w:rPr>
              <w:t>SME</w:t>
            </w:r>
          </w:p>
        </w:tc>
      </w:tr>
      <w:tr>
        <w:tc>
          <w:tcPr>
            <w:tcW w:type="dxa" w:w="1296"/>
            <w:tcMar>
              <w:top w:w="70" w:type="dxa"/>
              <w:start w:w="90" w:type="dxa"/>
              <w:bottom w:w="70" w:type="dxa"/>
              <w:end w:w="90" w:type="dxa"/>
            </w:tcMar>
            <w:vAlign w:val="center"/>
          </w:tcPr>
          <w:p>
            <w:pPr>
              <w:spacing w:after="0"/>
            </w:pPr>
            <w:r>
              <w:rPr>
                <w:rFonts w:ascii="Aptos" w:hAnsi="Aptos" w:eastAsia="Aptos"/>
                <w:sz w:val="15"/>
              </w:rPr>
              <w:t>CA1</w:t>
            </w:r>
          </w:p>
        </w:tc>
        <w:tc>
          <w:tcPr>
            <w:tcW w:type="dxa" w:w="1656"/>
            <w:tcMar>
              <w:top w:w="70" w:type="dxa"/>
              <w:start w:w="90" w:type="dxa"/>
              <w:bottom w:w="70" w:type="dxa"/>
              <w:end w:w="90" w:type="dxa"/>
            </w:tcMar>
            <w:vAlign w:val="center"/>
          </w:tcPr>
          <w:p>
            <w:pPr>
              <w:spacing w:after="0"/>
            </w:pPr>
            <w:r>
              <w:rPr>
                <w:rFonts w:ascii="Aptos" w:hAnsi="Aptos" w:eastAsia="Aptos"/>
                <w:sz w:val="15"/>
              </w:rPr>
              <w:t>₹10L</w:t>
            </w:r>
          </w:p>
        </w:tc>
        <w:tc>
          <w:tcPr>
            <w:tcW w:type="dxa" w:w="2232"/>
            <w:tcMar>
              <w:top w:w="70" w:type="dxa"/>
              <w:start w:w="90" w:type="dxa"/>
              <w:bottom w:w="70" w:type="dxa"/>
              <w:end w:w="90" w:type="dxa"/>
            </w:tcMar>
            <w:vAlign w:val="center"/>
          </w:tcPr>
          <w:p>
            <w:pPr>
              <w:spacing w:after="0"/>
            </w:pPr>
            <w:r>
              <w:rPr>
                <w:rFonts w:ascii="Aptos" w:hAnsi="Aptos" w:eastAsia="Aptos"/>
                <w:sz w:val="15"/>
              </w:rPr>
              <w:t>₹10L</w:t>
            </w:r>
          </w:p>
        </w:tc>
        <w:tc>
          <w:tcPr>
            <w:tcW w:type="dxa" w:w="1584"/>
            <w:tcMar>
              <w:top w:w="70" w:type="dxa"/>
              <w:start w:w="90" w:type="dxa"/>
              <w:bottom w:w="70" w:type="dxa"/>
              <w:end w:w="90" w:type="dxa"/>
            </w:tcMar>
            <w:vAlign w:val="center"/>
          </w:tcPr>
          <w:p>
            <w:pPr>
              <w:spacing w:after="0"/>
            </w:pPr>
            <w:r>
              <w:rPr>
                <w:rFonts w:ascii="Aptos" w:hAnsi="Aptos" w:eastAsia="Aptos"/>
                <w:sz w:val="15"/>
              </w:rPr>
              <w:t>₹8L</w:t>
            </w:r>
          </w:p>
        </w:tc>
        <w:tc>
          <w:tcPr>
            <w:tcW w:type="dxa" w:w="1584"/>
            <w:tcMar>
              <w:top w:w="70" w:type="dxa"/>
              <w:start w:w="90" w:type="dxa"/>
              <w:bottom w:w="70" w:type="dxa"/>
              <w:end w:w="90" w:type="dxa"/>
            </w:tcMar>
            <w:vAlign w:val="center"/>
          </w:tcPr>
          <w:p>
            <w:pPr>
              <w:spacing w:after="0"/>
            </w:pPr>
            <w:r>
              <w:rPr>
                <w:rFonts w:ascii="Aptos" w:hAnsi="Aptos" w:eastAsia="Aptos"/>
                <w:sz w:val="15"/>
              </w:rPr>
              <w:t>₹6L</w:t>
            </w:r>
          </w:p>
        </w:tc>
        <w:tc>
          <w:tcPr>
            <w:tcW w:type="dxa" w:w="1872"/>
            <w:tcMar>
              <w:top w:w="70" w:type="dxa"/>
              <w:start w:w="90" w:type="dxa"/>
              <w:bottom w:w="70" w:type="dxa"/>
              <w:end w:w="90" w:type="dxa"/>
            </w:tcMar>
            <w:vAlign w:val="center"/>
          </w:tcPr>
          <w:p>
            <w:pPr>
              <w:spacing w:after="0"/>
            </w:pPr>
            <w:r>
              <w:rPr>
                <w:rFonts w:ascii="Aptos" w:hAnsi="Aptos" w:eastAsia="Aptos"/>
                <w:sz w:val="15"/>
              </w:rPr>
              <w:t>₹5L</w:t>
            </w:r>
          </w:p>
        </w:tc>
      </w:tr>
      <w:tr>
        <w:tc>
          <w:tcPr>
            <w:tcW w:type="dxa" w:w="1296"/>
            <w:shd w:fill="F7F9FC"/>
            <w:tcMar>
              <w:top w:w="70" w:type="dxa"/>
              <w:start w:w="90" w:type="dxa"/>
              <w:bottom w:w="70" w:type="dxa"/>
              <w:end w:w="90" w:type="dxa"/>
            </w:tcMar>
            <w:vAlign w:val="center"/>
          </w:tcPr>
          <w:p>
            <w:pPr>
              <w:spacing w:after="0"/>
            </w:pPr>
            <w:r>
              <w:rPr>
                <w:rFonts w:ascii="Aptos" w:hAnsi="Aptos" w:eastAsia="Aptos"/>
                <w:sz w:val="15"/>
              </w:rPr>
              <w:t>CA2</w:t>
            </w:r>
          </w:p>
        </w:tc>
        <w:tc>
          <w:tcPr>
            <w:tcW w:type="dxa" w:w="1656"/>
            <w:shd w:fill="F7F9FC"/>
            <w:tcMar>
              <w:top w:w="70" w:type="dxa"/>
              <w:start w:w="90" w:type="dxa"/>
              <w:bottom w:w="70" w:type="dxa"/>
              <w:end w:w="90" w:type="dxa"/>
            </w:tcMar>
            <w:vAlign w:val="center"/>
          </w:tcPr>
          <w:p>
            <w:pPr>
              <w:spacing w:after="0"/>
            </w:pPr>
            <w:r>
              <w:rPr>
                <w:rFonts w:ascii="Aptos" w:hAnsi="Aptos" w:eastAsia="Aptos"/>
                <w:sz w:val="15"/>
              </w:rPr>
              <w:t>₹20L</w:t>
            </w:r>
          </w:p>
        </w:tc>
        <w:tc>
          <w:tcPr>
            <w:tcW w:type="dxa" w:w="2232"/>
            <w:shd w:fill="F7F9FC"/>
            <w:tcMar>
              <w:top w:w="70" w:type="dxa"/>
              <w:start w:w="90" w:type="dxa"/>
              <w:bottom w:w="70" w:type="dxa"/>
              <w:end w:w="90" w:type="dxa"/>
            </w:tcMar>
            <w:vAlign w:val="center"/>
          </w:tcPr>
          <w:p>
            <w:pPr>
              <w:spacing w:after="0"/>
            </w:pPr>
            <w:r>
              <w:rPr>
                <w:rFonts w:ascii="Aptos" w:hAnsi="Aptos" w:eastAsia="Aptos"/>
                <w:sz w:val="15"/>
              </w:rPr>
              <w:t>₹20L</w:t>
            </w:r>
          </w:p>
        </w:tc>
        <w:tc>
          <w:tcPr>
            <w:tcW w:type="dxa" w:w="1584"/>
            <w:shd w:fill="F7F9FC"/>
            <w:tcMar>
              <w:top w:w="70" w:type="dxa"/>
              <w:start w:w="90" w:type="dxa"/>
              <w:bottom w:w="70" w:type="dxa"/>
              <w:end w:w="90" w:type="dxa"/>
            </w:tcMar>
            <w:vAlign w:val="center"/>
          </w:tcPr>
          <w:p>
            <w:pPr>
              <w:spacing w:after="0"/>
            </w:pPr>
            <w:r>
              <w:rPr>
                <w:rFonts w:ascii="Aptos" w:hAnsi="Aptos" w:eastAsia="Aptos"/>
                <w:sz w:val="15"/>
              </w:rPr>
              <w:t>₹15L</w:t>
            </w:r>
          </w:p>
        </w:tc>
        <w:tc>
          <w:tcPr>
            <w:tcW w:type="dxa" w:w="1584"/>
            <w:shd w:fill="F7F9FC"/>
            <w:tcMar>
              <w:top w:w="70" w:type="dxa"/>
              <w:start w:w="90" w:type="dxa"/>
              <w:bottom w:w="70" w:type="dxa"/>
              <w:end w:w="90" w:type="dxa"/>
            </w:tcMar>
            <w:vAlign w:val="center"/>
          </w:tcPr>
          <w:p>
            <w:pPr>
              <w:spacing w:after="0"/>
            </w:pPr>
            <w:r>
              <w:rPr>
                <w:rFonts w:ascii="Aptos" w:hAnsi="Aptos" w:eastAsia="Aptos"/>
                <w:sz w:val="15"/>
              </w:rPr>
              <w:t>₹12L</w:t>
            </w:r>
          </w:p>
        </w:tc>
        <w:tc>
          <w:tcPr>
            <w:tcW w:type="dxa" w:w="1872"/>
            <w:shd w:fill="F7F9FC"/>
            <w:tcMar>
              <w:top w:w="70" w:type="dxa"/>
              <w:start w:w="90" w:type="dxa"/>
              <w:bottom w:w="70" w:type="dxa"/>
              <w:end w:w="90" w:type="dxa"/>
            </w:tcMar>
            <w:vAlign w:val="center"/>
          </w:tcPr>
          <w:p>
            <w:pPr>
              <w:spacing w:after="0"/>
            </w:pPr>
            <w:r>
              <w:rPr>
                <w:rFonts w:ascii="Aptos" w:hAnsi="Aptos" w:eastAsia="Aptos"/>
                <w:sz w:val="15"/>
              </w:rPr>
              <w:t>₹15L</w:t>
            </w:r>
          </w:p>
        </w:tc>
      </w:tr>
      <w:tr>
        <w:tc>
          <w:tcPr>
            <w:tcW w:type="dxa" w:w="1296"/>
            <w:tcMar>
              <w:top w:w="70" w:type="dxa"/>
              <w:start w:w="90" w:type="dxa"/>
              <w:bottom w:w="70" w:type="dxa"/>
              <w:end w:w="90" w:type="dxa"/>
            </w:tcMar>
            <w:vAlign w:val="center"/>
          </w:tcPr>
          <w:p>
            <w:pPr>
              <w:spacing w:after="0"/>
            </w:pPr>
            <w:r>
              <w:rPr>
                <w:rFonts w:ascii="Aptos" w:hAnsi="Aptos" w:eastAsia="Aptos"/>
                <w:sz w:val="15"/>
              </w:rPr>
              <w:t>CA3</w:t>
            </w:r>
          </w:p>
        </w:tc>
        <w:tc>
          <w:tcPr>
            <w:tcW w:type="dxa" w:w="1656"/>
            <w:tcMar>
              <w:top w:w="70" w:type="dxa"/>
              <w:start w:w="90" w:type="dxa"/>
              <w:bottom w:w="70" w:type="dxa"/>
              <w:end w:w="90" w:type="dxa"/>
            </w:tcMar>
            <w:vAlign w:val="center"/>
          </w:tcPr>
          <w:p>
            <w:pPr>
              <w:spacing w:after="0"/>
            </w:pPr>
            <w:r>
              <w:rPr>
                <w:rFonts w:ascii="Aptos" w:hAnsi="Aptos" w:eastAsia="Aptos"/>
                <w:sz w:val="15"/>
              </w:rPr>
              <w:t>₹35L</w:t>
            </w:r>
          </w:p>
        </w:tc>
        <w:tc>
          <w:tcPr>
            <w:tcW w:type="dxa" w:w="2232"/>
            <w:tcMar>
              <w:top w:w="70" w:type="dxa"/>
              <w:start w:w="90" w:type="dxa"/>
              <w:bottom w:w="70" w:type="dxa"/>
              <w:end w:w="90" w:type="dxa"/>
            </w:tcMar>
            <w:vAlign w:val="center"/>
          </w:tcPr>
          <w:p>
            <w:pPr>
              <w:spacing w:after="0"/>
            </w:pPr>
            <w:r>
              <w:rPr>
                <w:rFonts w:ascii="Aptos" w:hAnsi="Aptos" w:eastAsia="Aptos"/>
                <w:sz w:val="15"/>
              </w:rPr>
              <w:t>Standard PL remains ₹20L</w:t>
            </w:r>
          </w:p>
        </w:tc>
        <w:tc>
          <w:tcPr>
            <w:tcW w:type="dxa" w:w="1584"/>
            <w:tcMar>
              <w:top w:w="70" w:type="dxa"/>
              <w:start w:w="90" w:type="dxa"/>
              <w:bottom w:w="70" w:type="dxa"/>
              <w:end w:w="90" w:type="dxa"/>
            </w:tcMar>
            <w:vAlign w:val="center"/>
          </w:tcPr>
          <w:p>
            <w:pPr>
              <w:spacing w:after="0"/>
            </w:pPr>
            <w:r>
              <w:rPr>
                <w:rFonts w:ascii="Aptos" w:hAnsi="Aptos" w:eastAsia="Aptos"/>
                <w:sz w:val="15"/>
              </w:rPr>
              <w:t>₹25L</w:t>
            </w:r>
          </w:p>
        </w:tc>
        <w:tc>
          <w:tcPr>
            <w:tcW w:type="dxa" w:w="1584"/>
            <w:tcMar>
              <w:top w:w="70" w:type="dxa"/>
              <w:start w:w="90" w:type="dxa"/>
              <w:bottom w:w="70" w:type="dxa"/>
              <w:end w:w="90" w:type="dxa"/>
            </w:tcMar>
            <w:vAlign w:val="center"/>
          </w:tcPr>
          <w:p>
            <w:pPr>
              <w:spacing w:after="0"/>
            </w:pPr>
            <w:r>
              <w:rPr>
                <w:rFonts w:ascii="Aptos" w:hAnsi="Aptos" w:eastAsia="Aptos"/>
                <w:sz w:val="15"/>
              </w:rPr>
              <w:t>₹25L</w:t>
            </w:r>
          </w:p>
        </w:tc>
        <w:tc>
          <w:tcPr>
            <w:tcW w:type="dxa" w:w="1872"/>
            <w:tcMar>
              <w:top w:w="70" w:type="dxa"/>
              <w:start w:w="90" w:type="dxa"/>
              <w:bottom w:w="70" w:type="dxa"/>
              <w:end w:w="90" w:type="dxa"/>
            </w:tcMar>
            <w:vAlign w:val="center"/>
          </w:tcPr>
          <w:p>
            <w:pPr>
              <w:spacing w:after="0"/>
            </w:pPr>
            <w:r>
              <w:rPr>
                <w:rFonts w:ascii="Aptos" w:hAnsi="Aptos" w:eastAsia="Aptos"/>
                <w:sz w:val="15"/>
              </w:rPr>
              <w:t>₹50L</w:t>
            </w:r>
          </w:p>
        </w:tc>
      </w:tr>
      <w:tr>
        <w:tc>
          <w:tcPr>
            <w:tcW w:type="dxa" w:w="1296"/>
            <w:shd w:fill="F7F9FC"/>
            <w:tcMar>
              <w:top w:w="70" w:type="dxa"/>
              <w:start w:w="90" w:type="dxa"/>
              <w:bottom w:w="70" w:type="dxa"/>
              <w:end w:w="90" w:type="dxa"/>
            </w:tcMar>
            <w:vAlign w:val="center"/>
          </w:tcPr>
          <w:p>
            <w:pPr>
              <w:spacing w:after="0"/>
            </w:pPr>
            <w:r>
              <w:rPr>
                <w:rFonts w:ascii="Aptos" w:hAnsi="Aptos" w:eastAsia="Aptos"/>
                <w:sz w:val="15"/>
              </w:rPr>
              <w:t>CA4</w:t>
            </w:r>
          </w:p>
        </w:tc>
        <w:tc>
          <w:tcPr>
            <w:tcW w:type="dxa" w:w="1656"/>
            <w:shd w:fill="F7F9FC"/>
            <w:tcMar>
              <w:top w:w="70" w:type="dxa"/>
              <w:start w:w="90" w:type="dxa"/>
              <w:bottom w:w="70" w:type="dxa"/>
              <w:end w:w="90" w:type="dxa"/>
            </w:tcMar>
            <w:vAlign w:val="center"/>
          </w:tcPr>
          <w:p>
            <w:pPr>
              <w:spacing w:after="0"/>
            </w:pPr>
            <w:r>
              <w:rPr>
                <w:rFonts w:ascii="Aptos" w:hAnsi="Aptos" w:eastAsia="Aptos"/>
                <w:sz w:val="15"/>
              </w:rPr>
              <w:t>₹50L</w:t>
            </w:r>
          </w:p>
        </w:tc>
        <w:tc>
          <w:tcPr>
            <w:tcW w:type="dxa" w:w="2232"/>
            <w:shd w:fill="F7F9FC"/>
            <w:tcMar>
              <w:top w:w="70" w:type="dxa"/>
              <w:start w:w="90" w:type="dxa"/>
              <w:bottom w:w="70" w:type="dxa"/>
              <w:end w:w="90" w:type="dxa"/>
            </w:tcMar>
            <w:vAlign w:val="center"/>
          </w:tcPr>
          <w:p>
            <w:pPr>
              <w:spacing w:after="0"/>
            </w:pPr>
            <w:r>
              <w:rPr>
                <w:rFonts w:ascii="Aptos" w:hAnsi="Aptos" w:eastAsia="Aptos"/>
                <w:sz w:val="15"/>
              </w:rPr>
              <w:t>Program-specific above ₹20L only</w:t>
            </w:r>
          </w:p>
        </w:tc>
        <w:tc>
          <w:tcPr>
            <w:tcW w:type="dxa" w:w="1584"/>
            <w:shd w:fill="F7F9FC"/>
            <w:tcMar>
              <w:top w:w="70" w:type="dxa"/>
              <w:start w:w="90" w:type="dxa"/>
              <w:bottom w:w="70" w:type="dxa"/>
              <w:end w:w="90" w:type="dxa"/>
            </w:tcMar>
            <w:vAlign w:val="center"/>
          </w:tcPr>
          <w:p>
            <w:pPr>
              <w:spacing w:after="0"/>
            </w:pPr>
            <w:r>
              <w:rPr>
                <w:rFonts w:ascii="Aptos" w:hAnsi="Aptos" w:eastAsia="Aptos"/>
                <w:sz w:val="15"/>
              </w:rPr>
              <w:t>₹50L</w:t>
            </w:r>
          </w:p>
        </w:tc>
        <w:tc>
          <w:tcPr>
            <w:tcW w:type="dxa" w:w="1584"/>
            <w:shd w:fill="F7F9FC"/>
            <w:tcMar>
              <w:top w:w="70" w:type="dxa"/>
              <w:start w:w="90" w:type="dxa"/>
              <w:bottom w:w="70" w:type="dxa"/>
              <w:end w:w="90" w:type="dxa"/>
            </w:tcMar>
            <w:vAlign w:val="center"/>
          </w:tcPr>
          <w:p>
            <w:pPr>
              <w:spacing w:after="0"/>
            </w:pPr>
            <w:r>
              <w:rPr>
                <w:rFonts w:ascii="Aptos" w:hAnsi="Aptos" w:eastAsia="Aptos"/>
                <w:sz w:val="15"/>
              </w:rPr>
              <w:t>₹50L</w:t>
            </w:r>
          </w:p>
        </w:tc>
        <w:tc>
          <w:tcPr>
            <w:tcW w:type="dxa" w:w="1872"/>
            <w:shd w:fill="F7F9FC"/>
            <w:tcMar>
              <w:top w:w="70" w:type="dxa"/>
              <w:start w:w="90" w:type="dxa"/>
              <w:bottom w:w="70" w:type="dxa"/>
              <w:end w:w="90" w:type="dxa"/>
            </w:tcMar>
            <w:vAlign w:val="center"/>
          </w:tcPr>
          <w:p>
            <w:pPr>
              <w:spacing w:after="0"/>
            </w:pPr>
            <w:r>
              <w:rPr>
                <w:rFonts w:ascii="Aptos" w:hAnsi="Aptos" w:eastAsia="Aptos"/>
                <w:sz w:val="15"/>
              </w:rPr>
              <w:t>₹1.5Cr</w:t>
            </w:r>
          </w:p>
        </w:tc>
      </w:tr>
      <w:tr>
        <w:tc>
          <w:tcPr>
            <w:tcW w:type="dxa" w:w="1296"/>
            <w:tcMar>
              <w:top w:w="70" w:type="dxa"/>
              <w:start w:w="90" w:type="dxa"/>
              <w:bottom w:w="70" w:type="dxa"/>
              <w:end w:w="90" w:type="dxa"/>
            </w:tcMar>
            <w:vAlign w:val="center"/>
          </w:tcPr>
          <w:p>
            <w:pPr>
              <w:spacing w:after="0"/>
            </w:pPr>
            <w:r>
              <w:rPr>
                <w:rFonts w:ascii="Aptos" w:hAnsi="Aptos" w:eastAsia="Aptos"/>
                <w:sz w:val="15"/>
              </w:rPr>
              <w:t>CA5</w:t>
            </w:r>
          </w:p>
        </w:tc>
        <w:tc>
          <w:tcPr>
            <w:tcW w:type="dxa" w:w="1656"/>
            <w:tcMar>
              <w:top w:w="70" w:type="dxa"/>
              <w:start w:w="90" w:type="dxa"/>
              <w:bottom w:w="70" w:type="dxa"/>
              <w:end w:w="90" w:type="dxa"/>
            </w:tcMar>
            <w:vAlign w:val="center"/>
          </w:tcPr>
          <w:p>
            <w:pPr>
              <w:spacing w:after="0"/>
            </w:pPr>
            <w:r>
              <w:rPr>
                <w:rFonts w:ascii="Aptos" w:hAnsi="Aptos" w:eastAsia="Aptos"/>
                <w:sz w:val="15"/>
              </w:rPr>
              <w:t>₹1Cr aggregate retail</w:t>
            </w:r>
          </w:p>
        </w:tc>
        <w:tc>
          <w:tcPr>
            <w:tcW w:type="dxa" w:w="2232"/>
            <w:tcMar>
              <w:top w:w="70" w:type="dxa"/>
              <w:start w:w="90" w:type="dxa"/>
              <w:bottom w:w="70" w:type="dxa"/>
              <w:end w:w="90" w:type="dxa"/>
            </w:tcMar>
            <w:vAlign w:val="center"/>
          </w:tcPr>
          <w:p>
            <w:pPr>
              <w:spacing w:after="0"/>
            </w:pPr>
            <w:r>
              <w:rPr>
                <w:rFonts w:ascii="Aptos" w:hAnsi="Aptos" w:eastAsia="Aptos"/>
                <w:sz w:val="15"/>
              </w:rPr>
              <w:t>Subject to program</w:t>
            </w:r>
          </w:p>
        </w:tc>
        <w:tc>
          <w:tcPr>
            <w:tcW w:type="dxa" w:w="1584"/>
            <w:tcMar>
              <w:top w:w="70" w:type="dxa"/>
              <w:start w:w="90" w:type="dxa"/>
              <w:bottom w:w="70" w:type="dxa"/>
              <w:end w:w="90" w:type="dxa"/>
            </w:tcMar>
            <w:vAlign w:val="center"/>
          </w:tcPr>
          <w:p>
            <w:pPr>
              <w:spacing w:after="0"/>
            </w:pPr>
            <w:r>
              <w:rPr>
                <w:rFonts w:ascii="Aptos" w:hAnsi="Aptos" w:eastAsia="Aptos"/>
                <w:sz w:val="15"/>
              </w:rPr>
              <w:t>Subject to product rules</w:t>
            </w:r>
          </w:p>
        </w:tc>
        <w:tc>
          <w:tcPr>
            <w:tcW w:type="dxa" w:w="1584"/>
            <w:tcMar>
              <w:top w:w="70" w:type="dxa"/>
              <w:start w:w="90" w:type="dxa"/>
              <w:bottom w:w="70" w:type="dxa"/>
              <w:end w:w="90" w:type="dxa"/>
            </w:tcMar>
            <w:vAlign w:val="center"/>
          </w:tcPr>
          <w:p>
            <w:pPr>
              <w:spacing w:after="0"/>
            </w:pPr>
            <w:r>
              <w:rPr>
                <w:rFonts w:ascii="Aptos" w:hAnsi="Aptos" w:eastAsia="Aptos"/>
                <w:sz w:val="15"/>
              </w:rPr>
              <w:t>Subject to product rules</w:t>
            </w:r>
          </w:p>
        </w:tc>
        <w:tc>
          <w:tcPr>
            <w:tcW w:type="dxa" w:w="1872"/>
            <w:tcMar>
              <w:top w:w="70" w:type="dxa"/>
              <w:start w:w="90" w:type="dxa"/>
              <w:bottom w:w="70" w:type="dxa"/>
              <w:end w:w="90" w:type="dxa"/>
            </w:tcMar>
            <w:vAlign w:val="center"/>
          </w:tcPr>
          <w:p>
            <w:pPr>
              <w:spacing w:after="0"/>
            </w:pPr>
            <w:r>
              <w:rPr>
                <w:rFonts w:ascii="Aptos" w:hAnsi="Aptos" w:eastAsia="Aptos"/>
                <w:sz w:val="15"/>
              </w:rPr>
              <w:t>Above CA4 subject to committee/reserved matters</w:t>
            </w:r>
          </w:p>
        </w:tc>
      </w:tr>
    </w:tbl>
    <w:p>
      <w:pPr>
        <w:spacing w:after="0"/>
      </w:pPr>
    </w:p>
    <w:p>
      <w:pPr>
        <w:spacing w:after="40"/>
      </w:pPr>
      <w:r>
        <w:rPr>
          <w:rFonts w:ascii="Aptos" w:hAnsi="Aptos" w:eastAsia="Aptos"/>
          <w:b/>
          <w:color w:val="17365D"/>
          <w:sz w:val="18"/>
        </w:rPr>
        <w:t>Application notes</w:t>
      </w:r>
    </w:p>
    <w:p>
      <w:pPr>
        <w:spacing w:after="46"/>
        <w:ind w:left="259" w:hanging="173"/>
      </w:pPr>
      <w:r>
        <w:rPr>
          <w:rFonts w:ascii="Aptos" w:hAnsi="Aptos" w:eastAsia="Aptos"/>
          <w:b/>
          <w:color w:val="2F5597"/>
          <w:sz w:val="18"/>
        </w:rPr>
        <w:t xml:space="preserve">• </w:t>
      </w:r>
      <w:r>
        <w:rPr>
          <w:rFonts w:ascii="Aptos" w:hAnsi="Aptos" w:eastAsia="Aptos"/>
          <w:sz w:val="18"/>
        </w:rPr>
        <w:t>Always apply the lower of the monetary limit and any product-specific cap.</w:t>
      </w:r>
    </w:p>
    <w:p>
      <w:r>
        <w:br w:type="page"/>
      </w:r>
    </w:p>
    <w:p>
      <w:pPr>
        <w:pStyle w:val="Heading1"/>
      </w:pPr>
      <w:r>
        <w:t>Appendix B — Exception Rights Matrix</w:t>
      </w:r>
    </w:p>
    <w:p>
      <w:r>
        <w:t>The following is a control summary and does not replace CEP-006.</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75"/>
        <w:gridCol w:w="4975"/>
      </w:tblGrid>
      <w:tr>
        <w:trPr>
          <w:tblHeader w:val="true"/>
        </w:trPr>
        <w:tc>
          <w:tcPr>
            <w:tcW w:type="dxa" w:w="5040"/>
            <w:shd w:fill="17365D"/>
            <w:tcMar>
              <w:top w:w="70" w:type="dxa"/>
              <w:start w:w="90" w:type="dxa"/>
              <w:bottom w:w="70" w:type="dxa"/>
              <w:end w:w="90" w:type="dxa"/>
            </w:tcMar>
          </w:tcPr>
          <w:p>
            <w:pPr>
              <w:spacing w:after="0"/>
            </w:pPr>
            <w:r>
              <w:rPr>
                <w:rFonts w:ascii="Aptos" w:hAnsi="Aptos" w:eastAsia="Aptos"/>
                <w:b/>
                <w:color w:val="FFFFFF"/>
                <w:sz w:val="15"/>
              </w:rPr>
              <w:t>Exception / risk item</w:t>
            </w:r>
          </w:p>
        </w:tc>
        <w:tc>
          <w:tcPr>
            <w:tcW w:type="dxa" w:w="4608"/>
            <w:shd w:fill="17365D"/>
            <w:tcMar>
              <w:top w:w="70" w:type="dxa"/>
              <w:start w:w="90" w:type="dxa"/>
              <w:bottom w:w="70" w:type="dxa"/>
              <w:end w:w="90" w:type="dxa"/>
            </w:tcMar>
          </w:tcPr>
          <w:p>
            <w:pPr>
              <w:spacing w:after="0"/>
            </w:pPr>
            <w:r>
              <w:rPr>
                <w:rFonts w:ascii="Aptos" w:hAnsi="Aptos" w:eastAsia="Aptos"/>
                <w:b/>
                <w:color w:val="FFFFFF"/>
                <w:sz w:val="15"/>
              </w:rPr>
              <w:t>Minimum route</w:t>
            </w:r>
          </w:p>
        </w:tc>
      </w:tr>
      <w:tr>
        <w:tc>
          <w:tcPr>
            <w:tcW w:type="dxa" w:w="5040"/>
            <w:tcMar>
              <w:top w:w="70" w:type="dxa"/>
              <w:start w:w="90" w:type="dxa"/>
              <w:bottom w:w="70" w:type="dxa"/>
              <w:end w:w="90" w:type="dxa"/>
            </w:tcMar>
            <w:vAlign w:val="center"/>
          </w:tcPr>
          <w:p>
            <w:pPr>
              <w:spacing w:after="0"/>
            </w:pPr>
            <w:r>
              <w:rPr>
                <w:rFonts w:ascii="Aptos" w:hAnsi="Aptos" w:eastAsia="Aptos"/>
                <w:sz w:val="15"/>
              </w:rPr>
              <w:t>E1 ordinary permitted deviation</w:t>
            </w:r>
          </w:p>
        </w:tc>
        <w:tc>
          <w:tcPr>
            <w:tcW w:type="dxa" w:w="4608"/>
            <w:tcMar>
              <w:top w:w="70" w:type="dxa"/>
              <w:start w:w="90" w:type="dxa"/>
              <w:bottom w:w="70" w:type="dxa"/>
              <w:end w:w="90" w:type="dxa"/>
            </w:tcMar>
            <w:vAlign w:val="center"/>
          </w:tcPr>
          <w:p>
            <w:pPr>
              <w:spacing w:after="0"/>
            </w:pPr>
            <w:r>
              <w:rPr>
                <w:rFonts w:ascii="Aptos" w:hAnsi="Aptos" w:eastAsia="Aptos"/>
                <w:sz w:val="15"/>
              </w:rPr>
              <w:t>CA2 where product permits</w:t>
            </w:r>
          </w:p>
        </w:tc>
      </w:tr>
      <w:tr>
        <w:tc>
          <w:tcPr>
            <w:tcW w:type="dxa" w:w="5040"/>
            <w:shd w:fill="F7F9FC"/>
            <w:tcMar>
              <w:top w:w="70" w:type="dxa"/>
              <w:start w:w="90" w:type="dxa"/>
              <w:bottom w:w="70" w:type="dxa"/>
              <w:end w:w="90" w:type="dxa"/>
            </w:tcMar>
            <w:vAlign w:val="center"/>
          </w:tcPr>
          <w:p>
            <w:pPr>
              <w:spacing w:after="0"/>
            </w:pPr>
            <w:r>
              <w:rPr>
                <w:rFonts w:ascii="Aptos" w:hAnsi="Aptos" w:eastAsia="Aptos"/>
                <w:sz w:val="15"/>
              </w:rPr>
              <w:t>E2 ordinary exception</w:t>
            </w:r>
          </w:p>
        </w:tc>
        <w:tc>
          <w:tcPr>
            <w:tcW w:type="dxa" w:w="4608"/>
            <w:shd w:fill="F7F9FC"/>
            <w:tcMar>
              <w:top w:w="70" w:type="dxa"/>
              <w:start w:w="90" w:type="dxa"/>
              <w:bottom w:w="70" w:type="dxa"/>
              <w:end w:w="90" w:type="dxa"/>
            </w:tcMar>
            <w:vAlign w:val="center"/>
          </w:tcPr>
          <w:p>
            <w:pPr>
              <w:spacing w:after="0"/>
            </w:pPr>
            <w:r>
              <w:rPr>
                <w:rFonts w:ascii="Aptos" w:hAnsi="Aptos" w:eastAsia="Aptos"/>
                <w:sz w:val="15"/>
              </w:rPr>
              <w:t>CA3</w:t>
            </w:r>
          </w:p>
        </w:tc>
      </w:tr>
      <w:tr>
        <w:tc>
          <w:tcPr>
            <w:tcW w:type="dxa" w:w="5040"/>
            <w:tcMar>
              <w:top w:w="70" w:type="dxa"/>
              <w:start w:w="90" w:type="dxa"/>
              <w:bottom w:w="70" w:type="dxa"/>
              <w:end w:w="90" w:type="dxa"/>
            </w:tcMar>
            <w:vAlign w:val="center"/>
          </w:tcPr>
          <w:p>
            <w:pPr>
              <w:spacing w:after="0"/>
            </w:pPr>
            <w:r>
              <w:rPr>
                <w:rFonts w:ascii="Aptos" w:hAnsi="Aptos" w:eastAsia="Aptos"/>
                <w:sz w:val="15"/>
              </w:rPr>
              <w:t>PL score 620–639</w:t>
            </w:r>
          </w:p>
        </w:tc>
        <w:tc>
          <w:tcPr>
            <w:tcW w:type="dxa" w:w="4608"/>
            <w:tcMar>
              <w:top w:w="70" w:type="dxa"/>
              <w:start w:w="90" w:type="dxa"/>
              <w:bottom w:w="70" w:type="dxa"/>
              <w:end w:w="90" w:type="dxa"/>
            </w:tcMar>
            <w:vAlign w:val="center"/>
          </w:tcPr>
          <w:p>
            <w:pPr>
              <w:spacing w:after="0"/>
            </w:pPr>
            <w:r>
              <w:rPr>
                <w:rFonts w:ascii="Aptos" w:hAnsi="Aptos" w:eastAsia="Aptos"/>
                <w:sz w:val="15"/>
              </w:rPr>
              <w:t>CA3 + manual underwriting</w:t>
            </w:r>
          </w:p>
        </w:tc>
      </w:tr>
      <w:tr>
        <w:tc>
          <w:tcPr>
            <w:tcW w:type="dxa" w:w="5040"/>
            <w:shd w:fill="F7F9FC"/>
            <w:tcMar>
              <w:top w:w="70" w:type="dxa"/>
              <w:start w:w="90" w:type="dxa"/>
              <w:bottom w:w="70" w:type="dxa"/>
              <w:end w:w="90" w:type="dxa"/>
            </w:tcMar>
            <w:vAlign w:val="center"/>
          </w:tcPr>
          <w:p>
            <w:pPr>
              <w:spacing w:after="0"/>
            </w:pPr>
            <w:r>
              <w:rPr>
                <w:rFonts w:ascii="Aptos" w:hAnsi="Aptos" w:eastAsia="Aptos"/>
                <w:sz w:val="15"/>
              </w:rPr>
              <w:t>PL DTI 45.01–46.50%</w:t>
            </w:r>
          </w:p>
        </w:tc>
        <w:tc>
          <w:tcPr>
            <w:tcW w:type="dxa" w:w="4608"/>
            <w:shd w:fill="F7F9FC"/>
            <w:tcMar>
              <w:top w:w="70" w:type="dxa"/>
              <w:start w:w="90" w:type="dxa"/>
              <w:bottom w:w="70" w:type="dxa"/>
              <w:end w:w="90" w:type="dxa"/>
            </w:tcMar>
            <w:vAlign w:val="center"/>
          </w:tcPr>
          <w:p>
            <w:pPr>
              <w:spacing w:after="0"/>
            </w:pPr>
            <w:r>
              <w:rPr>
                <w:rFonts w:ascii="Aptos" w:hAnsi="Aptos" w:eastAsia="Aptos"/>
                <w:sz w:val="15"/>
              </w:rPr>
              <w:t>CA4</w:t>
            </w:r>
          </w:p>
        </w:tc>
      </w:tr>
      <w:tr>
        <w:tc>
          <w:tcPr>
            <w:tcW w:type="dxa" w:w="5040"/>
            <w:tcMar>
              <w:top w:w="70" w:type="dxa"/>
              <w:start w:w="90" w:type="dxa"/>
              <w:bottom w:w="70" w:type="dxa"/>
              <w:end w:w="90" w:type="dxa"/>
            </w:tcMar>
            <w:vAlign w:val="center"/>
          </w:tcPr>
          <w:p>
            <w:pPr>
              <w:spacing w:after="0"/>
            </w:pPr>
            <w:r>
              <w:rPr>
                <w:rFonts w:ascii="Aptos" w:hAnsi="Aptos" w:eastAsia="Aptos"/>
                <w:sz w:val="15"/>
              </w:rPr>
              <w:t>PL DTI 46.51–48.00%</w:t>
            </w:r>
          </w:p>
        </w:tc>
        <w:tc>
          <w:tcPr>
            <w:tcW w:type="dxa" w:w="4608"/>
            <w:tcMar>
              <w:top w:w="70" w:type="dxa"/>
              <w:start w:w="90" w:type="dxa"/>
              <w:bottom w:w="70" w:type="dxa"/>
              <w:end w:w="90" w:type="dxa"/>
            </w:tcMar>
            <w:vAlign w:val="center"/>
          </w:tcPr>
          <w:p>
            <w:pPr>
              <w:spacing w:after="0"/>
            </w:pPr>
            <w:r>
              <w:rPr>
                <w:rFonts w:ascii="Aptos" w:hAnsi="Aptos" w:eastAsia="Aptos"/>
                <w:sz w:val="15"/>
              </w:rPr>
              <w:t>CA4 + Credit Risk concurrence</w:t>
            </w:r>
          </w:p>
        </w:tc>
      </w:tr>
      <w:tr>
        <w:tc>
          <w:tcPr>
            <w:tcW w:type="dxa" w:w="5040"/>
            <w:shd w:fill="F7F9FC"/>
            <w:tcMar>
              <w:top w:w="70" w:type="dxa"/>
              <w:start w:w="90" w:type="dxa"/>
              <w:bottom w:w="70" w:type="dxa"/>
              <w:end w:w="90" w:type="dxa"/>
            </w:tcMar>
            <w:vAlign w:val="center"/>
          </w:tcPr>
          <w:p>
            <w:pPr>
              <w:spacing w:after="0"/>
            </w:pPr>
            <w:r>
              <w:rPr>
                <w:rFonts w:ascii="Aptos" w:hAnsi="Aptos" w:eastAsia="Aptos"/>
                <w:sz w:val="15"/>
              </w:rPr>
              <w:t>E4 / material appetite departure</w:t>
            </w:r>
          </w:p>
        </w:tc>
        <w:tc>
          <w:tcPr>
            <w:tcW w:type="dxa" w:w="4608"/>
            <w:shd w:fill="F7F9FC"/>
            <w:tcMar>
              <w:top w:w="70" w:type="dxa"/>
              <w:start w:w="90" w:type="dxa"/>
              <w:bottom w:w="70" w:type="dxa"/>
              <w:end w:w="90" w:type="dxa"/>
            </w:tcMar>
            <w:vAlign w:val="center"/>
          </w:tcPr>
          <w:p>
            <w:pPr>
              <w:spacing w:after="0"/>
            </w:pPr>
            <w:r>
              <w:rPr>
                <w:rFonts w:ascii="Aptos" w:hAnsi="Aptos" w:eastAsia="Aptos"/>
                <w:sz w:val="15"/>
              </w:rPr>
              <w:t>CA5/CA6/committee depending on reserved matter</w:t>
            </w:r>
          </w:p>
        </w:tc>
      </w:tr>
      <w:tr>
        <w:tc>
          <w:tcPr>
            <w:tcW w:type="dxa" w:w="5040"/>
            <w:tcMar>
              <w:top w:w="70" w:type="dxa"/>
              <w:start w:w="90" w:type="dxa"/>
              <w:bottom w:w="70" w:type="dxa"/>
              <w:end w:w="90" w:type="dxa"/>
            </w:tcMar>
            <w:vAlign w:val="center"/>
          </w:tcPr>
          <w:p>
            <w:pPr>
              <w:spacing w:after="0"/>
            </w:pPr>
            <w:r>
              <w:rPr>
                <w:rFonts w:ascii="Aptos" w:hAnsi="Aptos" w:eastAsia="Aptos"/>
                <w:sz w:val="15"/>
              </w:rPr>
              <w:t>Risk Grade 4 standard new retail</w:t>
            </w:r>
          </w:p>
        </w:tc>
        <w:tc>
          <w:tcPr>
            <w:tcW w:type="dxa" w:w="4608"/>
            <w:tcMar>
              <w:top w:w="70" w:type="dxa"/>
              <w:start w:w="90" w:type="dxa"/>
              <w:bottom w:w="70" w:type="dxa"/>
              <w:end w:w="90" w:type="dxa"/>
            </w:tcMar>
            <w:vAlign w:val="center"/>
          </w:tcPr>
          <w:p>
            <w:pPr>
              <w:spacing w:after="0"/>
            </w:pPr>
            <w:r>
              <w:rPr>
                <w:rFonts w:ascii="Aptos" w:hAnsi="Aptos" w:eastAsia="Aptos"/>
                <w:sz w:val="15"/>
              </w:rPr>
              <w:t>CA3 minimum; product may require more</w:t>
            </w:r>
          </w:p>
        </w:tc>
      </w:tr>
    </w:tbl>
    <w:p>
      <w:pPr>
        <w:spacing w:after="0"/>
      </w:pPr>
    </w:p>
    <w:p>
      <w:pPr>
        <w:spacing w:after="40"/>
      </w:pPr>
      <w:r>
        <w:rPr>
          <w:rFonts w:ascii="Aptos" w:hAnsi="Aptos" w:eastAsia="Aptos"/>
          <w:b/>
          <w:color w:val="17365D"/>
          <w:sz w:val="18"/>
        </w:rPr>
        <w:t>Application notes</w:t>
      </w:r>
    </w:p>
    <w:p>
      <w:pPr>
        <w:spacing w:after="46"/>
        <w:ind w:left="259" w:hanging="173"/>
      </w:pPr>
      <w:r>
        <w:rPr>
          <w:rFonts w:ascii="Aptos" w:hAnsi="Aptos" w:eastAsia="Aptos"/>
          <w:b/>
          <w:color w:val="2F5597"/>
          <w:sz w:val="18"/>
        </w:rPr>
        <w:t xml:space="preserve">• </w:t>
      </w:r>
      <w:r>
        <w:rPr>
          <w:rFonts w:ascii="Aptos" w:hAnsi="Aptos" w:eastAsia="Aptos"/>
          <w:sz w:val="18"/>
        </w:rPr>
        <w:t>Monetary authority must also be sufficient.</w:t>
      </w:r>
    </w:p>
    <w:p>
      <w:r>
        <w:br w:type="page"/>
      </w:r>
    </w:p>
    <w:p>
      <w:pPr>
        <w:pStyle w:val="Heading1"/>
      </w:pPr>
      <w:r>
        <w:t>Appendix C — Approval Examples</w:t>
      </w:r>
    </w:p>
    <w:p>
      <w:r>
        <w:t>The examples show how overlapping limits are resolved.</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75"/>
        <w:gridCol w:w="4975"/>
      </w:tblGrid>
      <w:tr>
        <w:trPr>
          <w:tblHeader w:val="true"/>
        </w:trPr>
        <w:tc>
          <w:tcPr>
            <w:tcW w:type="dxa" w:w="5472"/>
            <w:shd w:fill="17365D"/>
            <w:tcMar>
              <w:top w:w="70" w:type="dxa"/>
              <w:start w:w="90" w:type="dxa"/>
              <w:bottom w:w="70" w:type="dxa"/>
              <w:end w:w="90" w:type="dxa"/>
            </w:tcMar>
          </w:tcPr>
          <w:p>
            <w:pPr>
              <w:spacing w:after="0"/>
            </w:pPr>
            <w:r>
              <w:rPr>
                <w:rFonts w:ascii="Aptos" w:hAnsi="Aptos" w:eastAsia="Aptos"/>
                <w:b/>
                <w:color w:val="FFFFFF"/>
                <w:sz w:val="15"/>
              </w:rPr>
              <w:t>Case</w:t>
            </w:r>
          </w:p>
        </w:tc>
        <w:tc>
          <w:tcPr>
            <w:tcW w:type="dxa" w:w="4320"/>
            <w:shd w:fill="17365D"/>
            <w:tcMar>
              <w:top w:w="70" w:type="dxa"/>
              <w:start w:w="90" w:type="dxa"/>
              <w:bottom w:w="70" w:type="dxa"/>
              <w:end w:w="90" w:type="dxa"/>
            </w:tcMar>
          </w:tcPr>
          <w:p>
            <w:pPr>
              <w:spacing w:after="0"/>
            </w:pPr>
            <w:r>
              <w:rPr>
                <w:rFonts w:ascii="Aptos" w:hAnsi="Aptos" w:eastAsia="Aptos"/>
                <w:b/>
                <w:color w:val="FFFFFF"/>
                <w:sz w:val="15"/>
              </w:rPr>
              <w:t>Required authority</w:t>
            </w:r>
          </w:p>
        </w:tc>
      </w:tr>
      <w:tr>
        <w:tc>
          <w:tcPr>
            <w:tcW w:type="dxa" w:w="5472"/>
            <w:tcMar>
              <w:top w:w="70" w:type="dxa"/>
              <w:start w:w="90" w:type="dxa"/>
              <w:bottom w:w="70" w:type="dxa"/>
              <w:end w:w="90" w:type="dxa"/>
            </w:tcMar>
            <w:vAlign w:val="center"/>
          </w:tcPr>
          <w:p>
            <w:pPr>
              <w:spacing w:after="0"/>
            </w:pPr>
            <w:r>
              <w:rPr>
                <w:rFonts w:ascii="Aptos" w:hAnsi="Aptos" w:eastAsia="Aptos"/>
                <w:sz w:val="15"/>
              </w:rPr>
              <w:t>₹9L standard personal loan, Risk Grade 2</w:t>
            </w:r>
          </w:p>
        </w:tc>
        <w:tc>
          <w:tcPr>
            <w:tcW w:type="dxa" w:w="4320"/>
            <w:tcMar>
              <w:top w:w="70" w:type="dxa"/>
              <w:start w:w="90" w:type="dxa"/>
              <w:bottom w:w="70" w:type="dxa"/>
              <w:end w:w="90" w:type="dxa"/>
            </w:tcMar>
            <w:vAlign w:val="center"/>
          </w:tcPr>
          <w:p>
            <w:pPr>
              <w:spacing w:after="0"/>
            </w:pPr>
            <w:r>
              <w:rPr>
                <w:rFonts w:ascii="Aptos" w:hAnsi="Aptos" w:eastAsia="Aptos"/>
                <w:sz w:val="15"/>
              </w:rPr>
              <w:t>CA1</w:t>
            </w:r>
          </w:p>
        </w:tc>
      </w:tr>
      <w:tr>
        <w:tc>
          <w:tcPr>
            <w:tcW w:type="dxa" w:w="5472"/>
            <w:shd w:fill="F7F9FC"/>
            <w:tcMar>
              <w:top w:w="70" w:type="dxa"/>
              <w:start w:w="90" w:type="dxa"/>
              <w:bottom w:w="70" w:type="dxa"/>
              <w:end w:w="90" w:type="dxa"/>
            </w:tcMar>
            <w:vAlign w:val="center"/>
          </w:tcPr>
          <w:p>
            <w:pPr>
              <w:spacing w:after="0"/>
            </w:pPr>
            <w:r>
              <w:rPr>
                <w:rFonts w:ascii="Aptos" w:hAnsi="Aptos" w:eastAsia="Aptos"/>
                <w:sz w:val="15"/>
              </w:rPr>
              <w:t>₹9L new-vehicle loan</w:t>
            </w:r>
          </w:p>
        </w:tc>
        <w:tc>
          <w:tcPr>
            <w:tcW w:type="dxa" w:w="4320"/>
            <w:shd w:fill="F7F9FC"/>
            <w:tcMar>
              <w:top w:w="70" w:type="dxa"/>
              <w:start w:w="90" w:type="dxa"/>
              <w:bottom w:w="70" w:type="dxa"/>
              <w:end w:w="90" w:type="dxa"/>
            </w:tcMar>
            <w:vAlign w:val="center"/>
          </w:tcPr>
          <w:p>
            <w:pPr>
              <w:spacing w:after="0"/>
            </w:pPr>
            <w:r>
              <w:rPr>
                <w:rFonts w:ascii="Aptos" w:hAnsi="Aptos" w:eastAsia="Aptos"/>
                <w:sz w:val="15"/>
              </w:rPr>
              <w:t>CA2 because CA1 vehicle cap is ₹8L</w:t>
            </w:r>
          </w:p>
        </w:tc>
      </w:tr>
      <w:tr>
        <w:tc>
          <w:tcPr>
            <w:tcW w:type="dxa" w:w="5472"/>
            <w:tcMar>
              <w:top w:w="70" w:type="dxa"/>
              <w:start w:w="90" w:type="dxa"/>
              <w:bottom w:w="70" w:type="dxa"/>
              <w:end w:w="90" w:type="dxa"/>
            </w:tcMar>
            <w:vAlign w:val="center"/>
          </w:tcPr>
          <w:p>
            <w:pPr>
              <w:spacing w:after="0"/>
            </w:pPr>
            <w:r>
              <w:rPr>
                <w:rFonts w:ascii="Aptos" w:hAnsi="Aptos" w:eastAsia="Aptos"/>
                <w:sz w:val="15"/>
              </w:rPr>
              <w:t>₹7L used-vehicle loan</w:t>
            </w:r>
          </w:p>
        </w:tc>
        <w:tc>
          <w:tcPr>
            <w:tcW w:type="dxa" w:w="4320"/>
            <w:tcMar>
              <w:top w:w="70" w:type="dxa"/>
              <w:start w:w="90" w:type="dxa"/>
              <w:bottom w:w="70" w:type="dxa"/>
              <w:end w:w="90" w:type="dxa"/>
            </w:tcMar>
            <w:vAlign w:val="center"/>
          </w:tcPr>
          <w:p>
            <w:pPr>
              <w:spacing w:after="0"/>
            </w:pPr>
            <w:r>
              <w:rPr>
                <w:rFonts w:ascii="Aptos" w:hAnsi="Aptos" w:eastAsia="Aptos"/>
                <w:sz w:val="15"/>
              </w:rPr>
              <w:t>CA2 because CA1 used-vehicle cap is ₹6L</w:t>
            </w:r>
          </w:p>
        </w:tc>
      </w:tr>
      <w:tr>
        <w:tc>
          <w:tcPr>
            <w:tcW w:type="dxa" w:w="5472"/>
            <w:shd w:fill="F7F9FC"/>
            <w:tcMar>
              <w:top w:w="70" w:type="dxa"/>
              <w:start w:w="90" w:type="dxa"/>
              <w:bottom w:w="70" w:type="dxa"/>
              <w:end w:w="90" w:type="dxa"/>
            </w:tcMar>
            <w:vAlign w:val="center"/>
          </w:tcPr>
          <w:p>
            <w:pPr>
              <w:spacing w:after="0"/>
            </w:pPr>
            <w:r>
              <w:rPr>
                <w:rFonts w:ascii="Aptos" w:hAnsi="Aptos" w:eastAsia="Aptos"/>
                <w:sz w:val="15"/>
              </w:rPr>
              <w:t>₹8L SME facility</w:t>
            </w:r>
          </w:p>
        </w:tc>
        <w:tc>
          <w:tcPr>
            <w:tcW w:type="dxa" w:w="4320"/>
            <w:shd w:fill="F7F9FC"/>
            <w:tcMar>
              <w:top w:w="70" w:type="dxa"/>
              <w:start w:w="90" w:type="dxa"/>
              <w:bottom w:w="70" w:type="dxa"/>
              <w:end w:w="90" w:type="dxa"/>
            </w:tcMar>
            <w:vAlign w:val="center"/>
          </w:tcPr>
          <w:p>
            <w:pPr>
              <w:spacing w:after="0"/>
            </w:pPr>
            <w:r>
              <w:rPr>
                <w:rFonts w:ascii="Aptos" w:hAnsi="Aptos" w:eastAsia="Aptos"/>
                <w:sz w:val="15"/>
              </w:rPr>
              <w:t>CA2 because CA1 SME cap is ₹5L</w:t>
            </w:r>
          </w:p>
        </w:tc>
      </w:tr>
      <w:tr>
        <w:tc>
          <w:tcPr>
            <w:tcW w:type="dxa" w:w="5472"/>
            <w:tcMar>
              <w:top w:w="70" w:type="dxa"/>
              <w:start w:w="90" w:type="dxa"/>
              <w:bottom w:w="70" w:type="dxa"/>
              <w:end w:w="90" w:type="dxa"/>
            </w:tcMar>
            <w:vAlign w:val="center"/>
          </w:tcPr>
          <w:p>
            <w:pPr>
              <w:spacing w:after="0"/>
            </w:pPr>
            <w:r>
              <w:rPr>
                <w:rFonts w:ascii="Aptos" w:hAnsi="Aptos" w:eastAsia="Aptos"/>
                <w:sz w:val="15"/>
              </w:rPr>
              <w:t>₹8L PL at 46.0% DTI</w:t>
            </w:r>
          </w:p>
        </w:tc>
        <w:tc>
          <w:tcPr>
            <w:tcW w:type="dxa" w:w="4320"/>
            <w:tcMar>
              <w:top w:w="70" w:type="dxa"/>
              <w:start w:w="90" w:type="dxa"/>
              <w:bottom w:w="70" w:type="dxa"/>
              <w:end w:w="90" w:type="dxa"/>
            </w:tcMar>
            <w:vAlign w:val="center"/>
          </w:tcPr>
          <w:p>
            <w:pPr>
              <w:spacing w:after="0"/>
            </w:pPr>
            <w:r>
              <w:rPr>
                <w:rFonts w:ascii="Aptos" w:hAnsi="Aptos" w:eastAsia="Aptos"/>
                <w:sz w:val="15"/>
              </w:rPr>
              <w:t>CA4 due DTI exception, despite low amount</w:t>
            </w:r>
          </w:p>
        </w:tc>
      </w:tr>
      <w:tr>
        <w:tc>
          <w:tcPr>
            <w:tcW w:type="dxa" w:w="5472"/>
            <w:shd w:fill="F7F9FC"/>
            <w:tcMar>
              <w:top w:w="70" w:type="dxa"/>
              <w:start w:w="90" w:type="dxa"/>
              <w:bottom w:w="70" w:type="dxa"/>
              <w:end w:w="90" w:type="dxa"/>
            </w:tcMar>
            <w:vAlign w:val="center"/>
          </w:tcPr>
          <w:p>
            <w:pPr>
              <w:spacing w:after="0"/>
            </w:pPr>
            <w:r>
              <w:rPr>
                <w:rFonts w:ascii="Aptos" w:hAnsi="Aptos" w:eastAsia="Aptos"/>
                <w:sz w:val="15"/>
              </w:rPr>
              <w:t>₹15L PL score 635</w:t>
            </w:r>
          </w:p>
        </w:tc>
        <w:tc>
          <w:tcPr>
            <w:tcW w:type="dxa" w:w="4320"/>
            <w:shd w:fill="F7F9FC"/>
            <w:tcMar>
              <w:top w:w="70" w:type="dxa"/>
              <w:start w:w="90" w:type="dxa"/>
              <w:bottom w:w="70" w:type="dxa"/>
              <w:end w:w="90" w:type="dxa"/>
            </w:tcMar>
            <w:vAlign w:val="center"/>
          </w:tcPr>
          <w:p>
            <w:pPr>
              <w:spacing w:after="0"/>
            </w:pPr>
            <w:r>
              <w:rPr>
                <w:rFonts w:ascii="Aptos" w:hAnsi="Aptos" w:eastAsia="Aptos"/>
                <w:sz w:val="15"/>
              </w:rPr>
              <w:t>CA3 minimum for score exception; amount also within CA2, so CA3 governs</w:t>
            </w:r>
          </w:p>
        </w:tc>
      </w:tr>
      <w:tr>
        <w:tc>
          <w:tcPr>
            <w:tcW w:type="dxa" w:w="5472"/>
            <w:tcMar>
              <w:top w:w="70" w:type="dxa"/>
              <w:start w:w="90" w:type="dxa"/>
              <w:bottom w:w="70" w:type="dxa"/>
              <w:end w:w="90" w:type="dxa"/>
            </w:tcMar>
            <w:vAlign w:val="center"/>
          </w:tcPr>
          <w:p>
            <w:pPr>
              <w:spacing w:after="0"/>
            </w:pPr>
            <w:r>
              <w:rPr>
                <w:rFonts w:ascii="Aptos" w:hAnsi="Aptos" w:eastAsia="Aptos"/>
                <w:sz w:val="15"/>
              </w:rPr>
              <w:t>₹30L standard personal loan under ordinary product</w:t>
            </w:r>
          </w:p>
        </w:tc>
        <w:tc>
          <w:tcPr>
            <w:tcW w:type="dxa" w:w="4320"/>
            <w:tcMar>
              <w:top w:w="70" w:type="dxa"/>
              <w:start w:w="90" w:type="dxa"/>
              <w:bottom w:w="70" w:type="dxa"/>
              <w:end w:w="90" w:type="dxa"/>
            </w:tcMar>
            <w:vAlign w:val="center"/>
          </w:tcPr>
          <w:p>
            <w:pPr>
              <w:spacing w:after="0"/>
            </w:pPr>
            <w:r>
              <w:rPr>
                <w:rFonts w:ascii="Aptos" w:hAnsi="Aptos" w:eastAsia="Aptos"/>
                <w:sz w:val="15"/>
              </w:rPr>
              <w:t>Not approvable under standard ₹20L product cap merely by using CA3</w:t>
            </w:r>
          </w:p>
        </w:tc>
      </w:tr>
    </w:tbl>
    <w:p>
      <w:pPr>
        <w:spacing w:after="0"/>
      </w:pPr>
    </w:p>
    <w:p>
      <w:pPr>
        <w:spacing w:after="40"/>
      </w:pPr>
      <w:r>
        <w:rPr>
          <w:rFonts w:ascii="Aptos" w:hAnsi="Aptos" w:eastAsia="Aptos"/>
          <w:b/>
          <w:color w:val="17365D"/>
          <w:sz w:val="18"/>
        </w:rPr>
        <w:t>Application notes</w:t>
      </w:r>
    </w:p>
    <w:p>
      <w:pPr>
        <w:spacing w:after="46"/>
        <w:ind w:left="259" w:hanging="173"/>
      </w:pPr>
      <w:r>
        <w:rPr>
          <w:rFonts w:ascii="Aptos" w:hAnsi="Aptos" w:eastAsia="Aptos"/>
          <w:b/>
          <w:color w:val="2F5597"/>
          <w:sz w:val="18"/>
        </w:rPr>
        <w:t xml:space="preserve">• </w:t>
      </w:r>
      <w:r>
        <w:rPr>
          <w:rFonts w:ascii="Aptos" w:hAnsi="Aptos" w:eastAsia="Aptos"/>
          <w:sz w:val="18"/>
        </w:rPr>
        <w:t>Authority is never created by dividing one case into smaller approvals.</w:t>
      </w:r>
    </w:p>
    <w:p>
      <w:r>
        <w:br w:type="page"/>
      </w:r>
    </w:p>
    <w:p>
      <w:pPr>
        <w:pStyle w:val="Heading1"/>
      </w:pPr>
      <w:r>
        <w:t>Appendix D — Authority Administration Checklist</w:t>
      </w:r>
    </w:p>
    <w:p>
      <w:r>
        <w:t>This checklist supports role provisioning and periodic review.</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75"/>
        <w:gridCol w:w="4975"/>
      </w:tblGrid>
      <w:tr>
        <w:trPr>
          <w:tblHeader w:val="true"/>
        </w:trPr>
        <w:tc>
          <w:tcPr>
            <w:tcW w:type="dxa" w:w="5184"/>
            <w:shd w:fill="17365D"/>
            <w:tcMar>
              <w:top w:w="70" w:type="dxa"/>
              <w:start w:w="90" w:type="dxa"/>
              <w:bottom w:w="70" w:type="dxa"/>
              <w:end w:w="90" w:type="dxa"/>
            </w:tcMar>
          </w:tcPr>
          <w:p>
            <w:pPr>
              <w:spacing w:after="0"/>
            </w:pPr>
            <w:r>
              <w:rPr>
                <w:rFonts w:ascii="Aptos" w:hAnsi="Aptos" w:eastAsia="Aptos"/>
                <w:b/>
                <w:color w:val="FFFFFF"/>
                <w:sz w:val="15"/>
              </w:rPr>
              <w:t>Check</w:t>
            </w:r>
          </w:p>
        </w:tc>
        <w:tc>
          <w:tcPr>
            <w:tcW w:type="dxa" w:w="4608"/>
            <w:shd w:fill="17365D"/>
            <w:tcMar>
              <w:top w:w="70" w:type="dxa"/>
              <w:start w:w="90" w:type="dxa"/>
              <w:bottom w:w="70" w:type="dxa"/>
              <w:end w:w="90" w:type="dxa"/>
            </w:tcMar>
          </w:tcPr>
          <w:p>
            <w:pPr>
              <w:spacing w:after="0"/>
            </w:pPr>
            <w:r>
              <w:rPr>
                <w:rFonts w:ascii="Aptos" w:hAnsi="Aptos" w:eastAsia="Aptos"/>
                <w:b/>
                <w:color w:val="FFFFFF"/>
                <w:sz w:val="15"/>
              </w:rPr>
              <w:t>Evidence</w:t>
            </w:r>
          </w:p>
        </w:tc>
      </w:tr>
      <w:tr>
        <w:tc>
          <w:tcPr>
            <w:tcW w:type="dxa" w:w="5184"/>
            <w:tcMar>
              <w:top w:w="70" w:type="dxa"/>
              <w:start w:w="90" w:type="dxa"/>
              <w:bottom w:w="70" w:type="dxa"/>
              <w:end w:w="90" w:type="dxa"/>
            </w:tcMar>
            <w:vAlign w:val="center"/>
          </w:tcPr>
          <w:p>
            <w:pPr>
              <w:spacing w:after="0"/>
            </w:pPr>
            <w:r>
              <w:rPr>
                <w:rFonts w:ascii="Aptos" w:hAnsi="Aptos" w:eastAsia="Aptos"/>
                <w:sz w:val="15"/>
              </w:rPr>
              <w:t>Role mapped to current CA level</w:t>
            </w:r>
          </w:p>
        </w:tc>
        <w:tc>
          <w:tcPr>
            <w:tcW w:type="dxa" w:w="4608"/>
            <w:tcMar>
              <w:top w:w="70" w:type="dxa"/>
              <w:start w:w="90" w:type="dxa"/>
              <w:bottom w:w="70" w:type="dxa"/>
              <w:end w:w="90" w:type="dxa"/>
            </w:tcMar>
            <w:vAlign w:val="center"/>
          </w:tcPr>
          <w:p>
            <w:pPr>
              <w:spacing w:after="0"/>
            </w:pPr>
            <w:r>
              <w:rPr>
                <w:rFonts w:ascii="Aptos" w:hAnsi="Aptos" w:eastAsia="Aptos"/>
                <w:sz w:val="15"/>
              </w:rPr>
              <w:t>Approved role matrix</w:t>
            </w:r>
          </w:p>
        </w:tc>
      </w:tr>
      <w:tr>
        <w:tc>
          <w:tcPr>
            <w:tcW w:type="dxa" w:w="5184"/>
            <w:shd w:fill="F7F9FC"/>
            <w:tcMar>
              <w:top w:w="70" w:type="dxa"/>
              <w:start w:w="90" w:type="dxa"/>
              <w:bottom w:w="70" w:type="dxa"/>
              <w:end w:w="90" w:type="dxa"/>
            </w:tcMar>
            <w:vAlign w:val="center"/>
          </w:tcPr>
          <w:p>
            <w:pPr>
              <w:spacing w:after="0"/>
            </w:pPr>
            <w:r>
              <w:rPr>
                <w:rFonts w:ascii="Aptos" w:hAnsi="Aptos" w:eastAsia="Aptos"/>
                <w:sz w:val="15"/>
              </w:rPr>
              <w:t>Product restrictions captured</w:t>
            </w:r>
          </w:p>
        </w:tc>
        <w:tc>
          <w:tcPr>
            <w:tcW w:type="dxa" w:w="4608"/>
            <w:shd w:fill="F7F9FC"/>
            <w:tcMar>
              <w:top w:w="70" w:type="dxa"/>
              <w:start w:w="90" w:type="dxa"/>
              <w:bottom w:w="70" w:type="dxa"/>
              <w:end w:w="90" w:type="dxa"/>
            </w:tcMar>
            <w:vAlign w:val="center"/>
          </w:tcPr>
          <w:p>
            <w:pPr>
              <w:spacing w:after="0"/>
            </w:pPr>
            <w:r>
              <w:rPr>
                <w:rFonts w:ascii="Aptos" w:hAnsi="Aptos" w:eastAsia="Aptos"/>
                <w:sz w:val="15"/>
              </w:rPr>
              <w:t>Authority schedule / product procedure</w:t>
            </w:r>
          </w:p>
        </w:tc>
      </w:tr>
      <w:tr>
        <w:tc>
          <w:tcPr>
            <w:tcW w:type="dxa" w:w="5184"/>
            <w:tcMar>
              <w:top w:w="70" w:type="dxa"/>
              <w:start w:w="90" w:type="dxa"/>
              <w:bottom w:w="70" w:type="dxa"/>
              <w:end w:w="90" w:type="dxa"/>
            </w:tcMar>
            <w:vAlign w:val="center"/>
          </w:tcPr>
          <w:p>
            <w:pPr>
              <w:spacing w:after="0"/>
            </w:pPr>
            <w:r>
              <w:rPr>
                <w:rFonts w:ascii="Aptos" w:hAnsi="Aptos" w:eastAsia="Aptos"/>
                <w:sz w:val="15"/>
              </w:rPr>
              <w:t>Exception rights captured separately</w:t>
            </w:r>
          </w:p>
        </w:tc>
        <w:tc>
          <w:tcPr>
            <w:tcW w:type="dxa" w:w="4608"/>
            <w:tcMar>
              <w:top w:w="70" w:type="dxa"/>
              <w:start w:w="90" w:type="dxa"/>
              <w:bottom w:w="70" w:type="dxa"/>
              <w:end w:w="90" w:type="dxa"/>
            </w:tcMar>
            <w:vAlign w:val="center"/>
          </w:tcPr>
          <w:p>
            <w:pPr>
              <w:spacing w:after="0"/>
            </w:pPr>
            <w:r>
              <w:rPr>
                <w:rFonts w:ascii="Aptos" w:hAnsi="Aptos" w:eastAsia="Aptos"/>
                <w:sz w:val="15"/>
              </w:rPr>
              <w:t>CEP-006 mapping</w:t>
            </w:r>
          </w:p>
        </w:tc>
      </w:tr>
      <w:tr>
        <w:tc>
          <w:tcPr>
            <w:tcW w:type="dxa" w:w="5184"/>
            <w:shd w:fill="F7F9FC"/>
            <w:tcMar>
              <w:top w:w="70" w:type="dxa"/>
              <w:start w:w="90" w:type="dxa"/>
              <w:bottom w:w="70" w:type="dxa"/>
              <w:end w:w="90" w:type="dxa"/>
            </w:tcMar>
            <w:vAlign w:val="center"/>
          </w:tcPr>
          <w:p>
            <w:pPr>
              <w:spacing w:after="0"/>
            </w:pPr>
            <w:r>
              <w:rPr>
                <w:rFonts w:ascii="Aptos" w:hAnsi="Aptos" w:eastAsia="Aptos"/>
                <w:sz w:val="15"/>
              </w:rPr>
              <w:t>Temporary delegation dates valid</w:t>
            </w:r>
          </w:p>
        </w:tc>
        <w:tc>
          <w:tcPr>
            <w:tcW w:type="dxa" w:w="4608"/>
            <w:shd w:fill="F7F9FC"/>
            <w:tcMar>
              <w:top w:w="70" w:type="dxa"/>
              <w:start w:w="90" w:type="dxa"/>
              <w:bottom w:w="70" w:type="dxa"/>
              <w:end w:w="90" w:type="dxa"/>
            </w:tcMar>
            <w:vAlign w:val="center"/>
          </w:tcPr>
          <w:p>
            <w:pPr>
              <w:spacing w:after="0"/>
            </w:pPr>
            <w:r>
              <w:rPr>
                <w:rFonts w:ascii="Aptos" w:hAnsi="Aptos" w:eastAsia="Aptos"/>
                <w:sz w:val="15"/>
              </w:rPr>
              <w:t>Signed delegation record</w:t>
            </w:r>
          </w:p>
        </w:tc>
      </w:tr>
      <w:tr>
        <w:tc>
          <w:tcPr>
            <w:tcW w:type="dxa" w:w="5184"/>
            <w:tcMar>
              <w:top w:w="70" w:type="dxa"/>
              <w:start w:w="90" w:type="dxa"/>
              <w:bottom w:w="70" w:type="dxa"/>
              <w:end w:w="90" w:type="dxa"/>
            </w:tcMar>
            <w:vAlign w:val="center"/>
          </w:tcPr>
          <w:p>
            <w:pPr>
              <w:spacing w:after="0"/>
            </w:pPr>
            <w:r>
              <w:rPr>
                <w:rFonts w:ascii="Aptos" w:hAnsi="Aptos" w:eastAsia="Aptos"/>
                <w:sz w:val="15"/>
              </w:rPr>
              <w:t>Conflicts / restrictions known</w:t>
            </w:r>
          </w:p>
        </w:tc>
        <w:tc>
          <w:tcPr>
            <w:tcW w:type="dxa" w:w="4608"/>
            <w:tcMar>
              <w:top w:w="70" w:type="dxa"/>
              <w:start w:w="90" w:type="dxa"/>
              <w:bottom w:w="70" w:type="dxa"/>
              <w:end w:w="90" w:type="dxa"/>
            </w:tcMar>
            <w:vAlign w:val="center"/>
          </w:tcPr>
          <w:p>
            <w:pPr>
              <w:spacing w:after="0"/>
            </w:pPr>
            <w:r>
              <w:rPr>
                <w:rFonts w:ascii="Aptos" w:hAnsi="Aptos" w:eastAsia="Aptos"/>
                <w:sz w:val="15"/>
              </w:rPr>
              <w:t>Restriction notice or declaration</w:t>
            </w:r>
          </w:p>
        </w:tc>
      </w:tr>
      <w:tr>
        <w:tc>
          <w:tcPr>
            <w:tcW w:type="dxa" w:w="5184"/>
            <w:shd w:fill="F7F9FC"/>
            <w:tcMar>
              <w:top w:w="70" w:type="dxa"/>
              <w:start w:w="90" w:type="dxa"/>
              <w:bottom w:w="70" w:type="dxa"/>
              <w:end w:w="90" w:type="dxa"/>
            </w:tcMar>
            <w:vAlign w:val="center"/>
          </w:tcPr>
          <w:p>
            <w:pPr>
              <w:spacing w:after="0"/>
            </w:pPr>
            <w:r>
              <w:rPr>
                <w:rFonts w:ascii="Aptos" w:hAnsi="Aptos" w:eastAsia="Aptos"/>
                <w:sz w:val="15"/>
              </w:rPr>
              <w:t>System entitlement matches role</w:t>
            </w:r>
          </w:p>
        </w:tc>
        <w:tc>
          <w:tcPr>
            <w:tcW w:type="dxa" w:w="4608"/>
            <w:shd w:fill="F7F9FC"/>
            <w:tcMar>
              <w:top w:w="70" w:type="dxa"/>
              <w:start w:w="90" w:type="dxa"/>
              <w:bottom w:w="70" w:type="dxa"/>
              <w:end w:w="90" w:type="dxa"/>
            </w:tcMar>
            <w:vAlign w:val="center"/>
          </w:tcPr>
          <w:p>
            <w:pPr>
              <w:spacing w:after="0"/>
            </w:pPr>
            <w:r>
              <w:rPr>
                <w:rFonts w:ascii="Aptos" w:hAnsi="Aptos" w:eastAsia="Aptos"/>
                <w:sz w:val="15"/>
              </w:rPr>
              <w:t>Access review output</w:t>
            </w:r>
          </w:p>
        </w:tc>
      </w:tr>
      <w:tr>
        <w:tc>
          <w:tcPr>
            <w:tcW w:type="dxa" w:w="5184"/>
            <w:tcMar>
              <w:top w:w="70" w:type="dxa"/>
              <w:start w:w="90" w:type="dxa"/>
              <w:bottom w:w="70" w:type="dxa"/>
              <w:end w:w="90" w:type="dxa"/>
            </w:tcMar>
            <w:vAlign w:val="center"/>
          </w:tcPr>
          <w:p>
            <w:pPr>
              <w:spacing w:after="0"/>
            </w:pPr>
            <w:r>
              <w:rPr>
                <w:rFonts w:ascii="Aptos" w:hAnsi="Aptos" w:eastAsia="Aptos"/>
                <w:sz w:val="15"/>
              </w:rPr>
              <w:t>Expired access removed</w:t>
            </w:r>
          </w:p>
        </w:tc>
        <w:tc>
          <w:tcPr>
            <w:tcW w:type="dxa" w:w="4608"/>
            <w:tcMar>
              <w:top w:w="70" w:type="dxa"/>
              <w:start w:w="90" w:type="dxa"/>
              <w:bottom w:w="70" w:type="dxa"/>
              <w:end w:w="90" w:type="dxa"/>
            </w:tcMar>
            <w:vAlign w:val="center"/>
          </w:tcPr>
          <w:p>
            <w:pPr>
              <w:spacing w:after="0"/>
            </w:pPr>
            <w:r>
              <w:rPr>
                <w:rFonts w:ascii="Aptos" w:hAnsi="Aptos" w:eastAsia="Aptos"/>
                <w:sz w:val="15"/>
              </w:rPr>
              <w:t>Closure ticket / access log</w:t>
            </w:r>
          </w:p>
        </w:tc>
      </w:tr>
    </w:tbl>
    <w:p>
      <w:pPr>
        <w:spacing w:after="0"/>
      </w:pPr>
    </w:p>
    <w:p>
      <w:pPr>
        <w:spacing w:after="40"/>
      </w:pPr>
      <w:r>
        <w:rPr>
          <w:rFonts w:ascii="Aptos" w:hAnsi="Aptos" w:eastAsia="Aptos"/>
          <w:b/>
          <w:color w:val="17365D"/>
          <w:sz w:val="18"/>
        </w:rPr>
        <w:t>Application notes</w:t>
      </w:r>
    </w:p>
    <w:p>
      <w:pPr>
        <w:spacing w:after="46"/>
        <w:ind w:left="259" w:hanging="173"/>
      </w:pPr>
      <w:r>
        <w:rPr>
          <w:rFonts w:ascii="Aptos" w:hAnsi="Aptos" w:eastAsia="Aptos"/>
          <w:b/>
          <w:color w:val="2F5597"/>
          <w:sz w:val="18"/>
        </w:rPr>
        <w:t xml:space="preserve">• </w:t>
      </w:r>
      <w:r>
        <w:rPr>
          <w:rFonts w:ascii="Aptos" w:hAnsi="Aptos" w:eastAsia="Aptos"/>
          <w:sz w:val="18"/>
        </w:rPr>
        <w:t>The access-control standard to be issued in a later batch should refer back to this Schedule for business authority, rather than duplicating monetary limits.</w:t>
      </w:r>
    </w:p>
    <w:sectPr w:rsidR="00FC693F" w:rsidRPr="0006063C" w:rsidSect="00034616">
      <w:headerReference w:type="default" r:id="rId9"/>
      <w:footerReference w:type="default" r:id="rId10"/>
      <w:pgSz w:w="11909" w:h="16834"/>
      <w:pgMar w:top="864"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center"/>
    </w:pPr>
    <w:r>
      <w:rPr>
        <w:rFonts w:ascii="Aptos" w:hAnsi="Aptos" w:eastAsia="Aptos"/>
        <w:b w:val="0"/>
        <w:color w:val="595959"/>
        <w:sz w:val="10"/>
      </w:rPr>
      <w:t>Northstar Financial — Synthetic Internal Document. This document is fictional and created solely for educational and software-development purposes. It does not represent an actual financial institution, regulatory requirement, legal obligation, or financial advice.</w:t>
    </w:r>
  </w:p>
  <w:p>
    <w:pPr>
      <w:jc w:val="center"/>
    </w:pPr>
    <w:r>
      <w:rPr>
        <w:rFonts w:ascii="Aptos" w:hAnsi="Aptos" w:eastAsia="Aptos"/>
        <w:b w:val="0"/>
        <w:color w:val="595959"/>
        <w:sz w:val="12"/>
      </w:rPr>
      <w:t xml:space="preserve">Internal Use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b/>
        <w:color w:val="17365D"/>
        <w:sz w:val="14"/>
      </w:rPr>
      <w:t>NORTHSTAR FINANCIAL  |  CDAS-007  |  Delegated Authority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59595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olNote">
    <w:name w:val="Control Note"/>
    <w:pPr>
      <w:spacing w:after="80"/>
      <w:ind w:left="259"/>
    </w:pPr>
    <w:rPr>
      <w:rFonts w:ascii="Aptos" w:hAnsi="Aptos" w:eastAsia="Aptos"/>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