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ptos" w:hAnsi="Aptos" w:eastAsia="Aptos"/>
          <w:b/>
          <w:color w:val="2F5597"/>
          <w:sz w:val="26"/>
        </w:rPr>
        <w:t>NORTHSTAR FINANCIAL</w:t>
      </w:r>
    </w:p>
    <w:p>
      <w:pPr>
        <w:spacing w:before="560"/>
        <w:jc w:val="center"/>
      </w:pPr>
      <w:r>
        <w:rPr>
          <w:rFonts w:ascii="Aptos" w:hAnsi="Aptos" w:eastAsia="Aptos"/>
          <w:b/>
          <w:color w:val="17365D"/>
          <w:sz w:val="50"/>
        </w:rPr>
        <w:t>Credit Exception Procedure</w:t>
      </w:r>
    </w:p>
    <w:p>
      <w:pPr>
        <w:jc w:val="center"/>
      </w:pPr>
      <w:r>
        <w:rPr>
          <w:rFonts w:ascii="Aptos" w:hAnsi="Aptos" w:eastAsia="Aptos"/>
          <w:b/>
          <w:color w:val="595959"/>
          <w:sz w:val="26"/>
        </w:rPr>
        <w:t>CEP-006</w:t>
      </w:r>
    </w:p>
    <w:p>
      <w:pPr>
        <w:spacing w:before="520"/>
        <w:jc w:val="center"/>
      </w:pPr>
      <w:r>
        <w:rPr>
          <w:rFonts w:ascii="Aptos" w:hAnsi="Aptos" w:eastAsia="Aptos"/>
          <w:b w:val="0"/>
          <w:color w:val="595959"/>
          <w:sz w:val="22"/>
        </w:rPr>
        <w:t>Version 1.3  |  Effective 15 April 2025</w:t>
      </w:r>
    </w:p>
    <w:p>
      <w:pPr>
        <w:spacing w:before="2100"/>
        <w:jc w:val="center"/>
      </w:pPr>
      <w:r>
        <w:rPr>
          <w:rFonts w:ascii="Aptos" w:hAnsi="Aptos" w:eastAsia="Aptos"/>
          <w:b/>
          <w:color w:val="17365D"/>
          <w:sz w:val="18"/>
        </w:rPr>
        <w:t>Classification: INTERNAL — CONTROLLED</w:t>
      </w:r>
    </w:p>
    <w:p>
      <w:pPr>
        <w:jc w:val="center"/>
      </w:pPr>
      <w:r>
        <w:rPr>
          <w:rFonts w:ascii="Aptos" w:hAnsi="Aptos" w:eastAsia="Aptos"/>
          <w:b w:val="0"/>
          <w:i/>
          <w:color w:val="595959"/>
          <w:sz w:val="14"/>
        </w:rPr>
        <w:t>Northstar Financial — Synthetic Internal Document. This document is fictional and created solely for educational and software-development purposes. It does not represent an actual financial institution, regulatory requirement, legal obligation, or financial advice.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4975"/>
        <w:gridCol w:w="4975"/>
      </w:tblGrid>
      <w:tr>
        <w:tc>
          <w:tcPr>
            <w:tcW w:type="dxa" w:w="4975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17365D"/>
                <w:sz w:val="16"/>
              </w:rPr>
              <w:t>Document ID</w:t>
            </w:r>
          </w:p>
        </w:tc>
        <w:tc>
          <w:tcPr>
            <w:tcW w:type="dxa" w:w="497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sz w:val="16"/>
              </w:rPr>
              <w:t>CEP-006</w:t>
            </w:r>
          </w:p>
        </w:tc>
      </w:tr>
      <w:tr>
        <w:tc>
          <w:tcPr>
            <w:tcW w:type="dxa" w:w="4975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17365D"/>
                <w:sz w:val="16"/>
              </w:rPr>
              <w:t>Document Title</w:t>
            </w:r>
          </w:p>
        </w:tc>
        <w:tc>
          <w:tcPr>
            <w:tcW w:type="dxa" w:w="497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sz w:val="16"/>
              </w:rPr>
              <w:t>Credit Exception Procedure</w:t>
            </w:r>
          </w:p>
        </w:tc>
      </w:tr>
      <w:tr>
        <w:tc>
          <w:tcPr>
            <w:tcW w:type="dxa" w:w="4975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17365D"/>
                <w:sz w:val="16"/>
              </w:rPr>
              <w:t>Version</w:t>
            </w:r>
          </w:p>
        </w:tc>
        <w:tc>
          <w:tcPr>
            <w:tcW w:type="dxa" w:w="497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sz w:val="16"/>
              </w:rPr>
              <w:t>1.3</w:t>
            </w:r>
          </w:p>
        </w:tc>
      </w:tr>
      <w:tr>
        <w:tc>
          <w:tcPr>
            <w:tcW w:type="dxa" w:w="4975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17365D"/>
                <w:sz w:val="16"/>
              </w:rPr>
              <w:t>Policy / Procedure Owner</w:t>
            </w:r>
          </w:p>
        </w:tc>
        <w:tc>
          <w:tcPr>
            <w:tcW w:type="dxa" w:w="497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sz w:val="16"/>
              </w:rPr>
              <w:t>Sonal Bhat — Senior Manager, Credit Governance</w:t>
            </w:r>
          </w:p>
        </w:tc>
      </w:tr>
      <w:tr>
        <w:tc>
          <w:tcPr>
            <w:tcW w:type="dxa" w:w="4975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17365D"/>
                <w:sz w:val="16"/>
              </w:rPr>
              <w:t>Business Unit</w:t>
            </w:r>
          </w:p>
        </w:tc>
        <w:tc>
          <w:tcPr>
            <w:tcW w:type="dxa" w:w="497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sz w:val="16"/>
              </w:rPr>
              <w:t>Credit Risk Department</w:t>
            </w:r>
          </w:p>
        </w:tc>
      </w:tr>
      <w:tr>
        <w:tc>
          <w:tcPr>
            <w:tcW w:type="dxa" w:w="4975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17365D"/>
                <w:sz w:val="16"/>
              </w:rPr>
              <w:t>Approving Authority</w:t>
            </w:r>
          </w:p>
        </w:tc>
        <w:tc>
          <w:tcPr>
            <w:tcW w:type="dxa" w:w="497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sz w:val="16"/>
              </w:rPr>
              <w:t>Chief Risk Officer</w:t>
            </w:r>
          </w:p>
        </w:tc>
      </w:tr>
      <w:tr>
        <w:tc>
          <w:tcPr>
            <w:tcW w:type="dxa" w:w="4975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17365D"/>
                <w:sz w:val="16"/>
              </w:rPr>
              <w:t>Effective Date</w:t>
            </w:r>
          </w:p>
        </w:tc>
        <w:tc>
          <w:tcPr>
            <w:tcW w:type="dxa" w:w="497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sz w:val="16"/>
              </w:rPr>
              <w:t>15 April 2025</w:t>
            </w:r>
          </w:p>
        </w:tc>
      </w:tr>
      <w:tr>
        <w:tc>
          <w:tcPr>
            <w:tcW w:type="dxa" w:w="4975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17365D"/>
                <w:sz w:val="16"/>
              </w:rPr>
              <w:t>Previous Version</w:t>
            </w:r>
          </w:p>
        </w:tc>
        <w:tc>
          <w:tcPr>
            <w:tcW w:type="dxa" w:w="497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sz w:val="16"/>
              </w:rPr>
              <w:t>Version 1.2 (effective 10 September 2024)</w:t>
            </w:r>
          </w:p>
        </w:tc>
      </w:tr>
      <w:tr>
        <w:tc>
          <w:tcPr>
            <w:tcW w:type="dxa" w:w="4975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17365D"/>
                <w:sz w:val="16"/>
              </w:rPr>
              <w:t>Review Frequency</w:t>
            </w:r>
          </w:p>
        </w:tc>
        <w:tc>
          <w:tcPr>
            <w:tcW w:type="dxa" w:w="497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sz w:val="16"/>
              </w:rPr>
              <w:t>Every 18 months, or earlier after a material exception-control issue</w:t>
            </w:r>
          </w:p>
        </w:tc>
      </w:tr>
      <w:tr>
        <w:tc>
          <w:tcPr>
            <w:tcW w:type="dxa" w:w="4975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17365D"/>
                <w:sz w:val="16"/>
              </w:rPr>
              <w:t>Classification</w:t>
            </w:r>
          </w:p>
        </w:tc>
        <w:tc>
          <w:tcPr>
            <w:tcW w:type="dxa" w:w="497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sz w:val="16"/>
              </w:rPr>
              <w:t>Internal — Controlled</w:t>
            </w:r>
          </w:p>
        </w:tc>
      </w:tr>
      <w:tr>
        <w:tc>
          <w:tcPr>
            <w:tcW w:type="dxa" w:w="4975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17365D"/>
                <w:sz w:val="16"/>
              </w:rPr>
              <w:t>Status</w:t>
            </w:r>
          </w:p>
        </w:tc>
        <w:tc>
          <w:tcPr>
            <w:tcW w:type="dxa" w:w="497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sz w:val="16"/>
              </w:rPr>
              <w:t>Approved</w:t>
            </w:r>
          </w:p>
        </w:tc>
      </w:tr>
      <w:tr>
        <w:tc>
          <w:tcPr>
            <w:tcW w:type="dxa" w:w="4975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17365D"/>
                <w:sz w:val="16"/>
              </w:rPr>
              <w:t>Supersedes</w:t>
            </w:r>
          </w:p>
        </w:tc>
        <w:tc>
          <w:tcPr>
            <w:tcW w:type="dxa" w:w="497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sz w:val="16"/>
              </w:rPr>
              <w:t>CEP-006 v1.2</w:t>
            </w:r>
          </w:p>
        </w:tc>
      </w:tr>
      <w:tr>
        <w:tc>
          <w:tcPr>
            <w:tcW w:type="dxa" w:w="4975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/>
                <w:color w:val="17365D"/>
                <w:sz w:val="16"/>
              </w:rPr>
              <w:t>Related Documents</w:t>
            </w:r>
          </w:p>
        </w:tc>
        <w:tc>
          <w:tcPr>
            <w:tcW w:type="dxa" w:w="497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sz w:val="16"/>
              </w:rPr>
              <w:t>CRP-001 Credit Risk Policy; CDAS-007 Credit Delegated Authority Schedule; LOP-002 Loan Origination Policy; PLU-011 Personal Loan Underwriting Procedure; Compliance Breach Procedure (future issue); Risk Management Framework (future issue)</w:t>
            </w:r>
          </w:p>
        </w:tc>
      </w:tr>
    </w:tbl>
    <w:p/>
    <w:p>
      <w:pPr>
        <w:pStyle w:val="Heading2"/>
      </w:pPr>
      <w:r>
        <w:t>Approval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2488"/>
        <w:gridCol w:w="2488"/>
        <w:gridCol w:w="2488"/>
        <w:gridCol w:w="2488"/>
      </w:tblGrid>
      <w:tr>
        <w:trPr>
          <w:tblHeader w:val="true"/>
        </w:trPr>
        <w:tc>
          <w:tcPr>
            <w:tcW w:type="dxa" w:w="1872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Role</w:t>
            </w:r>
          </w:p>
        </w:tc>
        <w:tc>
          <w:tcPr>
            <w:tcW w:type="dxa" w:w="360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Name / Committee</w:t>
            </w:r>
          </w:p>
        </w:tc>
        <w:tc>
          <w:tcPr>
            <w:tcW w:type="dxa" w:w="1728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Decision</w:t>
            </w:r>
          </w:p>
        </w:tc>
        <w:tc>
          <w:tcPr>
            <w:tcW w:type="dxa" w:w="1872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Date</w:t>
            </w:r>
          </w:p>
        </w:tc>
      </w:tr>
      <w:t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Approving Authority</w:t>
            </w:r>
          </w:p>
        </w:tc>
        <w:tc>
          <w:tcPr>
            <w:tcW w:type="dxa" w:w="36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Meera Iyer — Chief Risk Officer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Approved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8 April 2025</w:t>
            </w:r>
          </w:p>
        </w:tc>
      </w:tr>
      <w:tr>
        <w:tc>
          <w:tcPr>
            <w:tcW w:type="dxa" w:w="1872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Document Owner</w:t>
            </w:r>
          </w:p>
        </w:tc>
        <w:tc>
          <w:tcPr>
            <w:tcW w:type="dxa" w:w="3600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Sonal Bhat — Senior Manager, Credit Governance</w:t>
            </w:r>
          </w:p>
        </w:tc>
        <w:tc>
          <w:tcPr>
            <w:tcW w:type="dxa" w:w="1728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Certified for issue</w:t>
            </w:r>
          </w:p>
        </w:tc>
        <w:tc>
          <w:tcPr>
            <w:tcW w:type="dxa" w:w="1872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10 April 2025</w:t>
            </w:r>
          </w:p>
        </w:tc>
      </w:tr>
    </w:tbl>
    <w:p>
      <w:pPr>
        <w:spacing w:after="0"/>
      </w:pPr>
    </w:p>
    <w:p>
      <w:pPr>
        <w:pStyle w:val="Heading2"/>
      </w:pPr>
      <w:r>
        <w:t>Revision History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17"/>
        <w:gridCol w:w="3317"/>
        <w:gridCol w:w="3317"/>
      </w:tblGrid>
      <w:tr>
        <w:trPr>
          <w:tblHeader w:val="true"/>
        </w:trPr>
        <w:tc>
          <w:tcPr>
            <w:tcW w:type="dxa" w:w="1152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Version</w:t>
            </w:r>
          </w:p>
        </w:tc>
        <w:tc>
          <w:tcPr>
            <w:tcW w:type="dxa" w:w="1728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Effective date</w:t>
            </w:r>
          </w:p>
        </w:tc>
        <w:tc>
          <w:tcPr>
            <w:tcW w:type="dxa" w:w="6336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Change summary</w:t>
            </w:r>
          </w:p>
        </w:tc>
      </w:tr>
      <w:t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1.0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15 January 2023</w:t>
            </w:r>
          </w:p>
        </w:tc>
        <w:tc>
          <w:tcPr>
            <w:tcW w:type="dxa" w:w="63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Established a common exception-request and approval process.</w:t>
            </w:r>
          </w:p>
        </w:tc>
      </w:tr>
      <w:tr>
        <w:tc>
          <w:tcPr>
            <w:tcW w:type="dxa" w:w="1152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1.2</w:t>
            </w:r>
          </w:p>
        </w:tc>
        <w:tc>
          <w:tcPr>
            <w:tcW w:type="dxa" w:w="1728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10 September 2024</w:t>
            </w:r>
          </w:p>
        </w:tc>
        <w:tc>
          <w:tcPr>
            <w:tcW w:type="dxa" w:w="6336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Added recurring-exception escalation and evidence standards.</w:t>
            </w:r>
          </w:p>
        </w:tc>
      </w:tr>
      <w:t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1.3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15 April 2025</w:t>
            </w:r>
          </w:p>
        </w:tc>
        <w:tc>
          <w:tcPr>
            <w:tcW w:type="dxa" w:w="63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Aligned DTI exception bands to CRP-001 v2.0 and strengthened retrospective-breach treatment.</w:t>
            </w:r>
          </w:p>
        </w:tc>
      </w:tr>
    </w:tbl>
    <w:p>
      <w:pPr>
        <w:spacing w:after="0"/>
      </w:pPr>
    </w:p>
    <w:p>
      <w:pPr>
        <w:pStyle w:val="ControlNote"/>
      </w:pPr>
      <w:r>
        <w:t>Controlled copies are maintained in the Northstar Financial policy repository. Printed or locally saved copies are uncontrolled unless explicitly marked otherwise.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spacing w:after="30"/>
      </w:pPr>
      <w:r>
        <w:rPr>
          <w:rFonts w:ascii="Aptos" w:hAnsi="Aptos" w:eastAsia="Aptos"/>
          <w:sz w:val="18"/>
        </w:rPr>
        <w:t>1. Purpose and Operating Principle</w:t>
      </w:r>
    </w:p>
    <w:p>
      <w:pPr>
        <w:spacing w:after="30"/>
      </w:pPr>
      <w:r>
        <w:rPr>
          <w:rFonts w:ascii="Aptos" w:hAnsi="Aptos" w:eastAsia="Aptos"/>
          <w:sz w:val="18"/>
        </w:rPr>
        <w:t>2. Scope and Exclusions</w:t>
      </w:r>
    </w:p>
    <w:p>
      <w:pPr>
        <w:spacing w:after="30"/>
      </w:pPr>
      <w:r>
        <w:rPr>
          <w:rFonts w:ascii="Aptos" w:hAnsi="Aptos" w:eastAsia="Aptos"/>
          <w:sz w:val="18"/>
        </w:rPr>
        <w:t>3. Exception Categories and Severity</w:t>
      </w:r>
    </w:p>
    <w:p>
      <w:pPr>
        <w:spacing w:after="30"/>
      </w:pPr>
      <w:r>
        <w:rPr>
          <w:rFonts w:ascii="Aptos" w:hAnsi="Aptos" w:eastAsia="Aptos"/>
          <w:sz w:val="18"/>
        </w:rPr>
        <w:t>4. Request Preparation and Minimum Information</w:t>
      </w:r>
    </w:p>
    <w:p>
      <w:pPr>
        <w:spacing w:after="30"/>
      </w:pPr>
      <w:r>
        <w:rPr>
          <w:rFonts w:ascii="Aptos" w:hAnsi="Aptos" w:eastAsia="Aptos"/>
          <w:sz w:val="18"/>
        </w:rPr>
        <w:t>5. Compensating Factors</w:t>
      </w:r>
    </w:p>
    <w:p>
      <w:pPr>
        <w:spacing w:after="30"/>
      </w:pPr>
      <w:r>
        <w:rPr>
          <w:rFonts w:ascii="Aptos" w:hAnsi="Aptos" w:eastAsia="Aptos"/>
          <w:sz w:val="18"/>
        </w:rPr>
        <w:t>6. Personal-Loan DTI Exception Bands</w:t>
      </w:r>
    </w:p>
    <w:p>
      <w:pPr>
        <w:spacing w:after="30"/>
      </w:pPr>
      <w:r>
        <w:rPr>
          <w:rFonts w:ascii="Aptos" w:hAnsi="Aptos" w:eastAsia="Aptos"/>
          <w:sz w:val="18"/>
        </w:rPr>
        <w:t>7. Credit-Score and Thin-File Exceptions</w:t>
      </w:r>
    </w:p>
    <w:p>
      <w:pPr>
        <w:spacing w:after="30"/>
      </w:pPr>
      <w:r>
        <w:rPr>
          <w:rFonts w:ascii="Aptos" w:hAnsi="Aptos" w:eastAsia="Aptos"/>
          <w:sz w:val="18"/>
        </w:rPr>
        <w:t>8. Approval Routing and Delegated Authority</w:t>
      </w:r>
    </w:p>
    <w:p>
      <w:pPr>
        <w:spacing w:after="30"/>
      </w:pPr>
      <w:r>
        <w:rPr>
          <w:rFonts w:ascii="Aptos" w:hAnsi="Aptos" w:eastAsia="Aptos"/>
          <w:sz w:val="18"/>
        </w:rPr>
        <w:t>9. Time-Bound Conditions and Expiry</w:t>
      </w:r>
    </w:p>
    <w:p>
      <w:pPr>
        <w:spacing w:after="30"/>
      </w:pPr>
      <w:r>
        <w:rPr>
          <w:rFonts w:ascii="Aptos" w:hAnsi="Aptos" w:eastAsia="Aptos"/>
          <w:sz w:val="18"/>
        </w:rPr>
        <w:t>10. Repeated and Pattern Exceptions</w:t>
      </w:r>
    </w:p>
    <w:p>
      <w:pPr>
        <w:spacing w:after="30"/>
      </w:pPr>
      <w:r>
        <w:rPr>
          <w:rFonts w:ascii="Aptos" w:hAnsi="Aptos" w:eastAsia="Aptos"/>
          <w:sz w:val="18"/>
        </w:rPr>
        <w:t>11. Post-Approval Changes</w:t>
      </w:r>
    </w:p>
    <w:p>
      <w:pPr>
        <w:spacing w:after="30"/>
      </w:pPr>
      <w:r>
        <w:rPr>
          <w:rFonts w:ascii="Aptos" w:hAnsi="Aptos" w:eastAsia="Aptos"/>
          <w:sz w:val="18"/>
        </w:rPr>
        <w:t>12. Exception Register and Management Reporting</w:t>
      </w:r>
    </w:p>
    <w:p>
      <w:pPr>
        <w:spacing w:after="30"/>
      </w:pPr>
      <w:r>
        <w:rPr>
          <w:rFonts w:ascii="Aptos" w:hAnsi="Aptos" w:eastAsia="Aptos"/>
          <w:sz w:val="18"/>
        </w:rPr>
        <w:t>13. Breach versus Exception</w:t>
      </w:r>
    </w:p>
    <w:p>
      <w:pPr>
        <w:spacing w:after="30"/>
      </w:pPr>
      <w:r>
        <w:rPr>
          <w:rFonts w:ascii="Aptos" w:hAnsi="Aptos" w:eastAsia="Aptos"/>
          <w:sz w:val="18"/>
        </w:rPr>
        <w:t>14. Quality Assurance and Independent Review</w:t>
      </w:r>
    </w:p>
    <w:p>
      <w:pPr>
        <w:spacing w:after="30"/>
      </w:pPr>
      <w:r>
        <w:rPr>
          <w:rFonts w:ascii="Aptos" w:hAnsi="Aptos" w:eastAsia="Aptos"/>
          <w:sz w:val="18"/>
        </w:rPr>
        <w:t>15. Historical and Transitional Treatment</w:t>
      </w:r>
    </w:p>
    <w:p>
      <w:pPr>
        <w:spacing w:after="30"/>
      </w:pPr>
      <w:r>
        <w:rPr>
          <w:rFonts w:ascii="Aptos" w:hAnsi="Aptos" w:eastAsia="Aptos"/>
          <w:sz w:val="18"/>
        </w:rPr>
        <w:t>Appendix A. Exception Classification Matrix</w:t>
      </w:r>
    </w:p>
    <w:p>
      <w:pPr>
        <w:spacing w:after="30"/>
      </w:pPr>
      <w:r>
        <w:rPr>
          <w:rFonts w:ascii="Aptos" w:hAnsi="Aptos" w:eastAsia="Aptos"/>
          <w:sz w:val="18"/>
        </w:rPr>
        <w:t>Appendix B. Personal-Loan DTI Routing</w:t>
      </w:r>
    </w:p>
    <w:p>
      <w:pPr>
        <w:spacing w:after="30"/>
      </w:pPr>
      <w:r>
        <w:rPr>
          <w:rFonts w:ascii="Aptos" w:hAnsi="Aptos" w:eastAsia="Aptos"/>
          <w:sz w:val="18"/>
        </w:rPr>
        <w:t>Appendix C. Minimum Exception Register Fields</w:t>
      </w:r>
    </w:p>
    <w:p>
      <w:pPr>
        <w:spacing w:after="30"/>
      </w:pPr>
      <w:r>
        <w:rPr>
          <w:rFonts w:ascii="Aptos" w:hAnsi="Aptos" w:eastAsia="Aptos"/>
          <w:sz w:val="18"/>
        </w:rPr>
        <w:t>Appendix D. Illustrative Edge Cases</w:t>
      </w:r>
    </w:p>
    <w:p/>
    <w:p>
      <w:pPr>
        <w:pStyle w:val="ControlNote"/>
      </w:pPr>
      <w:r>
        <w:t>Section numbering in this document is authoritative. References to other Northstar documents are subject to the version and effective-date rules stated in the referenced document.</w:t>
      </w:r>
    </w:p>
    <w:p>
      <w:r>
        <w:br w:type="page"/>
      </w:r>
    </w:p>
    <w:p>
      <w:pPr>
        <w:pStyle w:val="Heading1"/>
      </w:pPr>
      <w:r>
        <w:t>1. Purpose and Operating Principle</w:t>
      </w:r>
    </w:p>
    <w:p>
      <w:pPr>
        <w:spacing w:after="80"/>
        <w:keepLines/>
      </w:pPr>
      <w:r>
        <w:t>This Procedure defines how a lending case may be considered when one or more facts fall outside a current credit rule but the case is not automatically prohibited. It separates valid prospective exceptions from breaches that have already occurred.</w:t>
      </w:r>
    </w:p>
    <w:p>
      <w:pPr>
        <w:spacing w:after="80"/>
        <w:keepLines/>
      </w:pPr>
      <w:r>
        <w:t>Credit Governance requires the request, rationale, authority and outcome to remain reconstructable from the controlled record. The requirements in this section apply unless a documented product rule, approved exception, or later effective instruction expressly provides otherwise.</w:t>
      </w:r>
    </w:p>
    <w:p>
      <w:pPr>
        <w:spacing w:after="40"/>
      </w:pPr>
      <w:r>
        <w:rPr>
          <w:rFonts w:ascii="Aptos" w:hAnsi="Aptos" w:eastAsia="Aptos"/>
          <w:b/>
          <w:color w:val="17365D"/>
          <w:sz w:val="18"/>
        </w:rPr>
        <w:t>Control requirements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An exception request must identify the exact breached rule, not merely state that the case is 'non-standard'.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The requesting officer shall explain why the exception is appropriate for this borrower and why the proposed structure remains within an acceptable risk outcome.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Approval must be obtained before final credit approval or before the controlled action that would otherwise breach the rule.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The exception route does not create a right to approval and does not increase the approver's monetary authority.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Rules expressly marked 'no exception' in a policy or procedure cannot be waived through this Procedure.</w:t>
      </w:r>
    </w:p>
    <w:p>
      <w:pPr>
        <w:pStyle w:val="Heading2"/>
      </w:pPr>
      <w:r>
        <w:t>Records and control evidence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Exception request; rule reference; applicant facts; approver decision; date/time stamp.</w:t>
      </w:r>
    </w:p>
    <w:p>
      <w:pPr>
        <w:pStyle w:val="Heading1"/>
      </w:pPr>
      <w:r>
        <w:t>2. Scope and Exclusions</w:t>
      </w:r>
    </w:p>
    <w:p>
      <w:pPr>
        <w:spacing w:after="80"/>
        <w:keepLines/>
      </w:pPr>
      <w:r>
        <w:t>The Procedure applies to retail and SME credit exceptions involving eligibility, affordability, score, collateral, documentation, product parameters and specified operating conditions where the governing document permits discretion.</w:t>
      </w:r>
    </w:p>
    <w:p>
      <w:pPr>
        <w:spacing w:after="80"/>
        <w:keepLines/>
      </w:pPr>
      <w:r>
        <w:t>Credit Governance requires the request, rationale, authority and outcome to remain reconstructable from the controlled record. The requirements in this section apply unless a documented product rule, approved exception, or later effective instruction expressly provides otherwise.</w:t>
      </w:r>
    </w:p>
    <w:p>
      <w:pPr>
        <w:spacing w:after="40"/>
      </w:pPr>
      <w:r>
        <w:rPr>
          <w:rFonts w:ascii="Aptos" w:hAnsi="Aptos" w:eastAsia="Aptos"/>
          <w:b/>
          <w:color w:val="17365D"/>
          <w:sz w:val="18"/>
        </w:rPr>
        <w:t>Control requirements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KYC, AML, sanctions and information-security requirements may only be varied where their own controlled documents expressly allow a risk-based treatment.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Commercial pricing concessions are not credit exceptions unless they alter a credit-risk requirement.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Post-disbursement servicing adjustments are outside scope unless they modify a condition imposed at origination.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A system error that caused a rule to be bypassed without approval is a breach, even if the case would probably have been approved as an exception.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Multiple small deviations may be aggregated into a higher exception class where their combined effect is material.</w:t>
      </w:r>
    </w:p>
    <w:p>
      <w:pPr>
        <w:pStyle w:val="Heading2"/>
      </w:pPr>
      <w:r>
        <w:t>Records and control evidence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Exception classification record; out-of-scope referral; incident reference where applicable.</w:t>
      </w:r>
    </w:p>
    <w:p>
      <w:r>
        <w:br w:type="page"/>
      </w:r>
    </w:p>
    <w:p>
      <w:pPr>
        <w:pStyle w:val="Heading1"/>
      </w:pPr>
      <w:r>
        <w:t>3. Exception Categories and Severity</w:t>
      </w:r>
    </w:p>
    <w:p>
      <w:pPr>
        <w:spacing w:after="80"/>
        <w:keepLines/>
      </w:pPr>
      <w:r>
        <w:t>Exceptions are classified E1 to E4 based on the importance of the rule, degree of deviation, customer risk and potential portfolio effect. Classification determines approval and reporting requirements.</w:t>
      </w:r>
    </w:p>
    <w:p>
      <w:pPr>
        <w:spacing w:after="80"/>
        <w:keepLines/>
      </w:pPr>
      <w:r>
        <w:t>Credit Governance requires the request, rationale, authority and outcome to remain reconstructable from the controlled record. The requirements in this section apply unless a documented product rule, approved exception, or later effective instruction expressly provides otherwise.</w:t>
      </w:r>
    </w:p>
    <w:p>
      <w:pPr>
        <w:spacing w:after="40"/>
      </w:pPr>
      <w:r>
        <w:rPr>
          <w:rFonts w:ascii="Aptos" w:hAnsi="Aptos" w:eastAsia="Aptos"/>
          <w:b/>
          <w:color w:val="17365D"/>
          <w:sz w:val="18"/>
        </w:rPr>
        <w:t>Control requirements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E1 is a minor documentary or administrative deviation with limited risk effect and no relaxation of a core appetite limit.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E2 is a moderate departure from a product or underwriting parameter, including lower score bands or the lower personal-loan DTI exception band.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E3 is a significant deviation from a core rule, elevated-risk grade or upper DTI exception band and generally requires senior independent risk involvement.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E4 is a material or portfolio-relevant exception, a departure from a Board-level appetite limit where exception is permitted, or a repeated pattern with wider significance.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Credit Governance may reclassify an exception upward where the initial classification understates the combined risk.</w:t>
      </w:r>
    </w:p>
    <w:p>
      <w:pPr>
        <w:pStyle w:val="Heading2"/>
      </w:pPr>
      <w:r>
        <w:t>Records and control evidence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Exception class; basis; risk impact; classification reviewer.</w:t>
      </w:r>
    </w:p>
    <w:p>
      <w:pPr>
        <w:pStyle w:val="Heading1"/>
      </w:pPr>
      <w:r>
        <w:t>4. Request Preparation and Minimum Information</w:t>
      </w:r>
    </w:p>
    <w:p>
      <w:pPr>
        <w:spacing w:after="80"/>
        <w:keepLines/>
      </w:pPr>
      <w:r>
        <w:t>A complete request should enable an approver to understand the normal rule, the proposed deviation, relevant adverse facts and the rationale without reconstructing the entire application from unstructured notes.</w:t>
      </w:r>
    </w:p>
    <w:p>
      <w:pPr>
        <w:spacing w:after="80"/>
        <w:keepLines/>
      </w:pPr>
      <w:r>
        <w:t>Credit Governance requires the request, rationale, authority and outcome to remain reconstructable from the controlled record. The requirements in this section apply unless a documented product rule, approved exception, or later effective instruction expressly provides otherwise.</w:t>
      </w:r>
    </w:p>
    <w:p>
      <w:pPr>
        <w:spacing w:after="40"/>
      </w:pPr>
      <w:r>
        <w:rPr>
          <w:rFonts w:ascii="Aptos" w:hAnsi="Aptos" w:eastAsia="Aptos"/>
          <w:b/>
          <w:color w:val="17365D"/>
          <w:sz w:val="18"/>
        </w:rPr>
        <w:t>Control requirements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State the governing document and section, normal threshold, actual value and requested treatment.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Include verified income, obligations, bureau score, risk grade, requested amount, tenor and collateral information where relevant.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List material adverse facts and unresolved discrepancies; do not present only positive compensating factors.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Describe the effect of the exception on DTI, FOIR, LTV, exposure or other applicable measure.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Confirm whether the customer has other active exceptions or recent Northstar applications.</w:t>
      </w:r>
    </w:p>
    <w:p>
      <w:pPr>
        <w:pStyle w:val="Heading2"/>
      </w:pPr>
      <w:r>
        <w:t>Records and control evidence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Structured exception form; supporting documents; system decision extract; prior exception search.</w:t>
      </w:r>
    </w:p>
    <w:p>
      <w:r>
        <w:br w:type="page"/>
      </w:r>
    </w:p>
    <w:p>
      <w:pPr>
        <w:pStyle w:val="Heading1"/>
      </w:pPr>
      <w:r>
        <w:t>5. Compensating Factors</w:t>
      </w:r>
    </w:p>
    <w:p>
      <w:pPr>
        <w:spacing w:after="80"/>
        <w:keepLines/>
      </w:pPr>
      <w:r>
        <w:t>Compensating factors must reduce or meaningfully offset the risk created by the departure. Generic relationship value, sales urgency or expected future income are not sufficient by themselves.</w:t>
      </w:r>
    </w:p>
    <w:p>
      <w:pPr>
        <w:spacing w:after="80"/>
        <w:keepLines/>
      </w:pPr>
      <w:r>
        <w:t>Credit Governance requires the request, rationale, authority and outcome to remain reconstructable from the controlled record. The requirements in this section apply unless a documented product rule, approved exception, or later effective instruction expressly provides otherwise.</w:t>
      </w:r>
    </w:p>
    <w:p>
      <w:pPr>
        <w:spacing w:after="40"/>
      </w:pPr>
      <w:r>
        <w:rPr>
          <w:rFonts w:ascii="Aptos" w:hAnsi="Aptos" w:eastAsia="Aptos"/>
          <w:b/>
          <w:color w:val="17365D"/>
          <w:sz w:val="18"/>
        </w:rPr>
        <w:t>Control requirements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Examples may include materially stronger verified disposable income, stable employment history, lower requested amount, shorter tenor, stronger collateral or demonstrably conservative household obligations.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A high credit score cannot by itself compensate for unstable or unverifiable income.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Collateral cannot by itself compensate for an unaffordable unsecured-style repayment structure.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Expected bonus, sale proceeds or refinancing may be considered only where evidence and timing are credible and permitted by the product.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The approver shall identify which factors were actually relied on.</w:t>
      </w:r>
    </w:p>
    <w:p>
      <w:pPr>
        <w:pStyle w:val="Heading2"/>
      </w:pPr>
      <w:r>
        <w:t>Records and control evidence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Compensating-factor narrative; evidence references; approver rationale.</w:t>
      </w:r>
    </w:p>
    <w:p>
      <w:pPr>
        <w:pStyle w:val="Heading1"/>
      </w:pPr>
      <w:r>
        <w:t>6. Personal-Loan DTI Exception Bands</w:t>
      </w:r>
    </w:p>
    <w:p>
      <w:pPr>
        <w:spacing w:after="80"/>
        <w:keepLines/>
      </w:pPr>
      <w:r>
        <w:t>CRP-001 v2.0 sets the standard personal-loan DTI at 45%. This Procedure creates controlled bands for cases that modestly exceed that standard without redefining the standard threshold.</w:t>
      </w:r>
    </w:p>
    <w:p>
      <w:pPr>
        <w:spacing w:after="80"/>
        <w:keepLines/>
      </w:pPr>
      <w:r>
        <w:t>Credit Governance requires the request, rationale, authority and outcome to remain reconstructable from the controlled record. The requirements in this section apply unless a documented product rule, approved exception, or later effective instruction expressly provides otherwise.</w:t>
      </w:r>
    </w:p>
    <w:p>
      <w:pPr>
        <w:spacing w:after="40"/>
      </w:pPr>
      <w:r>
        <w:rPr>
          <w:rFonts w:ascii="Aptos" w:hAnsi="Aptos" w:eastAsia="Aptos"/>
          <w:b/>
          <w:color w:val="17365D"/>
          <w:sz w:val="18"/>
        </w:rPr>
        <w:t>Control requirements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DTI from 45.01% to 46.50% is an E2 exception and requires at least CA4 / Senior Credit Manager approval.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DTI from 46.51% to 48.00% is an E3 exception and requires CA4 approval plus documented Credit Risk concurrence.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DTI above 48% is outside the normal personal-loan standard; any consideration requires Head of Credit Risk authority at minimum and should ordinarily result in decline.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An exception may not be used to exclude a known obligation solely to reduce the reported ratio.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FOIR remains subject to the separate limits in CRP-001 and PLU-011; satisfying the DTI exception band does not automatically resolve excessive FOIR.</w:t>
      </w:r>
    </w:p>
    <w:p>
      <w:pPr>
        <w:pStyle w:val="Heading2"/>
      </w:pPr>
      <w:r>
        <w:t>Records and control evidence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DTI calculation; FOIR calculation; exception ID; CA4 approval; Credit Risk concurrence where applicable.</w:t>
      </w:r>
    </w:p>
    <w:p>
      <w:pPr>
        <w:pStyle w:val="ControlNote"/>
      </w:pPr>
      <w:r>
        <w:rPr>
          <w:rFonts w:ascii="Aptos" w:hAnsi="Aptos" w:eastAsia="Aptos"/>
          <w:b/>
          <w:i/>
          <w:color w:val="595959"/>
          <w:sz w:val="17"/>
        </w:rPr>
        <w:t xml:space="preserve">Operational note: </w:t>
      </w:r>
      <w:r>
        <w:rPr>
          <w:rFonts w:ascii="Aptos" w:hAnsi="Aptos" w:eastAsia="Aptos"/>
          <w:b w:val="0"/>
          <w:i/>
          <w:color w:val="595959"/>
          <w:sz w:val="17"/>
        </w:rPr>
        <w:t>These bands are deliberately narrower than the historical 50% standard that applied before CRP-001 v2.0.</w:t>
      </w:r>
    </w:p>
    <w:p>
      <w:r>
        <w:br w:type="page"/>
      </w:r>
    </w:p>
    <w:p>
      <w:pPr>
        <w:pStyle w:val="Heading1"/>
      </w:pPr>
      <w:r>
        <w:t>7. Credit-Score and Thin-File Exceptions</w:t>
      </w:r>
    </w:p>
    <w:p>
      <w:pPr>
        <w:spacing w:after="80"/>
        <w:keepLines/>
      </w:pPr>
      <w:r>
        <w:t>Score exceptions are product-specific because scorecards and approval pathways differ. For personal loans, PLU-011 defines the operational score bands while this Procedure sets approval discipline.</w:t>
      </w:r>
    </w:p>
    <w:p>
      <w:pPr>
        <w:spacing w:after="80"/>
        <w:keepLines/>
      </w:pPr>
      <w:r>
        <w:t>Credit Governance requires the request, rationale, authority and outcome to remain reconstructable from the controlled record. The requirements in this section apply unless a documented product rule, approved exception, or later effective instruction expressly provides otherwise.</w:t>
      </w:r>
    </w:p>
    <w:p>
      <w:pPr>
        <w:spacing w:after="40"/>
      </w:pPr>
      <w:r>
        <w:rPr>
          <w:rFonts w:ascii="Aptos" w:hAnsi="Aptos" w:eastAsia="Aptos"/>
          <w:b/>
          <w:color w:val="17365D"/>
          <w:sz w:val="18"/>
        </w:rPr>
        <w:t>Control requirements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A personal-loan score of 640–649 requires manual underwriting but is not an exception solely because the enterprise enhanced-review trigger is below 650.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A personal-loan score of 620–639 is an E2 exception and requires at least CA3 approval in addition to manual underwriting.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A score below 620 is ineligible for standard personal loans unless a separately approved program expressly provides otherwise.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Thin-file cases must use alternative evidence permitted by the product procedure; absence of a score is not a reason to invent an estimated score.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Recent severe delinquency may make a case ineligible irrespective of a numerical score exception.</w:t>
      </w:r>
    </w:p>
    <w:p>
      <w:pPr>
        <w:pStyle w:val="Heading2"/>
      </w:pPr>
      <w:r>
        <w:t>Records and control evidence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Bureau report; product score band; manual-underwriting record; exception approval.</w:t>
      </w:r>
    </w:p>
    <w:p>
      <w:pPr>
        <w:pStyle w:val="Heading1"/>
      </w:pPr>
      <w:r>
        <w:t>8. Approval Routing and Delegated Authority</w:t>
      </w:r>
    </w:p>
    <w:p>
      <w:pPr>
        <w:spacing w:after="80"/>
        <w:keepLines/>
      </w:pPr>
      <w:r>
        <w:t>Exception authority is an additional control layer on top of monetary delegated authority. A case must satisfy both the amount authority and the exception-class authority before approval is valid.</w:t>
      </w:r>
    </w:p>
    <w:p>
      <w:pPr>
        <w:spacing w:after="80"/>
        <w:keepLines/>
      </w:pPr>
      <w:r>
        <w:t>Credit Governance requires the request, rationale, authority and outcome to remain reconstructable from the controlled record. The requirements in this section apply unless a documented product rule, approved exception, or later effective instruction expressly provides otherwise.</w:t>
      </w:r>
    </w:p>
    <w:p>
      <w:pPr>
        <w:spacing w:after="40"/>
      </w:pPr>
      <w:r>
        <w:rPr>
          <w:rFonts w:ascii="Aptos" w:hAnsi="Aptos" w:eastAsia="Aptos"/>
          <w:b/>
          <w:color w:val="17365D"/>
          <w:sz w:val="18"/>
        </w:rPr>
        <w:t>Control requirements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Where two approvers are required, each must make an independent recorded decision; a single person holding both roles cannot collapse a required dual approval unless CDAS-007 expressly permits it.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The exception approver may impose a lower amount, shorter tenor, additional evidence or pre-disbursement condition.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If the monetary approver lacks exception authority, the case must be routed to an approver holding both sufficient amount authority and the required exception right, or to separate approvers as specified.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Escalation to a committee does not automatically waive other preconditions such as manual underwriting.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System entitlement shall be checked against the current controlled authority schedule.</w:t>
      </w:r>
    </w:p>
    <w:p>
      <w:pPr>
        <w:pStyle w:val="Heading2"/>
      </w:pPr>
      <w:r>
        <w:t>Records and control evidence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Approval route; authority level; exception class; conditions; system log.</w:t>
      </w:r>
    </w:p>
    <w:p>
      <w:r>
        <w:br w:type="page"/>
      </w:r>
    </w:p>
    <w:p>
      <w:pPr>
        <w:pStyle w:val="Heading1"/>
      </w:pPr>
      <w:r>
        <w:t>9. Time-Bound Conditions and Expiry</w:t>
      </w:r>
    </w:p>
    <w:p>
      <w:pPr>
        <w:spacing w:after="80"/>
        <w:keepLines/>
      </w:pPr>
      <w:r>
        <w:t>Exception approvals are valid only for the facts and time window on which they were based. Material changes require reassessment rather than automatic carry-forward.</w:t>
      </w:r>
    </w:p>
    <w:p>
      <w:pPr>
        <w:spacing w:after="80"/>
        <w:keepLines/>
      </w:pPr>
      <w:r>
        <w:t>Credit Governance requires the request, rationale, authority and outcome to remain reconstructable from the controlled record. The requirements in this section apply unless a documented product rule, approved exception, or later effective instruction expressly provides otherwise.</w:t>
      </w:r>
    </w:p>
    <w:p>
      <w:pPr>
        <w:spacing w:after="40"/>
      </w:pPr>
      <w:r>
        <w:rPr>
          <w:rFonts w:ascii="Aptos" w:hAnsi="Aptos" w:eastAsia="Aptos"/>
          <w:b/>
          <w:color w:val="17365D"/>
          <w:sz w:val="18"/>
        </w:rPr>
        <w:t>Control requirements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The exception record must state any condition to be satisfied before final approval or disbursement.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If approval validity under the product expires, the exception also expires unless revalidated by the appropriate authority.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A material increase in amount, deterioration in score, new obligation or income reduction requires re-underwriting and may require a new exception.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Conditions may not be marked complete without supporting evidence where the condition was evidence-based.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LDP-013 shall verify unresolved exception conditions before release of funds.</w:t>
      </w:r>
    </w:p>
    <w:p>
      <w:pPr>
        <w:pStyle w:val="Heading2"/>
      </w:pPr>
      <w:r>
        <w:t>Records and control evidence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Condition tracker; expiry date; revalidation decision; pre-disbursement evidence.</w:t>
      </w:r>
    </w:p>
    <w:p>
      <w:pPr>
        <w:pStyle w:val="Heading1"/>
      </w:pPr>
      <w:r>
        <w:t>10. Repeated and Pattern Exceptions</w:t>
      </w:r>
    </w:p>
    <w:p>
      <w:pPr>
        <w:spacing w:after="80"/>
        <w:keepLines/>
      </w:pPr>
      <w:r>
        <w:t>A series of individually valid exceptions may indicate that a product rule, sourcing channel or system parameter no longer reflects actual operating risk. Northstar therefore monitors recurrence separately from case-level approval.</w:t>
      </w:r>
    </w:p>
    <w:p>
      <w:pPr>
        <w:spacing w:after="80"/>
        <w:keepLines/>
      </w:pPr>
      <w:r>
        <w:t>Credit Governance requires the request, rationale, authority and outcome to remain reconstructable from the controlled record. The requirements in this section apply unless a documented product rule, approved exception, or later effective instruction expressly provides otherwise.</w:t>
      </w:r>
    </w:p>
    <w:p>
      <w:pPr>
        <w:spacing w:after="40"/>
      </w:pPr>
      <w:r>
        <w:rPr>
          <w:rFonts w:ascii="Aptos" w:hAnsi="Aptos" w:eastAsia="Aptos"/>
          <w:b/>
          <w:color w:val="17365D"/>
          <w:sz w:val="18"/>
        </w:rPr>
        <w:t>Control requirements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Credit Governance shall review exception rates monthly by product, rule, branch, sourcing partner and approver.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A repeated exception rate above the management tolerance for a rule shall be escalated for product review rather than normalized informally.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Exception concentration in one approver or channel shall be investigated for coaching, control or incentive concerns.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Temporary portfolio acceptance of a recurring deviation must be documented by the appropriate risk authority and time-limited.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Until a formal rule change is effective, each case still requires the prevailing exception treatment.</w:t>
      </w:r>
    </w:p>
    <w:p>
      <w:pPr>
        <w:pStyle w:val="Heading2"/>
      </w:pPr>
      <w:r>
        <w:t>Records and control evidence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Monthly exception MI; trend analysis; management action; policy-change reference.</w:t>
      </w:r>
    </w:p>
    <w:p>
      <w:r>
        <w:br w:type="page"/>
      </w:r>
    </w:p>
    <w:p>
      <w:pPr>
        <w:pStyle w:val="Heading1"/>
      </w:pPr>
      <w:r>
        <w:t>11. Post-Approval Changes</w:t>
      </w:r>
    </w:p>
    <w:p>
      <w:pPr>
        <w:spacing w:after="80"/>
        <w:keepLines/>
      </w:pPr>
      <w:r>
        <w:t>An approved exception does not cover facts that were not disclosed or did not exist when the approver made the decision. Post-approval changes shall be assessed according to their effect on risk.</w:t>
      </w:r>
    </w:p>
    <w:p>
      <w:pPr>
        <w:spacing w:after="80"/>
        <w:keepLines/>
      </w:pPr>
      <w:r>
        <w:t>Credit Governance requires the request, rationale, authority and outcome to remain reconstructable from the controlled record. The requirements in this section apply unless a documented product rule, approved exception, or later effective instruction expressly provides otherwise.</w:t>
      </w:r>
    </w:p>
    <w:p>
      <w:pPr>
        <w:spacing w:after="40"/>
      </w:pPr>
      <w:r>
        <w:rPr>
          <w:rFonts w:ascii="Aptos" w:hAnsi="Aptos" w:eastAsia="Aptos"/>
          <w:b/>
          <w:color w:val="17365D"/>
          <w:sz w:val="18"/>
        </w:rPr>
        <w:t>Control requirements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A lower loan amount with unchanged or improved ratios may be accepted within the existing approval where the product procedure permits.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A higher amount, longer tenor, weaker income, higher obligations or new adverse bureau information requires re-underwriting.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A change that moves the case into a higher exception class requires approval at the higher level.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Changes in customer bank account or beneficiary information are controlled under LDP-013 and may require fraud checks even if credit risk is unchanged.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Underwriters shall preserve the original exception record and add the revised decision rather than overwrite history.</w:t>
      </w:r>
    </w:p>
    <w:p>
      <w:pPr>
        <w:pStyle w:val="Heading2"/>
      </w:pPr>
      <w:r>
        <w:t>Records and control evidence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Change request; before/after metrics; revised decision; original exception record.</w:t>
      </w:r>
    </w:p>
    <w:p>
      <w:pPr>
        <w:pStyle w:val="Heading1"/>
      </w:pPr>
      <w:r>
        <w:t>12. Exception Register and Management Reporting</w:t>
      </w:r>
    </w:p>
    <w:p>
      <w:pPr>
        <w:spacing w:after="80"/>
        <w:keepLines/>
      </w:pPr>
      <w:r>
        <w:t>All approved, declined, withdrawn and expired exception requests shall be traceable in the Credit Exception Register to support portfolio analysis and assurance.</w:t>
      </w:r>
    </w:p>
    <w:p>
      <w:pPr>
        <w:spacing w:after="80"/>
        <w:keepLines/>
      </w:pPr>
      <w:r>
        <w:t>Credit Governance requires the request, rationale, authority and outcome to remain reconstructable from the controlled record. The requirements in this section apply unless a documented product rule, approved exception, or later effective instruction expressly provides otherwise.</w:t>
      </w:r>
    </w:p>
    <w:p>
      <w:pPr>
        <w:spacing w:after="40"/>
      </w:pPr>
      <w:r>
        <w:rPr>
          <w:rFonts w:ascii="Aptos" w:hAnsi="Aptos" w:eastAsia="Aptos"/>
          <w:b/>
          <w:color w:val="17365D"/>
          <w:sz w:val="18"/>
        </w:rPr>
        <w:t>Control requirements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The register shall include application ID, product, rule, class, actual value, standard limit, reason, approver, decision and date.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Approved exceptions shall be linked to the final credit decision and, where applicable, the disbursement record.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Management reporting shall distinguish exception requests from approved exceptions and from breaches.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Exception performance shall be monitored where volumes are sufficient to support meaningful analysis.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E4 exceptions and material trends shall be reported to the Credit Risk Committee or Board Risk Committee as appropriate.</w:t>
      </w:r>
    </w:p>
    <w:p>
      <w:pPr>
        <w:pStyle w:val="Heading2"/>
      </w:pPr>
      <w:r>
        <w:t>Records and control evidence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Credit Exception Register; management report; committee pack.</w:t>
      </w:r>
    </w:p>
    <w:p>
      <w:r>
        <w:br w:type="page"/>
      </w:r>
    </w:p>
    <w:p>
      <w:pPr>
        <w:pStyle w:val="Heading1"/>
      </w:pPr>
      <w:r>
        <w:t>13. Breach versus Exception</w:t>
      </w:r>
    </w:p>
    <w:p>
      <w:pPr>
        <w:spacing w:after="80"/>
        <w:keepLines/>
      </w:pPr>
      <w:r>
        <w:t>Timing determines whether a deviation is an exception or a breach. A valid exception is approved before the non-standard action; a breach exists when the requirement was bypassed without timely authority.</w:t>
      </w:r>
    </w:p>
    <w:p>
      <w:pPr>
        <w:spacing w:after="80"/>
        <w:keepLines/>
      </w:pPr>
      <w:r>
        <w:t>Credit Governance requires the request, rationale, authority and outcome to remain reconstructable from the controlled record. The requirements in this section apply unless a documented product rule, approved exception, or later effective instruction expressly provides otherwise.</w:t>
      </w:r>
    </w:p>
    <w:p>
      <w:pPr>
        <w:spacing w:after="40"/>
      </w:pPr>
      <w:r>
        <w:rPr>
          <w:rFonts w:ascii="Aptos" w:hAnsi="Aptos" w:eastAsia="Aptos"/>
          <w:b/>
          <w:color w:val="17365D"/>
          <w:sz w:val="18"/>
        </w:rPr>
        <w:t>Control requirements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A retrospective endorsement may approve remediation or continued exposure but shall remain recorded as a breach.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An expired exception used after its validity window is a breach unless it was revalidated before the action.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Incorrect classification of a breach as an exception shall be corrected in both registers.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Where a system defect caused the breach, the operational-risk incident process shall be used in parallel.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Material breaches may require Compliance notification under the future Compliance Breach Procedure.</w:t>
      </w:r>
    </w:p>
    <w:p>
      <w:pPr>
        <w:pStyle w:val="Heading2"/>
      </w:pPr>
      <w:r>
        <w:t>Records and control evidence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Breach record; remediation decision; exception register correction; incident record.</w:t>
      </w:r>
    </w:p>
    <w:p>
      <w:pPr>
        <w:pStyle w:val="Heading1"/>
      </w:pPr>
      <w:r>
        <w:t>14. Quality Assurance and Independent Review</w:t>
      </w:r>
    </w:p>
    <w:p>
      <w:pPr>
        <w:spacing w:after="80"/>
        <w:keepLines/>
      </w:pPr>
      <w:r>
        <w:t>Credit Governance shall perform sample-based testing of exception decisions to assess classification, authority, evidence, rationale and condition closure.</w:t>
      </w:r>
    </w:p>
    <w:p>
      <w:pPr>
        <w:spacing w:after="80"/>
        <w:keepLines/>
      </w:pPr>
      <w:r>
        <w:t>Credit Governance requires the request, rationale, authority and outcome to remain reconstructable from the controlled record. The requirements in this section apply unless a documented product rule, approved exception, or later effective instruction expressly provides otherwise.</w:t>
      </w:r>
    </w:p>
    <w:p>
      <w:pPr>
        <w:spacing w:after="40"/>
      </w:pPr>
      <w:r>
        <w:rPr>
          <w:rFonts w:ascii="Aptos" w:hAnsi="Aptos" w:eastAsia="Aptos"/>
          <w:b/>
          <w:color w:val="17365D"/>
          <w:sz w:val="18"/>
        </w:rPr>
        <w:t>Control requirements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Samples shall include approved and declined cases, not only higher-risk approvals.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QA shall challenge vague compensating factors and unsupported claims.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Repeated documentation deficiencies shall be assigned to an accountable manager with due dates.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Exception approvers may have authority restricted where material control weakness is identified, subject to CDAS-007.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Internal Audit may independently test the end-to-end exception process.</w:t>
      </w:r>
    </w:p>
    <w:p>
      <w:pPr>
        <w:pStyle w:val="Heading2"/>
      </w:pPr>
      <w:r>
        <w:t>Records and control evidence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QA sample; finding record; action plan; authority restriction notice where applicable.</w:t>
      </w:r>
    </w:p>
    <w:p>
      <w:r>
        <w:br w:type="page"/>
      </w:r>
    </w:p>
    <w:p>
      <w:pPr>
        <w:pStyle w:val="Heading1"/>
      </w:pPr>
      <w:r>
        <w:t>15. Historical and Transitional Treatment</w:t>
      </w:r>
    </w:p>
    <w:p>
      <w:pPr>
        <w:spacing w:after="80"/>
        <w:keepLines/>
      </w:pPr>
      <w:r>
        <w:t>This version became effective after CRP-001 v2.0 and is designed to handle the reduced personal-loan DTI standard without erasing the prior operating history.</w:t>
      </w:r>
    </w:p>
    <w:p>
      <w:pPr>
        <w:spacing w:after="80"/>
        <w:keepLines/>
      </w:pPr>
      <w:r>
        <w:t>Credit Governance requires the request, rationale, authority and outcome to remain reconstructable from the controlled record. The requirements in this section apply unless a documented product rule, approved exception, or later effective instruction expressly provides otherwise.</w:t>
      </w:r>
    </w:p>
    <w:p>
      <w:pPr>
        <w:spacing w:after="40"/>
      </w:pPr>
      <w:r>
        <w:rPr>
          <w:rFonts w:ascii="Aptos" w:hAnsi="Aptos" w:eastAsia="Aptos"/>
          <w:b/>
          <w:color w:val="17365D"/>
          <w:sz w:val="18"/>
        </w:rPr>
        <w:t>Control requirements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Cases submitted before 1 April 2025 and eligible for CRP-001's transition to 31 May 2025 may use the former 50% standard without a current DTI exception, provided transition evidence is complete.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A case submitted on or after 1 April 2025 must use the 45% standard and current exception bands.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From 1 June 2025, no active personal-loan case may rely on the former 50% standard solely because an older procedure or system rule remains visible.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Historical exceptions shall retain the policy/version reference that applied when approved.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Future policy changes shall be implemented through an effective-date note rather than rewriting prior exception records.</w:t>
      </w:r>
    </w:p>
    <w:p>
      <w:pPr>
        <w:pStyle w:val="Heading2"/>
      </w:pPr>
      <w:r>
        <w:t>Records and control evidence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Submission date; governing version; transition flag; historical exception record.</w:t>
      </w:r>
    </w:p>
    <w:p>
      <w:r>
        <w:br w:type="page"/>
      </w:r>
    </w:p>
    <w:p>
      <w:pPr>
        <w:pStyle w:val="Heading1"/>
      </w:pPr>
      <w:r>
        <w:t>Appendix A — Exception Classification Matrix</w:t>
      </w:r>
    </w:p>
    <w:p>
      <w:r>
        <w:t>The matrix is used to select the minimum exception class before applying amount authority.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17"/>
        <w:gridCol w:w="3317"/>
        <w:gridCol w:w="3317"/>
      </w:tblGrid>
      <w:tr>
        <w:trPr>
          <w:tblHeader w:val="true"/>
        </w:trPr>
        <w:tc>
          <w:tcPr>
            <w:tcW w:type="dxa" w:w="1152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Class</w:t>
            </w:r>
          </w:p>
        </w:tc>
        <w:tc>
          <w:tcPr>
            <w:tcW w:type="dxa" w:w="4464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Typical examples</w:t>
            </w:r>
          </w:p>
        </w:tc>
        <w:tc>
          <w:tcPr>
            <w:tcW w:type="dxa" w:w="432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Minimum control posture</w:t>
            </w:r>
          </w:p>
        </w:tc>
      </w:tr>
      <w:t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E1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Minor permitted documentary deviation; low-risk administrative variance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Documented rationale; designated supervisory approval</w:t>
            </w:r>
          </w:p>
        </w:tc>
      </w:tr>
      <w:tr>
        <w:tc>
          <w:tcPr>
            <w:tcW w:type="dxa" w:w="1152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E2</w:t>
            </w:r>
          </w:p>
        </w:tc>
        <w:tc>
          <w:tcPr>
            <w:tcW w:type="dxa" w:w="4464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Moderate parameter deviation; PL score 620–639; DTI 45.01–46.50%</w:t>
            </w:r>
          </w:p>
        </w:tc>
        <w:tc>
          <w:tcPr>
            <w:tcW w:type="dxa" w:w="4320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Manual review; minimum authority per CDAS-007</w:t>
            </w:r>
          </w:p>
        </w:tc>
      </w:tr>
      <w:tr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E3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Upper DTI band 46.51–48%; significant risk deviation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Senior approval plus independent Credit Risk concurrence where specified</w:t>
            </w:r>
          </w:p>
        </w:tc>
      </w:tr>
      <w:tr>
        <w:tc>
          <w:tcPr>
            <w:tcW w:type="dxa" w:w="1152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E4</w:t>
            </w:r>
          </w:p>
        </w:tc>
        <w:tc>
          <w:tcPr>
            <w:tcW w:type="dxa" w:w="4464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Material/portfolio exception; Board-level appetite departure where permitted</w:t>
            </w:r>
          </w:p>
        </w:tc>
        <w:tc>
          <w:tcPr>
            <w:tcW w:type="dxa" w:w="4320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CRO / committee route and explicit reporting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ptos" w:hAnsi="Aptos" w:eastAsia="Aptos"/>
          <w:b/>
          <w:color w:val="17365D"/>
          <w:sz w:val="18"/>
        </w:rPr>
        <w:t>Application notes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Classification may be increased where multiple deviations interact.</w:t>
      </w:r>
    </w:p>
    <w:p>
      <w:r>
        <w:br w:type="page"/>
      </w:r>
    </w:p>
    <w:p>
      <w:pPr>
        <w:pStyle w:val="Heading1"/>
      </w:pPr>
      <w:r>
        <w:t>Appendix B — Personal-Loan DTI Routing</w:t>
      </w:r>
    </w:p>
    <w:p>
      <w:r>
        <w:t>The table applies to current personal-loan applications after the CRP-001 v2.0 transition window.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2488"/>
        <w:gridCol w:w="2488"/>
        <w:gridCol w:w="2488"/>
        <w:gridCol w:w="2488"/>
      </w:tblGrid>
      <w:tr>
        <w:trPr>
          <w:tblHeader w:val="true"/>
        </w:trPr>
        <w:tc>
          <w:tcPr>
            <w:tcW w:type="dxa" w:w="2016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DTI</w:t>
            </w:r>
          </w:p>
        </w:tc>
        <w:tc>
          <w:tcPr>
            <w:tcW w:type="dxa" w:w="3024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1728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Exception class</w:t>
            </w:r>
          </w:p>
        </w:tc>
        <w:tc>
          <w:tcPr>
            <w:tcW w:type="dxa" w:w="3456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Minimum approval</w:t>
            </w:r>
          </w:p>
        </w:tc>
      </w:tr>
      <w:tr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≤45.00%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Standard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None for DTI alone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Normal amount/risk authority</w:t>
            </w:r>
          </w:p>
        </w:tc>
      </w:tr>
      <w:tr>
        <w:tc>
          <w:tcPr>
            <w:tcW w:type="dxa" w:w="2016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45.01–46.50%</w:t>
            </w:r>
          </w:p>
        </w:tc>
        <w:tc>
          <w:tcPr>
            <w:tcW w:type="dxa" w:w="3024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Permitted only by exception</w:t>
            </w:r>
          </w:p>
        </w:tc>
        <w:tc>
          <w:tcPr>
            <w:tcW w:type="dxa" w:w="1728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E2</w:t>
            </w:r>
          </w:p>
        </w:tc>
        <w:tc>
          <w:tcPr>
            <w:tcW w:type="dxa" w:w="3456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CA4 / Senior Credit Manager</w:t>
            </w:r>
          </w:p>
        </w:tc>
      </w:tr>
      <w:tr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46.51–48.00%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Permitted only by exception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E3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CA4 + Credit Risk concurrence</w:t>
            </w:r>
          </w:p>
        </w:tc>
      </w:tr>
      <w:tr>
        <w:tc>
          <w:tcPr>
            <w:tcW w:type="dxa" w:w="2016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&gt;48.00%</w:t>
            </w:r>
          </w:p>
        </w:tc>
        <w:tc>
          <w:tcPr>
            <w:tcW w:type="dxa" w:w="3024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Outside normal standard</w:t>
            </w:r>
          </w:p>
        </w:tc>
        <w:tc>
          <w:tcPr>
            <w:tcW w:type="dxa" w:w="1728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E4-style material consideration</w:t>
            </w:r>
          </w:p>
        </w:tc>
        <w:tc>
          <w:tcPr>
            <w:tcW w:type="dxa" w:w="3456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Head of Credit Risk minimum; ordinarily decline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ptos" w:hAnsi="Aptos" w:eastAsia="Aptos"/>
          <w:b/>
          <w:color w:val="17365D"/>
          <w:sz w:val="18"/>
        </w:rPr>
        <w:t>Application notes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FOIR and score rules remain separate.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The exception does not cure undisclosed obligations or unresolved fraud concerns.</w:t>
      </w:r>
    </w:p>
    <w:p>
      <w:r>
        <w:br w:type="page"/>
      </w:r>
    </w:p>
    <w:p>
      <w:pPr>
        <w:pStyle w:val="Heading1"/>
      </w:pPr>
      <w:r>
        <w:t>Appendix C — Minimum Exception Register Fields</w:t>
      </w:r>
    </w:p>
    <w:p>
      <w:r>
        <w:t>These fields support reconstruction and management reporting.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4975"/>
        <w:gridCol w:w="4975"/>
      </w:tblGrid>
      <w:tr>
        <w:trPr>
          <w:tblHeader w:val="true"/>
        </w:trPr>
        <w:tc>
          <w:tcPr>
            <w:tcW w:type="dxa" w:w="3168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648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Requirement</w:t>
            </w:r>
          </w:p>
        </w:tc>
      </w:tr>
      <w:t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Exception ID</w:t>
            </w:r>
          </w:p>
        </w:tc>
        <w:tc>
          <w:tcPr>
            <w:tcW w:type="dxa" w:w="6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Unique controlled identifier</w:t>
            </w:r>
          </w:p>
        </w:tc>
      </w:tr>
      <w:tr>
        <w:tc>
          <w:tcPr>
            <w:tcW w:type="dxa" w:w="3168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Application / Customer ID</w:t>
            </w:r>
          </w:p>
        </w:tc>
        <w:tc>
          <w:tcPr>
            <w:tcW w:type="dxa" w:w="6480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Link to underlying case</w:t>
            </w:r>
          </w:p>
        </w:tc>
      </w:tr>
      <w:t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Rule reference</w:t>
            </w:r>
          </w:p>
        </w:tc>
        <w:tc>
          <w:tcPr>
            <w:tcW w:type="dxa" w:w="6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Document, version and section</w:t>
            </w:r>
          </w:p>
        </w:tc>
      </w:tr>
      <w:tr>
        <w:tc>
          <w:tcPr>
            <w:tcW w:type="dxa" w:w="3168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Standard / actual value</w:t>
            </w:r>
          </w:p>
        </w:tc>
        <w:tc>
          <w:tcPr>
            <w:tcW w:type="dxa" w:w="6480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Numeric where applicable</w:t>
            </w:r>
          </w:p>
        </w:tc>
      </w:tr>
      <w:t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Exception class</w:t>
            </w:r>
          </w:p>
        </w:tc>
        <w:tc>
          <w:tcPr>
            <w:tcW w:type="dxa" w:w="6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E1–E4</w:t>
            </w:r>
          </w:p>
        </w:tc>
      </w:tr>
      <w:tr>
        <w:tc>
          <w:tcPr>
            <w:tcW w:type="dxa" w:w="3168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Compensating factors</w:t>
            </w:r>
          </w:p>
        </w:tc>
        <w:tc>
          <w:tcPr>
            <w:tcW w:type="dxa" w:w="6480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Specific, evidence-based</w:t>
            </w:r>
          </w:p>
        </w:tc>
      </w:tr>
      <w:t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Decision and approver</w:t>
            </w:r>
          </w:p>
        </w:tc>
        <w:tc>
          <w:tcPr>
            <w:tcW w:type="dxa" w:w="6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Approve / decline / withdraw; named authority</w:t>
            </w:r>
          </w:p>
        </w:tc>
      </w:tr>
      <w:tr>
        <w:tc>
          <w:tcPr>
            <w:tcW w:type="dxa" w:w="3168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Conditions / expiry</w:t>
            </w:r>
          </w:p>
        </w:tc>
        <w:tc>
          <w:tcPr>
            <w:tcW w:type="dxa" w:w="6480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Any preconditions or validity end date</w:t>
            </w:r>
          </w:p>
        </w:tc>
      </w:tr>
      <w:t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Final outcome</w:t>
            </w:r>
          </w:p>
        </w:tc>
        <w:tc>
          <w:tcPr>
            <w:tcW w:type="dxa" w:w="64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Booked, cancelled, expired or superseded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ptos" w:hAnsi="Aptos" w:eastAsia="Aptos"/>
          <w:b/>
          <w:color w:val="17365D"/>
          <w:sz w:val="18"/>
        </w:rPr>
        <w:t>Application notes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Do not overwrite original approvals when a case is re-underwritten.</w:t>
      </w:r>
    </w:p>
    <w:p>
      <w:r>
        <w:br w:type="page"/>
      </w:r>
    </w:p>
    <w:p>
      <w:pPr>
        <w:pStyle w:val="Heading1"/>
      </w:pPr>
      <w:r>
        <w:t>Appendix D — Illustrative Edge Cases</w:t>
      </w:r>
    </w:p>
    <w:p>
      <w:r>
        <w:t>Examples are operational guidance only and assume no undisclosed adverse information.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17"/>
        <w:gridCol w:w="3317"/>
        <w:gridCol w:w="3317"/>
      </w:tblGrid>
      <w:tr>
        <w:trPr>
          <w:tblHeader w:val="true"/>
        </w:trPr>
        <w:tc>
          <w:tcPr>
            <w:tcW w:type="dxa" w:w="3456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Case</w:t>
            </w:r>
          </w:p>
        </w:tc>
        <w:tc>
          <w:tcPr>
            <w:tcW w:type="dxa" w:w="1872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Classification</w:t>
            </w:r>
          </w:p>
        </w:tc>
        <w:tc>
          <w:tcPr>
            <w:tcW w:type="dxa" w:w="4320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Expected route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DTI 46.2%, score 710, stable salaried income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E2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CA4; document affordability and compensating factors</w:t>
            </w:r>
          </w:p>
        </w:tc>
      </w:tr>
      <w:tr>
        <w:tc>
          <w:tcPr>
            <w:tcW w:type="dxa" w:w="3456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DTI 47.5%, score 685, recent job change</w:t>
            </w:r>
          </w:p>
        </w:tc>
        <w:tc>
          <w:tcPr>
            <w:tcW w:type="dxa" w:w="1872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E3</w:t>
            </w:r>
          </w:p>
        </w:tc>
        <w:tc>
          <w:tcPr>
            <w:tcW w:type="dxa" w:w="4320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CA4 + Credit Risk concurrence; heightened income review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Score 635, DTI 40%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E2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Manual underwriting + CA3 minimum</w:t>
            </w:r>
          </w:p>
        </w:tc>
      </w:tr>
      <w:tr>
        <w:tc>
          <w:tcPr>
            <w:tcW w:type="dxa" w:w="3456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System allowed DTI 47% and loan was disbursed without exception</w:t>
            </w:r>
          </w:p>
        </w:tc>
        <w:tc>
          <w:tcPr>
            <w:tcW w:type="dxa" w:w="1872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Breach</w:t>
            </w:r>
          </w:p>
        </w:tc>
        <w:tc>
          <w:tcPr>
            <w:tcW w:type="dxa" w:w="4320"/>
            <w:shd w:fill="F7F9FC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Record breach; assess remediation; do not backdate exception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Old application submitted 20 Mar 2025, approved 15 May 2025 at 49% DTI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Transition case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sz w:val="15"/>
              </w:rPr>
              <w:t>May rely on old 50% standard if submission and dates are evidenced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ptos" w:hAnsi="Aptos" w:eastAsia="Aptos"/>
          <w:b/>
          <w:color w:val="17365D"/>
          <w:sz w:val="18"/>
        </w:rPr>
        <w:t>Application notes</w:t>
      </w:r>
    </w:p>
    <w:p>
      <w:pPr>
        <w:spacing w:after="46"/>
        <w:ind w:left="259" w:hanging="173"/>
      </w:pPr>
      <w:r>
        <w:rPr>
          <w:rFonts w:ascii="Aptos" w:hAnsi="Aptos" w:eastAsia="Aptos"/>
          <w:b/>
          <w:color w:val="2F5597"/>
          <w:sz w:val="18"/>
        </w:rPr>
        <w:t xml:space="preserve">• </w:t>
      </w:r>
      <w:r>
        <w:rPr>
          <w:rFonts w:ascii="Aptos" w:hAnsi="Aptos" w:eastAsia="Aptos"/>
          <w:sz w:val="18"/>
        </w:rPr>
        <w:t>Sales priority, customer importance and target pressure are never stand-alone compensating factors.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64" w:right="979" w:bottom="893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"/>
      <w:jc w:val="center"/>
    </w:pPr>
    <w:r>
      <w:rPr>
        <w:rFonts w:ascii="Aptos" w:hAnsi="Aptos" w:eastAsia="Aptos"/>
        <w:b w:val="0"/>
        <w:color w:val="595959"/>
        <w:sz w:val="10"/>
      </w:rPr>
      <w:t>Northstar Financial — Synthetic Internal Document. This document is fictional and created solely for educational and software-development purposes. It does not represent an actual financial institution, regulatory requirement, legal obligation, or financial advice.</w:t>
    </w:r>
  </w:p>
  <w:p>
    <w:pPr>
      <w:jc w:val="center"/>
    </w:pPr>
    <w:r>
      <w:rPr>
        <w:rFonts w:ascii="Aptos" w:hAnsi="Aptos" w:eastAsia="Aptos"/>
        <w:b w:val="0"/>
        <w:color w:val="595959"/>
        <w:sz w:val="12"/>
      </w:rPr>
      <w:t xml:space="preserve">Internal Use |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ptos" w:hAnsi="Aptos" w:eastAsia="Aptos"/>
        <w:b/>
        <w:color w:val="17365D"/>
        <w:sz w:val="14"/>
      </w:rPr>
      <w:t>NORTHSTAR FINANCIAL  |  CEP-006  |  Credit Exception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0" w:lineRule="auto"/>
    </w:pPr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59595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olNote">
    <w:name w:val="Control Note"/>
    <w:pPr>
      <w:spacing w:after="80"/>
      <w:ind w:left="259"/>
    </w:pPr>
    <w:rPr>
      <w:rFonts w:ascii="Aptos" w:hAnsi="Aptos" w:eastAsia="Aptos"/>
      <w:i/>
      <w:color w:val="59595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