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ptos" w:hAnsi="Aptos" w:eastAsia="Aptos"/>
          <w:b/>
          <w:color w:val="2F5597"/>
          <w:sz w:val="26"/>
        </w:rPr>
        <w:t>NORTHSTAR FINANCIAL</w:t>
      </w:r>
    </w:p>
    <w:p>
      <w:pPr>
        <w:spacing w:before="560"/>
        <w:jc w:val="center"/>
      </w:pPr>
      <w:r>
        <w:rPr>
          <w:rFonts w:ascii="Aptos" w:hAnsi="Aptos" w:eastAsia="Aptos"/>
          <w:b/>
          <w:color w:val="17365D"/>
          <w:sz w:val="50"/>
        </w:rPr>
        <w:t>Credit Risk Policy</w:t>
      </w:r>
    </w:p>
    <w:p>
      <w:pPr>
        <w:jc w:val="center"/>
      </w:pPr>
      <w:r>
        <w:rPr>
          <w:rFonts w:ascii="Aptos" w:hAnsi="Aptos" w:eastAsia="Aptos"/>
          <w:b/>
          <w:color w:val="595959"/>
          <w:sz w:val="26"/>
        </w:rPr>
        <w:t>CRP-001</w:t>
      </w:r>
    </w:p>
    <w:p>
      <w:pPr>
        <w:spacing w:before="520"/>
        <w:jc w:val="center"/>
      </w:pPr>
      <w:r>
        <w:rPr>
          <w:rFonts w:ascii="Aptos" w:hAnsi="Aptos" w:eastAsia="Aptos"/>
          <w:b w:val="0"/>
          <w:color w:val="595959"/>
          <w:sz w:val="22"/>
        </w:rPr>
        <w:t>Version 2.0  |  Effective 1 April 2025</w:t>
      </w:r>
    </w:p>
    <w:p>
      <w:pPr>
        <w:spacing w:before="2100"/>
        <w:jc w:val="center"/>
      </w:pPr>
      <w:r>
        <w:rPr>
          <w:rFonts w:ascii="Aptos" w:hAnsi="Aptos" w:eastAsia="Aptos"/>
          <w:b/>
          <w:color w:val="17365D"/>
          <w:sz w:val="18"/>
        </w:rPr>
        <w:t>Classification: INTERNAL — CONTROLLED</w:t>
      </w:r>
    </w:p>
    <w:p>
      <w:pPr>
        <w:jc w:val="center"/>
      </w:pPr>
      <w:r>
        <w:rPr>
          <w:rFonts w:ascii="Aptos" w:hAnsi="Aptos" w:eastAsia="Aptos"/>
          <w:b w:val="0"/>
          <w:i/>
          <w:color w:val="595959"/>
          <w:sz w:val="14"/>
        </w:rPr>
        <w:t>Northstar Financial — Synthetic Internal Document. This document is fictional and created solely for educational and software-development purposes. It does not represent an actual financial institution, regulatory requirement, legal obligation, or financial advice.</w:t>
      </w:r>
    </w:p>
    <w:p>
      <w:r>
        <w:br w:type="page"/>
      </w:r>
    </w:p>
    <w:p>
      <w:pPr>
        <w:pStyle w:val="Heading1"/>
      </w:pPr>
      <w:r>
        <w:t>Document Control</w:t>
      </w:r>
    </w:p>
    <w:tbl>
      <w:tblPr>
        <w:tblW w:type="auto" w:w="0"/>
        <w:jc w:val="center"/>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4975"/>
        <w:gridCol w:w="4975"/>
      </w:tblGrid>
      <w:tr>
        <w:tc>
          <w:tcPr>
            <w:tcW w:type="dxa" w:w="4975"/>
            <w:shd w:fill="D9EAF7"/>
            <w:tcMar>
              <w:top w:w="70" w:type="dxa"/>
              <w:start w:w="90" w:type="dxa"/>
              <w:bottom w:w="70" w:type="dxa"/>
              <w:end w:w="90" w:type="dxa"/>
            </w:tcMar>
            <w:vAlign w:val="center"/>
          </w:tcPr>
          <w:p>
            <w:r>
              <w:rPr>
                <w:rFonts w:ascii="Aptos" w:hAnsi="Aptos" w:eastAsia="Aptos"/>
                <w:b/>
                <w:color w:val="17365D"/>
                <w:sz w:val="16"/>
              </w:rPr>
              <w:t>Document ID</w:t>
            </w:r>
          </w:p>
        </w:tc>
        <w:tc>
          <w:tcPr>
            <w:tcW w:type="dxa" w:w="4975"/>
            <w:tcMar>
              <w:top w:w="70" w:type="dxa"/>
              <w:start w:w="90" w:type="dxa"/>
              <w:bottom w:w="70" w:type="dxa"/>
              <w:end w:w="90" w:type="dxa"/>
            </w:tcMar>
            <w:vAlign w:val="center"/>
          </w:tcPr>
          <w:p>
            <w:r>
              <w:rPr>
                <w:rFonts w:ascii="Aptos" w:hAnsi="Aptos" w:eastAsia="Aptos"/>
                <w:b w:val="0"/>
                <w:sz w:val="16"/>
              </w:rPr>
              <w:t>CRP-001</w:t>
            </w:r>
          </w:p>
        </w:tc>
      </w:tr>
      <w:tr>
        <w:tc>
          <w:tcPr>
            <w:tcW w:type="dxa" w:w="4975"/>
            <w:shd w:fill="D9EAF7"/>
            <w:tcMar>
              <w:top w:w="70" w:type="dxa"/>
              <w:start w:w="90" w:type="dxa"/>
              <w:bottom w:w="70" w:type="dxa"/>
              <w:end w:w="90" w:type="dxa"/>
            </w:tcMar>
            <w:vAlign w:val="center"/>
          </w:tcPr>
          <w:p>
            <w:r>
              <w:rPr>
                <w:rFonts w:ascii="Aptos" w:hAnsi="Aptos" w:eastAsia="Aptos"/>
                <w:b/>
                <w:color w:val="17365D"/>
                <w:sz w:val="16"/>
              </w:rPr>
              <w:t>Document Title</w:t>
            </w:r>
          </w:p>
        </w:tc>
        <w:tc>
          <w:tcPr>
            <w:tcW w:type="dxa" w:w="4975"/>
            <w:tcMar>
              <w:top w:w="70" w:type="dxa"/>
              <w:start w:w="90" w:type="dxa"/>
              <w:bottom w:w="70" w:type="dxa"/>
              <w:end w:w="90" w:type="dxa"/>
            </w:tcMar>
            <w:vAlign w:val="center"/>
          </w:tcPr>
          <w:p>
            <w:r>
              <w:rPr>
                <w:rFonts w:ascii="Aptos" w:hAnsi="Aptos" w:eastAsia="Aptos"/>
                <w:b w:val="0"/>
                <w:sz w:val="16"/>
              </w:rPr>
              <w:t>Credit Risk Policy</w:t>
            </w:r>
          </w:p>
        </w:tc>
      </w:tr>
      <w:tr>
        <w:tc>
          <w:tcPr>
            <w:tcW w:type="dxa" w:w="4975"/>
            <w:shd w:fill="D9EAF7"/>
            <w:tcMar>
              <w:top w:w="70" w:type="dxa"/>
              <w:start w:w="90" w:type="dxa"/>
              <w:bottom w:w="70" w:type="dxa"/>
              <w:end w:w="90" w:type="dxa"/>
            </w:tcMar>
            <w:vAlign w:val="center"/>
          </w:tcPr>
          <w:p>
            <w:r>
              <w:rPr>
                <w:rFonts w:ascii="Aptos" w:hAnsi="Aptos" w:eastAsia="Aptos"/>
                <w:b/>
                <w:color w:val="17365D"/>
                <w:sz w:val="16"/>
              </w:rPr>
              <w:t>Version</w:t>
            </w:r>
          </w:p>
        </w:tc>
        <w:tc>
          <w:tcPr>
            <w:tcW w:type="dxa" w:w="4975"/>
            <w:tcMar>
              <w:top w:w="70" w:type="dxa"/>
              <w:start w:w="90" w:type="dxa"/>
              <w:bottom w:w="70" w:type="dxa"/>
              <w:end w:w="90" w:type="dxa"/>
            </w:tcMar>
            <w:vAlign w:val="center"/>
          </w:tcPr>
          <w:p>
            <w:r>
              <w:rPr>
                <w:rFonts w:ascii="Aptos" w:hAnsi="Aptos" w:eastAsia="Aptos"/>
                <w:b w:val="0"/>
                <w:sz w:val="16"/>
              </w:rPr>
              <w:t>2.0</w:t>
            </w:r>
          </w:p>
        </w:tc>
      </w:tr>
      <w:tr>
        <w:tc>
          <w:tcPr>
            <w:tcW w:type="dxa" w:w="4975"/>
            <w:shd w:fill="D9EAF7"/>
            <w:tcMar>
              <w:top w:w="70" w:type="dxa"/>
              <w:start w:w="90" w:type="dxa"/>
              <w:bottom w:w="70" w:type="dxa"/>
              <w:end w:w="90" w:type="dxa"/>
            </w:tcMar>
            <w:vAlign w:val="center"/>
          </w:tcPr>
          <w:p>
            <w:r>
              <w:rPr>
                <w:rFonts w:ascii="Aptos" w:hAnsi="Aptos" w:eastAsia="Aptos"/>
                <w:b/>
                <w:color w:val="17365D"/>
                <w:sz w:val="16"/>
              </w:rPr>
              <w:t>Policy / Procedure Owner</w:t>
            </w:r>
          </w:p>
        </w:tc>
        <w:tc>
          <w:tcPr>
            <w:tcW w:type="dxa" w:w="4975"/>
            <w:tcMar>
              <w:top w:w="70" w:type="dxa"/>
              <w:start w:w="90" w:type="dxa"/>
              <w:bottom w:w="70" w:type="dxa"/>
              <w:end w:w="90" w:type="dxa"/>
            </w:tcMar>
            <w:vAlign w:val="center"/>
          </w:tcPr>
          <w:p>
            <w:r>
              <w:rPr>
                <w:rFonts w:ascii="Aptos" w:hAnsi="Aptos" w:eastAsia="Aptos"/>
                <w:b w:val="0"/>
                <w:sz w:val="16"/>
              </w:rPr>
              <w:t>Arvind Menon — Head of Credit Risk</w:t>
            </w:r>
          </w:p>
        </w:tc>
      </w:tr>
      <w:tr>
        <w:tc>
          <w:tcPr>
            <w:tcW w:type="dxa" w:w="4975"/>
            <w:shd w:fill="D9EAF7"/>
            <w:tcMar>
              <w:top w:w="70" w:type="dxa"/>
              <w:start w:w="90" w:type="dxa"/>
              <w:bottom w:w="70" w:type="dxa"/>
              <w:end w:w="90" w:type="dxa"/>
            </w:tcMar>
            <w:vAlign w:val="center"/>
          </w:tcPr>
          <w:p>
            <w:r>
              <w:rPr>
                <w:rFonts w:ascii="Aptos" w:hAnsi="Aptos" w:eastAsia="Aptos"/>
                <w:b/>
                <w:color w:val="17365D"/>
                <w:sz w:val="16"/>
              </w:rPr>
              <w:t>Business Unit</w:t>
            </w:r>
          </w:p>
        </w:tc>
        <w:tc>
          <w:tcPr>
            <w:tcW w:type="dxa" w:w="4975"/>
            <w:tcMar>
              <w:top w:w="70" w:type="dxa"/>
              <w:start w:w="90" w:type="dxa"/>
              <w:bottom w:w="70" w:type="dxa"/>
              <w:end w:w="90" w:type="dxa"/>
            </w:tcMar>
            <w:vAlign w:val="center"/>
          </w:tcPr>
          <w:p>
            <w:r>
              <w:rPr>
                <w:rFonts w:ascii="Aptos" w:hAnsi="Aptos" w:eastAsia="Aptos"/>
                <w:b w:val="0"/>
                <w:sz w:val="16"/>
              </w:rPr>
              <w:t>Credit Risk Department</w:t>
            </w:r>
          </w:p>
        </w:tc>
      </w:tr>
      <w:tr>
        <w:tc>
          <w:tcPr>
            <w:tcW w:type="dxa" w:w="4975"/>
            <w:shd w:fill="D9EAF7"/>
            <w:tcMar>
              <w:top w:w="70" w:type="dxa"/>
              <w:start w:w="90" w:type="dxa"/>
              <w:bottom w:w="70" w:type="dxa"/>
              <w:end w:w="90" w:type="dxa"/>
            </w:tcMar>
            <w:vAlign w:val="center"/>
          </w:tcPr>
          <w:p>
            <w:r>
              <w:rPr>
                <w:rFonts w:ascii="Aptos" w:hAnsi="Aptos" w:eastAsia="Aptos"/>
                <w:b/>
                <w:color w:val="17365D"/>
                <w:sz w:val="16"/>
              </w:rPr>
              <w:t>Approving Authority</w:t>
            </w:r>
          </w:p>
        </w:tc>
        <w:tc>
          <w:tcPr>
            <w:tcW w:type="dxa" w:w="4975"/>
            <w:tcMar>
              <w:top w:w="70" w:type="dxa"/>
              <w:start w:w="90" w:type="dxa"/>
              <w:bottom w:w="70" w:type="dxa"/>
              <w:end w:w="90" w:type="dxa"/>
            </w:tcMar>
            <w:vAlign w:val="center"/>
          </w:tcPr>
          <w:p>
            <w:r>
              <w:rPr>
                <w:rFonts w:ascii="Aptos" w:hAnsi="Aptos" w:eastAsia="Aptos"/>
                <w:b w:val="0"/>
                <w:sz w:val="16"/>
              </w:rPr>
              <w:t>Board Risk Committee</w:t>
            </w:r>
          </w:p>
        </w:tc>
      </w:tr>
      <w:tr>
        <w:tc>
          <w:tcPr>
            <w:tcW w:type="dxa" w:w="4975"/>
            <w:shd w:fill="D9EAF7"/>
            <w:tcMar>
              <w:top w:w="70" w:type="dxa"/>
              <w:start w:w="90" w:type="dxa"/>
              <w:bottom w:w="70" w:type="dxa"/>
              <w:end w:w="90" w:type="dxa"/>
            </w:tcMar>
            <w:vAlign w:val="center"/>
          </w:tcPr>
          <w:p>
            <w:r>
              <w:rPr>
                <w:rFonts w:ascii="Aptos" w:hAnsi="Aptos" w:eastAsia="Aptos"/>
                <w:b/>
                <w:color w:val="17365D"/>
                <w:sz w:val="16"/>
              </w:rPr>
              <w:t>Effective Date</w:t>
            </w:r>
          </w:p>
        </w:tc>
        <w:tc>
          <w:tcPr>
            <w:tcW w:type="dxa" w:w="4975"/>
            <w:tcMar>
              <w:top w:w="70" w:type="dxa"/>
              <w:start w:w="90" w:type="dxa"/>
              <w:bottom w:w="70" w:type="dxa"/>
              <w:end w:w="90" w:type="dxa"/>
            </w:tcMar>
            <w:vAlign w:val="center"/>
          </w:tcPr>
          <w:p>
            <w:r>
              <w:rPr>
                <w:rFonts w:ascii="Aptos" w:hAnsi="Aptos" w:eastAsia="Aptos"/>
                <w:b w:val="0"/>
                <w:sz w:val="16"/>
              </w:rPr>
              <w:t>1 April 2025</w:t>
            </w:r>
          </w:p>
        </w:tc>
      </w:tr>
      <w:tr>
        <w:tc>
          <w:tcPr>
            <w:tcW w:type="dxa" w:w="4975"/>
            <w:shd w:fill="D9EAF7"/>
            <w:tcMar>
              <w:top w:w="70" w:type="dxa"/>
              <w:start w:w="90" w:type="dxa"/>
              <w:bottom w:w="70" w:type="dxa"/>
              <w:end w:w="90" w:type="dxa"/>
            </w:tcMar>
            <w:vAlign w:val="center"/>
          </w:tcPr>
          <w:p>
            <w:r>
              <w:rPr>
                <w:rFonts w:ascii="Aptos" w:hAnsi="Aptos" w:eastAsia="Aptos"/>
                <w:b/>
                <w:color w:val="17365D"/>
                <w:sz w:val="16"/>
              </w:rPr>
              <w:t>Previous Version</w:t>
            </w:r>
          </w:p>
        </w:tc>
        <w:tc>
          <w:tcPr>
            <w:tcW w:type="dxa" w:w="4975"/>
            <w:tcMar>
              <w:top w:w="70" w:type="dxa"/>
              <w:start w:w="90" w:type="dxa"/>
              <w:bottom w:w="70" w:type="dxa"/>
              <w:end w:w="90" w:type="dxa"/>
            </w:tcMar>
            <w:vAlign w:val="center"/>
          </w:tcPr>
          <w:p>
            <w:r>
              <w:rPr>
                <w:rFonts w:ascii="Aptos" w:hAnsi="Aptos" w:eastAsia="Aptos"/>
                <w:b w:val="0"/>
                <w:sz w:val="16"/>
              </w:rPr>
              <w:t>Version 1.2 (effective 1 July 2023)</w:t>
            </w:r>
          </w:p>
        </w:tc>
      </w:tr>
      <w:tr>
        <w:tc>
          <w:tcPr>
            <w:tcW w:type="dxa" w:w="4975"/>
            <w:shd w:fill="D9EAF7"/>
            <w:tcMar>
              <w:top w:w="70" w:type="dxa"/>
              <w:start w:w="90" w:type="dxa"/>
              <w:bottom w:w="70" w:type="dxa"/>
              <w:end w:w="90" w:type="dxa"/>
            </w:tcMar>
            <w:vAlign w:val="center"/>
          </w:tcPr>
          <w:p>
            <w:r>
              <w:rPr>
                <w:rFonts w:ascii="Aptos" w:hAnsi="Aptos" w:eastAsia="Aptos"/>
                <w:b/>
                <w:color w:val="17365D"/>
                <w:sz w:val="16"/>
              </w:rPr>
              <w:t>Review Frequency</w:t>
            </w:r>
          </w:p>
        </w:tc>
        <w:tc>
          <w:tcPr>
            <w:tcW w:type="dxa" w:w="4975"/>
            <w:tcMar>
              <w:top w:w="70" w:type="dxa"/>
              <w:start w:w="90" w:type="dxa"/>
              <w:bottom w:w="70" w:type="dxa"/>
              <w:end w:w="90" w:type="dxa"/>
            </w:tcMar>
            <w:vAlign w:val="center"/>
          </w:tcPr>
          <w:p>
            <w:r>
              <w:rPr>
                <w:rFonts w:ascii="Aptos" w:hAnsi="Aptos" w:eastAsia="Aptos"/>
                <w:b w:val="0"/>
                <w:sz w:val="16"/>
              </w:rPr>
              <w:t>Annual, or earlier upon a material portfolio or risk-appetite change</w:t>
            </w:r>
          </w:p>
        </w:tc>
      </w:tr>
      <w:tr>
        <w:tc>
          <w:tcPr>
            <w:tcW w:type="dxa" w:w="4975"/>
            <w:shd w:fill="D9EAF7"/>
            <w:tcMar>
              <w:top w:w="70" w:type="dxa"/>
              <w:start w:w="90" w:type="dxa"/>
              <w:bottom w:w="70" w:type="dxa"/>
              <w:end w:w="90" w:type="dxa"/>
            </w:tcMar>
            <w:vAlign w:val="center"/>
          </w:tcPr>
          <w:p>
            <w:r>
              <w:rPr>
                <w:rFonts w:ascii="Aptos" w:hAnsi="Aptos" w:eastAsia="Aptos"/>
                <w:b/>
                <w:color w:val="17365D"/>
                <w:sz w:val="16"/>
              </w:rPr>
              <w:t>Classification</w:t>
            </w:r>
          </w:p>
        </w:tc>
        <w:tc>
          <w:tcPr>
            <w:tcW w:type="dxa" w:w="4975"/>
            <w:tcMar>
              <w:top w:w="70" w:type="dxa"/>
              <w:start w:w="90" w:type="dxa"/>
              <w:bottom w:w="70" w:type="dxa"/>
              <w:end w:w="90" w:type="dxa"/>
            </w:tcMar>
            <w:vAlign w:val="center"/>
          </w:tcPr>
          <w:p>
            <w:r>
              <w:rPr>
                <w:rFonts w:ascii="Aptos" w:hAnsi="Aptos" w:eastAsia="Aptos"/>
                <w:b w:val="0"/>
                <w:sz w:val="16"/>
              </w:rPr>
              <w:t>Internal — Controlled</w:t>
            </w:r>
          </w:p>
        </w:tc>
      </w:tr>
      <w:tr>
        <w:tc>
          <w:tcPr>
            <w:tcW w:type="dxa" w:w="4975"/>
            <w:shd w:fill="D9EAF7"/>
            <w:tcMar>
              <w:top w:w="70" w:type="dxa"/>
              <w:start w:w="90" w:type="dxa"/>
              <w:bottom w:w="70" w:type="dxa"/>
              <w:end w:w="90" w:type="dxa"/>
            </w:tcMar>
            <w:vAlign w:val="center"/>
          </w:tcPr>
          <w:p>
            <w:r>
              <w:rPr>
                <w:rFonts w:ascii="Aptos" w:hAnsi="Aptos" w:eastAsia="Aptos"/>
                <w:b/>
                <w:color w:val="17365D"/>
                <w:sz w:val="16"/>
              </w:rPr>
              <w:t>Status</w:t>
            </w:r>
          </w:p>
        </w:tc>
        <w:tc>
          <w:tcPr>
            <w:tcW w:type="dxa" w:w="4975"/>
            <w:tcMar>
              <w:top w:w="70" w:type="dxa"/>
              <w:start w:w="90" w:type="dxa"/>
              <w:bottom w:w="70" w:type="dxa"/>
              <w:end w:w="90" w:type="dxa"/>
            </w:tcMar>
            <w:vAlign w:val="center"/>
          </w:tcPr>
          <w:p>
            <w:r>
              <w:rPr>
                <w:rFonts w:ascii="Aptos" w:hAnsi="Aptos" w:eastAsia="Aptos"/>
                <w:b w:val="0"/>
                <w:sz w:val="16"/>
              </w:rPr>
              <w:t>Approved</w:t>
            </w:r>
          </w:p>
        </w:tc>
      </w:tr>
      <w:tr>
        <w:tc>
          <w:tcPr>
            <w:tcW w:type="dxa" w:w="4975"/>
            <w:shd w:fill="D9EAF7"/>
            <w:tcMar>
              <w:top w:w="70" w:type="dxa"/>
              <w:start w:w="90" w:type="dxa"/>
              <w:bottom w:w="70" w:type="dxa"/>
              <w:end w:w="90" w:type="dxa"/>
            </w:tcMar>
            <w:vAlign w:val="center"/>
          </w:tcPr>
          <w:p>
            <w:r>
              <w:rPr>
                <w:rFonts w:ascii="Aptos" w:hAnsi="Aptos" w:eastAsia="Aptos"/>
                <w:b/>
                <w:color w:val="17365D"/>
                <w:sz w:val="16"/>
              </w:rPr>
              <w:t>Supersedes</w:t>
            </w:r>
          </w:p>
        </w:tc>
        <w:tc>
          <w:tcPr>
            <w:tcW w:type="dxa" w:w="4975"/>
            <w:tcMar>
              <w:top w:w="70" w:type="dxa"/>
              <w:start w:w="90" w:type="dxa"/>
              <w:bottom w:w="70" w:type="dxa"/>
              <w:end w:w="90" w:type="dxa"/>
            </w:tcMar>
            <w:vAlign w:val="center"/>
          </w:tcPr>
          <w:p>
            <w:r>
              <w:rPr>
                <w:rFonts w:ascii="Aptos" w:hAnsi="Aptos" w:eastAsia="Aptos"/>
                <w:b w:val="0"/>
                <w:sz w:val="16"/>
              </w:rPr>
              <w:t>CRP-001 v1.2</w:t>
            </w:r>
          </w:p>
        </w:tc>
      </w:tr>
      <w:tr>
        <w:tc>
          <w:tcPr>
            <w:tcW w:type="dxa" w:w="4975"/>
            <w:shd w:fill="D9EAF7"/>
            <w:tcMar>
              <w:top w:w="70" w:type="dxa"/>
              <w:start w:w="90" w:type="dxa"/>
              <w:bottom w:w="70" w:type="dxa"/>
              <w:end w:w="90" w:type="dxa"/>
            </w:tcMar>
            <w:vAlign w:val="center"/>
          </w:tcPr>
          <w:p>
            <w:r>
              <w:rPr>
                <w:rFonts w:ascii="Aptos" w:hAnsi="Aptos" w:eastAsia="Aptos"/>
                <w:b/>
                <w:color w:val="17365D"/>
                <w:sz w:val="16"/>
              </w:rPr>
              <w:t>Related Documents</w:t>
            </w:r>
          </w:p>
        </w:tc>
        <w:tc>
          <w:tcPr>
            <w:tcW w:type="dxa" w:w="4975"/>
            <w:tcMar>
              <w:top w:w="70" w:type="dxa"/>
              <w:start w:w="90" w:type="dxa"/>
              <w:bottom w:w="70" w:type="dxa"/>
              <w:end w:w="90" w:type="dxa"/>
            </w:tcMar>
            <w:vAlign w:val="center"/>
          </w:tcPr>
          <w:p>
            <w:r>
              <w:rPr>
                <w:rFonts w:ascii="Aptos" w:hAnsi="Aptos" w:eastAsia="Aptos"/>
                <w:b w:val="0"/>
                <w:sz w:val="16"/>
              </w:rPr>
              <w:t>CEP-006 Credit Exception Procedure; CDAS-007 Credit Delegated Authority Schedule; LOP-002 Loan Origination Policy; PLU-011 Personal Loan Underwriting Procedure; LDP-013 Loan Disbursement Procedure; Risk Management Framework (future issue)</w:t>
            </w:r>
          </w:p>
        </w:tc>
      </w:tr>
    </w:tbl>
    <w:p/>
    <w:p>
      <w:pPr>
        <w:pStyle w:val="Heading2"/>
      </w:pPr>
      <w:r>
        <w:t>Approval Record</w:t>
      </w: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2488"/>
        <w:gridCol w:w="2488"/>
        <w:gridCol w:w="2488"/>
        <w:gridCol w:w="2488"/>
      </w:tblGrid>
      <w:tr>
        <w:trPr>
          <w:tblHeader w:val="true"/>
        </w:trPr>
        <w:tc>
          <w:tcPr>
            <w:tcW w:type="dxa" w:w="1872"/>
            <w:shd w:fill="17365D"/>
            <w:tcMar>
              <w:top w:w="70" w:type="dxa"/>
              <w:start w:w="90" w:type="dxa"/>
              <w:bottom w:w="70" w:type="dxa"/>
              <w:end w:w="90" w:type="dxa"/>
            </w:tcMar>
          </w:tcPr>
          <w:p>
            <w:pPr>
              <w:spacing w:after="0"/>
            </w:pPr>
            <w:r>
              <w:rPr>
                <w:rFonts w:ascii="Aptos" w:hAnsi="Aptos" w:eastAsia="Aptos"/>
                <w:b/>
                <w:color w:val="FFFFFF"/>
                <w:sz w:val="15"/>
              </w:rPr>
              <w:t>Role</w:t>
            </w:r>
          </w:p>
        </w:tc>
        <w:tc>
          <w:tcPr>
            <w:tcW w:type="dxa" w:w="3600"/>
            <w:shd w:fill="17365D"/>
            <w:tcMar>
              <w:top w:w="70" w:type="dxa"/>
              <w:start w:w="90" w:type="dxa"/>
              <w:bottom w:w="70" w:type="dxa"/>
              <w:end w:w="90" w:type="dxa"/>
            </w:tcMar>
          </w:tcPr>
          <w:p>
            <w:pPr>
              <w:spacing w:after="0"/>
            </w:pPr>
            <w:r>
              <w:rPr>
                <w:rFonts w:ascii="Aptos" w:hAnsi="Aptos" w:eastAsia="Aptos"/>
                <w:b/>
                <w:color w:val="FFFFFF"/>
                <w:sz w:val="15"/>
              </w:rPr>
              <w:t>Name / Committee</w:t>
            </w:r>
          </w:p>
        </w:tc>
        <w:tc>
          <w:tcPr>
            <w:tcW w:type="dxa" w:w="1728"/>
            <w:shd w:fill="17365D"/>
            <w:tcMar>
              <w:top w:w="70" w:type="dxa"/>
              <w:start w:w="90" w:type="dxa"/>
              <w:bottom w:w="70" w:type="dxa"/>
              <w:end w:w="90" w:type="dxa"/>
            </w:tcMar>
          </w:tcPr>
          <w:p>
            <w:pPr>
              <w:spacing w:after="0"/>
            </w:pPr>
            <w:r>
              <w:rPr>
                <w:rFonts w:ascii="Aptos" w:hAnsi="Aptos" w:eastAsia="Aptos"/>
                <w:b/>
                <w:color w:val="FFFFFF"/>
                <w:sz w:val="15"/>
              </w:rPr>
              <w:t>Decision</w:t>
            </w:r>
          </w:p>
        </w:tc>
        <w:tc>
          <w:tcPr>
            <w:tcW w:type="dxa" w:w="1872"/>
            <w:shd w:fill="17365D"/>
            <w:tcMar>
              <w:top w:w="70" w:type="dxa"/>
              <w:start w:w="90" w:type="dxa"/>
              <w:bottom w:w="70" w:type="dxa"/>
              <w:end w:w="90" w:type="dxa"/>
            </w:tcMar>
          </w:tcPr>
          <w:p>
            <w:pPr>
              <w:spacing w:after="0"/>
            </w:pPr>
            <w:r>
              <w:rPr>
                <w:rFonts w:ascii="Aptos" w:hAnsi="Aptos" w:eastAsia="Aptos"/>
                <w:b/>
                <w:color w:val="FFFFFF"/>
                <w:sz w:val="15"/>
              </w:rPr>
              <w:t>Date</w:t>
            </w:r>
          </w:p>
        </w:tc>
      </w:tr>
      <w:tr>
        <w:tc>
          <w:tcPr>
            <w:tcW w:type="dxa" w:w="1872"/>
            <w:tcMar>
              <w:top w:w="70" w:type="dxa"/>
              <w:start w:w="90" w:type="dxa"/>
              <w:bottom w:w="70" w:type="dxa"/>
              <w:end w:w="90" w:type="dxa"/>
            </w:tcMar>
            <w:vAlign w:val="center"/>
          </w:tcPr>
          <w:p>
            <w:pPr>
              <w:spacing w:after="0"/>
            </w:pPr>
            <w:r>
              <w:rPr>
                <w:rFonts w:ascii="Aptos" w:hAnsi="Aptos" w:eastAsia="Aptos"/>
                <w:sz w:val="15"/>
              </w:rPr>
              <w:t>Approving Authority</w:t>
            </w:r>
          </w:p>
        </w:tc>
        <w:tc>
          <w:tcPr>
            <w:tcW w:type="dxa" w:w="3600"/>
            <w:tcMar>
              <w:top w:w="70" w:type="dxa"/>
              <w:start w:w="90" w:type="dxa"/>
              <w:bottom w:w="70" w:type="dxa"/>
              <w:end w:w="90" w:type="dxa"/>
            </w:tcMar>
            <w:vAlign w:val="center"/>
          </w:tcPr>
          <w:p>
            <w:pPr>
              <w:spacing w:after="0"/>
            </w:pPr>
            <w:r>
              <w:rPr>
                <w:rFonts w:ascii="Aptos" w:hAnsi="Aptos" w:eastAsia="Aptos"/>
                <w:sz w:val="15"/>
              </w:rPr>
              <w:t>Board Risk Committee</w:t>
            </w:r>
          </w:p>
        </w:tc>
        <w:tc>
          <w:tcPr>
            <w:tcW w:type="dxa" w:w="1728"/>
            <w:tcMar>
              <w:top w:w="70" w:type="dxa"/>
              <w:start w:w="90" w:type="dxa"/>
              <w:bottom w:w="70" w:type="dxa"/>
              <w:end w:w="90" w:type="dxa"/>
            </w:tcMar>
            <w:vAlign w:val="center"/>
          </w:tcPr>
          <w:p>
            <w:pPr>
              <w:spacing w:after="0"/>
            </w:pPr>
            <w:r>
              <w:rPr>
                <w:rFonts w:ascii="Aptos" w:hAnsi="Aptos" w:eastAsia="Aptos"/>
                <w:sz w:val="15"/>
              </w:rPr>
              <w:t>Approved</w:t>
            </w:r>
          </w:p>
        </w:tc>
        <w:tc>
          <w:tcPr>
            <w:tcW w:type="dxa" w:w="1872"/>
            <w:tcMar>
              <w:top w:w="70" w:type="dxa"/>
              <w:start w:w="90" w:type="dxa"/>
              <w:bottom w:w="70" w:type="dxa"/>
              <w:end w:w="90" w:type="dxa"/>
            </w:tcMar>
            <w:vAlign w:val="center"/>
          </w:tcPr>
          <w:p>
            <w:pPr>
              <w:spacing w:after="0"/>
            </w:pPr>
            <w:r>
              <w:rPr>
                <w:rFonts w:ascii="Aptos" w:hAnsi="Aptos" w:eastAsia="Aptos"/>
                <w:sz w:val="15"/>
              </w:rPr>
              <w:t>18 March 2025</w:t>
            </w:r>
          </w:p>
        </w:tc>
      </w:tr>
      <w:tr>
        <w:tc>
          <w:tcPr>
            <w:tcW w:type="dxa" w:w="1872"/>
            <w:shd w:fill="F7F9FC"/>
            <w:tcMar>
              <w:top w:w="70" w:type="dxa"/>
              <w:start w:w="90" w:type="dxa"/>
              <w:bottom w:w="70" w:type="dxa"/>
              <w:end w:w="90" w:type="dxa"/>
            </w:tcMar>
            <w:vAlign w:val="center"/>
          </w:tcPr>
          <w:p>
            <w:pPr>
              <w:spacing w:after="0"/>
            </w:pPr>
            <w:r>
              <w:rPr>
                <w:rFonts w:ascii="Aptos" w:hAnsi="Aptos" w:eastAsia="Aptos"/>
                <w:sz w:val="15"/>
              </w:rPr>
              <w:t>Document Owner</w:t>
            </w:r>
          </w:p>
        </w:tc>
        <w:tc>
          <w:tcPr>
            <w:tcW w:type="dxa" w:w="3600"/>
            <w:shd w:fill="F7F9FC"/>
            <w:tcMar>
              <w:top w:w="70" w:type="dxa"/>
              <w:start w:w="90" w:type="dxa"/>
              <w:bottom w:w="70" w:type="dxa"/>
              <w:end w:w="90" w:type="dxa"/>
            </w:tcMar>
            <w:vAlign w:val="center"/>
          </w:tcPr>
          <w:p>
            <w:pPr>
              <w:spacing w:after="0"/>
            </w:pPr>
            <w:r>
              <w:rPr>
                <w:rFonts w:ascii="Aptos" w:hAnsi="Aptos" w:eastAsia="Aptos"/>
                <w:sz w:val="15"/>
              </w:rPr>
              <w:t>Arvind Menon — Head of Credit Risk</w:t>
            </w:r>
          </w:p>
        </w:tc>
        <w:tc>
          <w:tcPr>
            <w:tcW w:type="dxa" w:w="1728"/>
            <w:shd w:fill="F7F9FC"/>
            <w:tcMar>
              <w:top w:w="70" w:type="dxa"/>
              <w:start w:w="90" w:type="dxa"/>
              <w:bottom w:w="70" w:type="dxa"/>
              <w:end w:w="90" w:type="dxa"/>
            </w:tcMar>
            <w:vAlign w:val="center"/>
          </w:tcPr>
          <w:p>
            <w:pPr>
              <w:spacing w:after="0"/>
            </w:pPr>
            <w:r>
              <w:rPr>
                <w:rFonts w:ascii="Aptos" w:hAnsi="Aptos" w:eastAsia="Aptos"/>
                <w:sz w:val="15"/>
              </w:rPr>
              <w:t>Certified for issue</w:t>
            </w:r>
          </w:p>
        </w:tc>
        <w:tc>
          <w:tcPr>
            <w:tcW w:type="dxa" w:w="1872"/>
            <w:shd w:fill="F7F9FC"/>
            <w:tcMar>
              <w:top w:w="70" w:type="dxa"/>
              <w:start w:w="90" w:type="dxa"/>
              <w:bottom w:w="70" w:type="dxa"/>
              <w:end w:w="90" w:type="dxa"/>
            </w:tcMar>
            <w:vAlign w:val="center"/>
          </w:tcPr>
          <w:p>
            <w:pPr>
              <w:spacing w:after="0"/>
            </w:pPr>
            <w:r>
              <w:rPr>
                <w:rFonts w:ascii="Aptos" w:hAnsi="Aptos" w:eastAsia="Aptos"/>
                <w:sz w:val="15"/>
              </w:rPr>
              <w:t>24 March 2025</w:t>
            </w:r>
          </w:p>
        </w:tc>
      </w:tr>
    </w:tbl>
    <w:p>
      <w:pPr>
        <w:spacing w:after="0"/>
      </w:pPr>
    </w:p>
    <w:p>
      <w:pPr>
        <w:pStyle w:val="Heading2"/>
      </w:pPr>
      <w:r>
        <w:t>Revision History</w:t>
      </w: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3317"/>
        <w:gridCol w:w="3317"/>
        <w:gridCol w:w="3317"/>
      </w:tblGrid>
      <w:tr>
        <w:trPr>
          <w:tblHeader w:val="true"/>
        </w:trPr>
        <w:tc>
          <w:tcPr>
            <w:tcW w:type="dxa" w:w="1152"/>
            <w:shd w:fill="17365D"/>
            <w:tcMar>
              <w:top w:w="70" w:type="dxa"/>
              <w:start w:w="90" w:type="dxa"/>
              <w:bottom w:w="70" w:type="dxa"/>
              <w:end w:w="90" w:type="dxa"/>
            </w:tcMar>
          </w:tcPr>
          <w:p>
            <w:pPr>
              <w:spacing w:after="0"/>
            </w:pPr>
            <w:r>
              <w:rPr>
                <w:rFonts w:ascii="Aptos" w:hAnsi="Aptos" w:eastAsia="Aptos"/>
                <w:b/>
                <w:color w:val="FFFFFF"/>
                <w:sz w:val="15"/>
              </w:rPr>
              <w:t>Version</w:t>
            </w:r>
          </w:p>
        </w:tc>
        <w:tc>
          <w:tcPr>
            <w:tcW w:type="dxa" w:w="1728"/>
            <w:shd w:fill="17365D"/>
            <w:tcMar>
              <w:top w:w="70" w:type="dxa"/>
              <w:start w:w="90" w:type="dxa"/>
              <w:bottom w:w="70" w:type="dxa"/>
              <w:end w:w="90" w:type="dxa"/>
            </w:tcMar>
          </w:tcPr>
          <w:p>
            <w:pPr>
              <w:spacing w:after="0"/>
            </w:pPr>
            <w:r>
              <w:rPr>
                <w:rFonts w:ascii="Aptos" w:hAnsi="Aptos" w:eastAsia="Aptos"/>
                <w:b/>
                <w:color w:val="FFFFFF"/>
                <w:sz w:val="15"/>
              </w:rPr>
              <w:t>Effective date</w:t>
            </w:r>
          </w:p>
        </w:tc>
        <w:tc>
          <w:tcPr>
            <w:tcW w:type="dxa" w:w="6336"/>
            <w:shd w:fill="17365D"/>
            <w:tcMar>
              <w:top w:w="70" w:type="dxa"/>
              <w:start w:w="90" w:type="dxa"/>
              <w:bottom w:w="70" w:type="dxa"/>
              <w:end w:w="90" w:type="dxa"/>
            </w:tcMar>
          </w:tcPr>
          <w:p>
            <w:pPr>
              <w:spacing w:after="0"/>
            </w:pPr>
            <w:r>
              <w:rPr>
                <w:rFonts w:ascii="Aptos" w:hAnsi="Aptos" w:eastAsia="Aptos"/>
                <w:b/>
                <w:color w:val="FFFFFF"/>
                <w:sz w:val="15"/>
              </w:rPr>
              <w:t>Change summary</w:t>
            </w:r>
          </w:p>
        </w:tc>
      </w:tr>
      <w:tr>
        <w:tc>
          <w:tcPr>
            <w:tcW w:type="dxa" w:w="1152"/>
            <w:tcMar>
              <w:top w:w="70" w:type="dxa"/>
              <w:start w:w="90" w:type="dxa"/>
              <w:bottom w:w="70" w:type="dxa"/>
              <w:end w:w="90" w:type="dxa"/>
            </w:tcMar>
            <w:vAlign w:val="center"/>
          </w:tcPr>
          <w:p>
            <w:pPr>
              <w:spacing w:after="0"/>
            </w:pPr>
            <w:r>
              <w:rPr>
                <w:rFonts w:ascii="Aptos" w:hAnsi="Aptos" w:eastAsia="Aptos"/>
                <w:sz w:val="15"/>
              </w:rPr>
              <w:t>1.0</w:t>
            </w:r>
          </w:p>
        </w:tc>
        <w:tc>
          <w:tcPr>
            <w:tcW w:type="dxa" w:w="1728"/>
            <w:tcMar>
              <w:top w:w="70" w:type="dxa"/>
              <w:start w:w="90" w:type="dxa"/>
              <w:bottom w:w="70" w:type="dxa"/>
              <w:end w:w="90" w:type="dxa"/>
            </w:tcMar>
            <w:vAlign w:val="center"/>
          </w:tcPr>
          <w:p>
            <w:pPr>
              <w:spacing w:after="0"/>
            </w:pPr>
            <w:r>
              <w:rPr>
                <w:rFonts w:ascii="Aptos" w:hAnsi="Aptos" w:eastAsia="Aptos"/>
                <w:sz w:val="15"/>
              </w:rPr>
              <w:t>1 April 2022</w:t>
            </w:r>
          </w:p>
        </w:tc>
        <w:tc>
          <w:tcPr>
            <w:tcW w:type="dxa" w:w="6336"/>
            <w:tcMar>
              <w:top w:w="70" w:type="dxa"/>
              <w:start w:w="90" w:type="dxa"/>
              <w:bottom w:w="70" w:type="dxa"/>
              <w:end w:w="90" w:type="dxa"/>
            </w:tcMar>
            <w:vAlign w:val="center"/>
          </w:tcPr>
          <w:p>
            <w:pPr>
              <w:spacing w:after="0"/>
            </w:pPr>
            <w:r>
              <w:rPr>
                <w:rFonts w:ascii="Aptos" w:hAnsi="Aptos" w:eastAsia="Aptos"/>
                <w:sz w:val="15"/>
              </w:rPr>
              <w:t>Initial enterprise credit-risk policy.</w:t>
            </w:r>
          </w:p>
        </w:tc>
      </w:tr>
      <w:tr>
        <w:tc>
          <w:tcPr>
            <w:tcW w:type="dxa" w:w="1152"/>
            <w:shd w:fill="F7F9FC"/>
            <w:tcMar>
              <w:top w:w="70" w:type="dxa"/>
              <w:start w:w="90" w:type="dxa"/>
              <w:bottom w:w="70" w:type="dxa"/>
              <w:end w:w="90" w:type="dxa"/>
            </w:tcMar>
            <w:vAlign w:val="center"/>
          </w:tcPr>
          <w:p>
            <w:pPr>
              <w:spacing w:after="0"/>
            </w:pPr>
            <w:r>
              <w:rPr>
                <w:rFonts w:ascii="Aptos" w:hAnsi="Aptos" w:eastAsia="Aptos"/>
                <w:sz w:val="15"/>
              </w:rPr>
              <w:t>1.2</w:t>
            </w:r>
          </w:p>
        </w:tc>
        <w:tc>
          <w:tcPr>
            <w:tcW w:type="dxa" w:w="1728"/>
            <w:shd w:fill="F7F9FC"/>
            <w:tcMar>
              <w:top w:w="70" w:type="dxa"/>
              <w:start w:w="90" w:type="dxa"/>
              <w:bottom w:w="70" w:type="dxa"/>
              <w:end w:w="90" w:type="dxa"/>
            </w:tcMar>
            <w:vAlign w:val="center"/>
          </w:tcPr>
          <w:p>
            <w:pPr>
              <w:spacing w:after="0"/>
            </w:pPr>
            <w:r>
              <w:rPr>
                <w:rFonts w:ascii="Aptos" w:hAnsi="Aptos" w:eastAsia="Aptos"/>
                <w:sz w:val="15"/>
              </w:rPr>
              <w:t>1 July 2023</w:t>
            </w:r>
          </w:p>
        </w:tc>
        <w:tc>
          <w:tcPr>
            <w:tcW w:type="dxa" w:w="6336"/>
            <w:shd w:fill="F7F9FC"/>
            <w:tcMar>
              <w:top w:w="70" w:type="dxa"/>
              <w:start w:w="90" w:type="dxa"/>
              <w:bottom w:w="70" w:type="dxa"/>
              <w:end w:w="90" w:type="dxa"/>
            </w:tcMar>
            <w:vAlign w:val="center"/>
          </w:tcPr>
          <w:p>
            <w:pPr>
              <w:spacing w:after="0"/>
            </w:pPr>
            <w:r>
              <w:rPr>
                <w:rFonts w:ascii="Aptos" w:hAnsi="Aptos" w:eastAsia="Aptos"/>
                <w:sz w:val="15"/>
              </w:rPr>
              <w:t>Revised affordability, delinquency and secured-lending parameters; standard personal-loan DTI remained 50%.</w:t>
            </w:r>
          </w:p>
        </w:tc>
      </w:tr>
      <w:tr>
        <w:tc>
          <w:tcPr>
            <w:tcW w:type="dxa" w:w="1152"/>
            <w:tcMar>
              <w:top w:w="70" w:type="dxa"/>
              <w:start w:w="90" w:type="dxa"/>
              <w:bottom w:w="70" w:type="dxa"/>
              <w:end w:w="90" w:type="dxa"/>
            </w:tcMar>
            <w:vAlign w:val="center"/>
          </w:tcPr>
          <w:p>
            <w:pPr>
              <w:spacing w:after="0"/>
            </w:pPr>
            <w:r>
              <w:rPr>
                <w:rFonts w:ascii="Aptos" w:hAnsi="Aptos" w:eastAsia="Aptos"/>
                <w:sz w:val="15"/>
              </w:rPr>
              <w:t>2.0</w:t>
            </w:r>
          </w:p>
        </w:tc>
        <w:tc>
          <w:tcPr>
            <w:tcW w:type="dxa" w:w="1728"/>
            <w:tcMar>
              <w:top w:w="70" w:type="dxa"/>
              <w:start w:w="90" w:type="dxa"/>
              <w:bottom w:w="70" w:type="dxa"/>
              <w:end w:w="90" w:type="dxa"/>
            </w:tcMar>
            <w:vAlign w:val="center"/>
          </w:tcPr>
          <w:p>
            <w:pPr>
              <w:spacing w:after="0"/>
            </w:pPr>
            <w:r>
              <w:rPr>
                <w:rFonts w:ascii="Aptos" w:hAnsi="Aptos" w:eastAsia="Aptos"/>
                <w:sz w:val="15"/>
              </w:rPr>
              <w:t>1 April 2025</w:t>
            </w:r>
          </w:p>
        </w:tc>
        <w:tc>
          <w:tcPr>
            <w:tcW w:type="dxa" w:w="6336"/>
            <w:tcMar>
              <w:top w:w="70" w:type="dxa"/>
              <w:start w:w="90" w:type="dxa"/>
              <w:bottom w:w="70" w:type="dxa"/>
              <w:end w:w="90" w:type="dxa"/>
            </w:tcMar>
            <w:vAlign w:val="center"/>
          </w:tcPr>
          <w:p>
            <w:pPr>
              <w:spacing w:after="0"/>
            </w:pPr>
            <w:r>
              <w:rPr>
                <w:rFonts w:ascii="Aptos" w:hAnsi="Aptos" w:eastAsia="Aptos"/>
                <w:sz w:val="15"/>
              </w:rPr>
              <w:t>Reduced standard personal-loan DTI to 45%; refreshed risk grading, concentration triggers, exception governance and transition rules.</w:t>
            </w:r>
          </w:p>
        </w:tc>
      </w:tr>
    </w:tbl>
    <w:p>
      <w:pPr>
        <w:spacing w:after="0"/>
      </w:pPr>
    </w:p>
    <w:p>
      <w:pPr>
        <w:pStyle w:val="ControlNote"/>
      </w:pPr>
      <w:r>
        <w:t>Controlled copies are maintained in the Northstar Financial policy repository. Printed or locally saved copies are uncontrolled unless explicitly marked otherwise.</w:t>
      </w:r>
    </w:p>
    <w:p>
      <w:r>
        <w:br w:type="page"/>
      </w:r>
    </w:p>
    <w:p>
      <w:pPr>
        <w:pStyle w:val="Heading1"/>
      </w:pPr>
      <w:r>
        <w:t>Contents</w:t>
      </w:r>
    </w:p>
    <w:p>
      <w:pPr>
        <w:spacing w:after="30"/>
      </w:pPr>
      <w:r>
        <w:rPr>
          <w:rFonts w:ascii="Aptos" w:hAnsi="Aptos" w:eastAsia="Aptos"/>
          <w:sz w:val="18"/>
        </w:rPr>
        <w:t>1. Purpose and Policy Objectives</w:t>
      </w:r>
    </w:p>
    <w:p>
      <w:pPr>
        <w:spacing w:after="30"/>
      </w:pPr>
      <w:r>
        <w:rPr>
          <w:rFonts w:ascii="Aptos" w:hAnsi="Aptos" w:eastAsia="Aptos"/>
          <w:sz w:val="18"/>
        </w:rPr>
        <w:t>2. Scope and Applicability</w:t>
      </w:r>
    </w:p>
    <w:p>
      <w:pPr>
        <w:spacing w:after="30"/>
      </w:pPr>
      <w:r>
        <w:rPr>
          <w:rFonts w:ascii="Aptos" w:hAnsi="Aptos" w:eastAsia="Aptos"/>
          <w:sz w:val="18"/>
        </w:rPr>
        <w:t>3. Definitions and Credit-Risk Taxonomy</w:t>
      </w:r>
    </w:p>
    <w:p>
      <w:pPr>
        <w:spacing w:after="30"/>
      </w:pPr>
      <w:r>
        <w:rPr>
          <w:rFonts w:ascii="Aptos" w:hAnsi="Aptos" w:eastAsia="Aptos"/>
          <w:sz w:val="18"/>
        </w:rPr>
        <w:t>4. Credit Risk Appetite</w:t>
      </w:r>
    </w:p>
    <w:p>
      <w:pPr>
        <w:spacing w:after="30"/>
      </w:pPr>
      <w:r>
        <w:rPr>
          <w:rFonts w:ascii="Aptos" w:hAnsi="Aptos" w:eastAsia="Aptos"/>
          <w:sz w:val="18"/>
        </w:rPr>
        <w:t>5. Governance and Three Lines of Defense</w:t>
      </w:r>
    </w:p>
    <w:p>
      <w:pPr>
        <w:spacing w:after="30"/>
      </w:pPr>
      <w:r>
        <w:rPr>
          <w:rFonts w:ascii="Aptos" w:hAnsi="Aptos" w:eastAsia="Aptos"/>
          <w:sz w:val="18"/>
        </w:rPr>
        <w:t>6. Borrower Classification and Risk Categories</w:t>
      </w:r>
    </w:p>
    <w:p>
      <w:pPr>
        <w:spacing w:after="30"/>
      </w:pPr>
      <w:r>
        <w:rPr>
          <w:rFonts w:ascii="Aptos" w:hAnsi="Aptos" w:eastAsia="Aptos"/>
          <w:sz w:val="18"/>
        </w:rPr>
        <w:t>7. Credit Bureau and Credit Score Requirements</w:t>
      </w:r>
    </w:p>
    <w:p>
      <w:pPr>
        <w:spacing w:after="30"/>
      </w:pPr>
      <w:r>
        <w:rPr>
          <w:rFonts w:ascii="Aptos" w:hAnsi="Aptos" w:eastAsia="Aptos"/>
          <w:sz w:val="18"/>
        </w:rPr>
        <w:t>8. Income, Employment and Affordability</w:t>
      </w:r>
    </w:p>
    <w:p>
      <w:pPr>
        <w:spacing w:after="30"/>
      </w:pPr>
      <w:r>
        <w:rPr>
          <w:rFonts w:ascii="Aptos" w:hAnsi="Aptos" w:eastAsia="Aptos"/>
          <w:sz w:val="18"/>
        </w:rPr>
        <w:t>9. DTI, FOIR and Existing Obligations</w:t>
      </w:r>
    </w:p>
    <w:p>
      <w:pPr>
        <w:spacing w:after="30"/>
      </w:pPr>
      <w:r>
        <w:rPr>
          <w:rFonts w:ascii="Aptos" w:hAnsi="Aptos" w:eastAsia="Aptos"/>
          <w:sz w:val="18"/>
        </w:rPr>
        <w:t>10. Secured Lending, Collateral and LTV</w:t>
      </w:r>
    </w:p>
    <w:p>
      <w:pPr>
        <w:spacing w:after="30"/>
      </w:pPr>
      <w:r>
        <w:rPr>
          <w:rFonts w:ascii="Aptos" w:hAnsi="Aptos" w:eastAsia="Aptos"/>
          <w:sz w:val="18"/>
        </w:rPr>
        <w:t>11. Exposure and Concentration Limits</w:t>
      </w:r>
    </w:p>
    <w:p>
      <w:pPr>
        <w:spacing w:after="30"/>
      </w:pPr>
      <w:r>
        <w:rPr>
          <w:rFonts w:ascii="Aptos" w:hAnsi="Aptos" w:eastAsia="Aptos"/>
          <w:sz w:val="18"/>
        </w:rPr>
        <w:t>12. Product-Level Credit Parameters</w:t>
      </w:r>
    </w:p>
    <w:p>
      <w:pPr>
        <w:spacing w:after="30"/>
      </w:pPr>
      <w:r>
        <w:rPr>
          <w:rFonts w:ascii="Aptos" w:hAnsi="Aptos" w:eastAsia="Aptos"/>
          <w:sz w:val="18"/>
        </w:rPr>
        <w:t>13. Credit Approval and Delegated Authority</w:t>
      </w:r>
    </w:p>
    <w:p>
      <w:pPr>
        <w:spacing w:after="30"/>
      </w:pPr>
      <w:r>
        <w:rPr>
          <w:rFonts w:ascii="Aptos" w:hAnsi="Aptos" w:eastAsia="Aptos"/>
          <w:sz w:val="18"/>
        </w:rPr>
        <w:t>14. Credit Exceptions, Overrides and Manual Underwriting</w:t>
      </w:r>
    </w:p>
    <w:p>
      <w:pPr>
        <w:spacing w:after="30"/>
      </w:pPr>
      <w:r>
        <w:rPr>
          <w:rFonts w:ascii="Aptos" w:hAnsi="Aptos" w:eastAsia="Aptos"/>
          <w:sz w:val="18"/>
        </w:rPr>
        <w:t>15. Credit Scoring and Model Risk</w:t>
      </w:r>
    </w:p>
    <w:p>
      <w:pPr>
        <w:spacing w:after="30"/>
      </w:pPr>
      <w:r>
        <w:rPr>
          <w:rFonts w:ascii="Aptos" w:hAnsi="Aptos" w:eastAsia="Aptos"/>
          <w:sz w:val="18"/>
        </w:rPr>
        <w:t>16. Early Warning Indicators, Watchlist and DPD</w:t>
      </w:r>
    </w:p>
    <w:p>
      <w:pPr>
        <w:spacing w:after="30"/>
      </w:pPr>
      <w:r>
        <w:rPr>
          <w:rFonts w:ascii="Aptos" w:hAnsi="Aptos" w:eastAsia="Aptos"/>
          <w:sz w:val="18"/>
        </w:rPr>
        <w:t>17. Portfolio Monitoring and Stress Testing</w:t>
      </w:r>
    </w:p>
    <w:p>
      <w:pPr>
        <w:spacing w:after="30"/>
      </w:pPr>
      <w:r>
        <w:rPr>
          <w:rFonts w:ascii="Aptos" w:hAnsi="Aptos" w:eastAsia="Aptos"/>
          <w:sz w:val="18"/>
        </w:rPr>
        <w:t>18. NPA Management and Collections Escalation</w:t>
      </w:r>
    </w:p>
    <w:p>
      <w:pPr>
        <w:spacing w:after="30"/>
      </w:pPr>
      <w:r>
        <w:rPr>
          <w:rFonts w:ascii="Aptos" w:hAnsi="Aptos" w:eastAsia="Aptos"/>
          <w:sz w:val="18"/>
        </w:rPr>
        <w:t>19. Policy Breaches, Audit and Record Retention</w:t>
      </w:r>
    </w:p>
    <w:p>
      <w:pPr>
        <w:spacing w:after="30"/>
      </w:pPr>
      <w:r>
        <w:rPr>
          <w:rFonts w:ascii="Aptos" w:hAnsi="Aptos" w:eastAsia="Aptos"/>
          <w:sz w:val="18"/>
        </w:rPr>
        <w:t>20. Governance, Effective Dates and Transitional Provisions</w:t>
      </w:r>
    </w:p>
    <w:p>
      <w:pPr>
        <w:spacing w:after="30"/>
      </w:pPr>
      <w:r>
        <w:rPr>
          <w:rFonts w:ascii="Aptos" w:hAnsi="Aptos" w:eastAsia="Aptos"/>
          <w:sz w:val="18"/>
        </w:rPr>
        <w:t>Appendix A. Enterprise Risk Classification Matrix</w:t>
      </w:r>
    </w:p>
    <w:p>
      <w:pPr>
        <w:spacing w:after="30"/>
      </w:pPr>
      <w:r>
        <w:rPr>
          <w:rFonts w:ascii="Aptos" w:hAnsi="Aptos" w:eastAsia="Aptos"/>
          <w:sz w:val="18"/>
        </w:rPr>
        <w:t>Appendix B. Illustrative Credit and LTV Parameters</w:t>
      </w:r>
    </w:p>
    <w:p>
      <w:pPr>
        <w:spacing w:after="30"/>
      </w:pPr>
      <w:r>
        <w:rPr>
          <w:rFonts w:ascii="Aptos" w:hAnsi="Aptos" w:eastAsia="Aptos"/>
          <w:sz w:val="18"/>
        </w:rPr>
        <w:t>Appendix C. Historical Threshold and Transition Record</w:t>
      </w:r>
    </w:p>
    <w:p>
      <w:pPr>
        <w:spacing w:after="30"/>
      </w:pPr>
      <w:r>
        <w:rPr>
          <w:rFonts w:ascii="Aptos" w:hAnsi="Aptos" w:eastAsia="Aptos"/>
          <w:sz w:val="18"/>
        </w:rPr>
        <w:t>Appendix D. Credit Edge-Case Treatment</w:t>
      </w:r>
    </w:p>
    <w:p/>
    <w:p>
      <w:pPr>
        <w:pStyle w:val="ControlNote"/>
      </w:pPr>
      <w:r>
        <w:t>Section numbering in this document is authoritative. References to other Northstar documents are subject to the version and effective-date rules stated in the referenced document.</w:t>
      </w:r>
    </w:p>
    <w:p>
      <w:r>
        <w:br w:type="page"/>
      </w:r>
    </w:p>
    <w:p>
      <w:pPr>
        <w:pStyle w:val="Heading1"/>
      </w:pPr>
      <w:r>
        <w:t>1. Purpose and Policy Objectives</w:t>
      </w:r>
    </w:p>
    <w:p>
      <w:pPr>
        <w:spacing w:after="80"/>
        <w:keepLines/>
      </w:pPr>
      <w:r>
        <w:t>This Policy establishes the enterprise principles by which Northstar Financial accepts, measures, approves, monitors and escalates credit risk arising from lending activities. It is intended to keep individual credit decisions within approved risk appetite while allowing product-level procedures to impose more restrictive controls.</w:t>
      </w:r>
    </w:p>
    <w:p>
      <w:pPr>
        <w:spacing w:after="80"/>
        <w:keepLines/>
      </w:pPr>
      <w:r>
        <w:t>Credit Risk expects documented judgement, clear ownership and evidence that can be reconstructed after the decision. The requirements in this section apply unless a documented product rule, approved exception, or later effective instruction expressly provides otherwise.</w:t>
      </w:r>
    </w:p>
    <w:p>
      <w:pPr>
        <w:spacing w:after="40"/>
      </w:pPr>
      <w:r>
        <w:rPr>
          <w:rFonts w:ascii="Aptos" w:hAnsi="Aptos" w:eastAsia="Aptos"/>
          <w:b/>
          <w:color w:val="17365D"/>
          <w:sz w:val="18"/>
        </w:rPr>
        <w:t>Control requirements</w:t>
      </w:r>
    </w:p>
    <w:p>
      <w:pPr>
        <w:spacing w:after="46"/>
        <w:ind w:left="259" w:hanging="173"/>
      </w:pPr>
      <w:r>
        <w:rPr>
          <w:rFonts w:ascii="Aptos" w:hAnsi="Aptos" w:eastAsia="Aptos"/>
          <w:b/>
          <w:color w:val="2F5597"/>
          <w:sz w:val="18"/>
        </w:rPr>
        <w:t xml:space="preserve">• </w:t>
      </w:r>
      <w:r>
        <w:rPr>
          <w:rFonts w:ascii="Aptos" w:hAnsi="Aptos" w:eastAsia="Aptos"/>
          <w:sz w:val="18"/>
        </w:rPr>
        <w:t>Credit shall be extended only where repayment capacity, identity, purpose and material risk factors have been assessed from reasonable evidence.</w:t>
      </w:r>
    </w:p>
    <w:p>
      <w:pPr>
        <w:spacing w:after="46"/>
        <w:ind w:left="259" w:hanging="173"/>
      </w:pPr>
      <w:r>
        <w:rPr>
          <w:rFonts w:ascii="Aptos" w:hAnsi="Aptos" w:eastAsia="Aptos"/>
          <w:b/>
          <w:color w:val="2F5597"/>
          <w:sz w:val="18"/>
        </w:rPr>
        <w:t xml:space="preserve">• </w:t>
      </w:r>
      <w:r>
        <w:rPr>
          <w:rFonts w:ascii="Aptos" w:hAnsi="Aptos" w:eastAsia="Aptos"/>
          <w:sz w:val="18"/>
        </w:rPr>
        <w:t>No business target, sourcing arrangement or turnaround commitment overrides a credit control or approval limit.</w:t>
      </w:r>
    </w:p>
    <w:p>
      <w:pPr>
        <w:spacing w:after="46"/>
        <w:ind w:left="259" w:hanging="173"/>
      </w:pPr>
      <w:r>
        <w:rPr>
          <w:rFonts w:ascii="Aptos" w:hAnsi="Aptos" w:eastAsia="Aptos"/>
          <w:b/>
          <w:color w:val="2F5597"/>
          <w:sz w:val="18"/>
        </w:rPr>
        <w:t xml:space="preserve">• </w:t>
      </w:r>
      <w:r>
        <w:rPr>
          <w:rFonts w:ascii="Aptos" w:hAnsi="Aptos" w:eastAsia="Aptos"/>
          <w:sz w:val="18"/>
        </w:rPr>
        <w:t>The originating business remains accountable for complete information; Credit Risk remains accountable for independent credit judgement where required.</w:t>
      </w:r>
    </w:p>
    <w:p>
      <w:pPr>
        <w:spacing w:after="46"/>
        <w:ind w:left="259" w:hanging="173"/>
      </w:pPr>
      <w:r>
        <w:rPr>
          <w:rFonts w:ascii="Aptos" w:hAnsi="Aptos" w:eastAsia="Aptos"/>
          <w:b/>
          <w:color w:val="2F5597"/>
          <w:sz w:val="18"/>
        </w:rPr>
        <w:t xml:space="preserve">• </w:t>
      </w:r>
      <w:r>
        <w:rPr>
          <w:rFonts w:ascii="Aptos" w:hAnsi="Aptos" w:eastAsia="Aptos"/>
          <w:sz w:val="18"/>
        </w:rPr>
        <w:t>Where a product procedure is stricter than this Policy, the stricter product rule applies within that product.</w:t>
      </w:r>
    </w:p>
    <w:p>
      <w:pPr>
        <w:spacing w:after="46"/>
        <w:ind w:left="259" w:hanging="173"/>
      </w:pPr>
      <w:r>
        <w:rPr>
          <w:rFonts w:ascii="Aptos" w:hAnsi="Aptos" w:eastAsia="Aptos"/>
          <w:b/>
          <w:color w:val="2F5597"/>
          <w:sz w:val="18"/>
        </w:rPr>
        <w:t xml:space="preserve">• </w:t>
      </w:r>
      <w:r>
        <w:rPr>
          <w:rFonts w:ascii="Aptos" w:hAnsi="Aptos" w:eastAsia="Aptos"/>
          <w:sz w:val="18"/>
        </w:rPr>
        <w:t>Material deviations shall be treated under CEP-006 and reported through the applicable risk-governance route.</w:t>
      </w:r>
    </w:p>
    <w:p>
      <w:pPr>
        <w:pStyle w:val="Heading2"/>
      </w:pPr>
      <w:r>
        <w:t>Records and control evidence</w:t>
      </w:r>
    </w:p>
    <w:p>
      <w:pPr>
        <w:spacing w:after="46"/>
        <w:ind w:left="259" w:hanging="173"/>
      </w:pPr>
      <w:r>
        <w:rPr>
          <w:rFonts w:ascii="Aptos" w:hAnsi="Aptos" w:eastAsia="Aptos"/>
          <w:b/>
          <w:color w:val="2F5597"/>
          <w:sz w:val="18"/>
        </w:rPr>
        <w:t xml:space="preserve">• </w:t>
      </w:r>
      <w:r>
        <w:rPr>
          <w:rFonts w:ascii="Aptos" w:hAnsi="Aptos" w:eastAsia="Aptos"/>
          <w:sz w:val="18"/>
        </w:rPr>
        <w:t>Approved policy copy; committee minutes; policy attestation records; policy-breach and exception registers.</w:t>
      </w:r>
    </w:p>
    <w:p>
      <w:pPr>
        <w:pStyle w:val="Heading1"/>
      </w:pPr>
      <w:r>
        <w:t>2. Scope and Applicability</w:t>
      </w:r>
    </w:p>
    <w:p>
      <w:pPr>
        <w:spacing w:after="80"/>
        <w:keepLines/>
      </w:pPr>
      <w:r>
        <w:t>The Policy applies to personal loans, vehicle finance, SME lending, secured retail lending and other credit exposures booked by Northstar Financial, including renewals, top-ups and material restructures where credit discretion is exercised.</w:t>
      </w:r>
    </w:p>
    <w:p>
      <w:pPr>
        <w:spacing w:after="80"/>
        <w:keepLines/>
      </w:pPr>
      <w:r>
        <w:t>Credit Risk expects documented judgement, clear ownership and evidence that can be reconstructed after the decision. The requirements in this section apply unless a documented product rule, approved exception, or later effective instruction expressly provides otherwise.</w:t>
      </w:r>
    </w:p>
    <w:p>
      <w:pPr>
        <w:spacing w:after="40"/>
      </w:pPr>
      <w:r>
        <w:rPr>
          <w:rFonts w:ascii="Aptos" w:hAnsi="Aptos" w:eastAsia="Aptos"/>
          <w:b/>
          <w:color w:val="17365D"/>
          <w:sz w:val="18"/>
        </w:rPr>
        <w:t>Control requirements</w:t>
      </w:r>
    </w:p>
    <w:p>
      <w:pPr>
        <w:spacing w:after="46"/>
        <w:ind w:left="259" w:hanging="173"/>
      </w:pPr>
      <w:r>
        <w:rPr>
          <w:rFonts w:ascii="Aptos" w:hAnsi="Aptos" w:eastAsia="Aptos"/>
          <w:b/>
          <w:color w:val="2F5597"/>
          <w:sz w:val="18"/>
        </w:rPr>
        <w:t xml:space="preserve">• </w:t>
      </w:r>
      <w:r>
        <w:rPr>
          <w:rFonts w:ascii="Aptos" w:hAnsi="Aptos" w:eastAsia="Aptos"/>
          <w:sz w:val="18"/>
        </w:rPr>
        <w:t>Employees, intermediaries and systems shall apply the rule set in force on the relevant decision date, subject to documented transition provisions.</w:t>
      </w:r>
    </w:p>
    <w:p>
      <w:pPr>
        <w:spacing w:after="46"/>
        <w:ind w:left="259" w:hanging="173"/>
      </w:pPr>
      <w:r>
        <w:rPr>
          <w:rFonts w:ascii="Aptos" w:hAnsi="Aptos" w:eastAsia="Aptos"/>
          <w:b/>
          <w:color w:val="2F5597"/>
          <w:sz w:val="18"/>
        </w:rPr>
        <w:t xml:space="preserve">• </w:t>
      </w:r>
      <w:r>
        <w:rPr>
          <w:rFonts w:ascii="Aptos" w:hAnsi="Aptos" w:eastAsia="Aptos"/>
          <w:sz w:val="18"/>
        </w:rPr>
        <w:t>Investment counterparty risk is outside this Policy except where a lending-style exposure is expressly brought within scope.</w:t>
      </w:r>
    </w:p>
    <w:p>
      <w:pPr>
        <w:spacing w:after="46"/>
        <w:ind w:left="259" w:hanging="173"/>
      </w:pPr>
      <w:r>
        <w:rPr>
          <w:rFonts w:ascii="Aptos" w:hAnsi="Aptos" w:eastAsia="Aptos"/>
          <w:b/>
          <w:color w:val="2F5597"/>
          <w:sz w:val="18"/>
        </w:rPr>
        <w:t xml:space="preserve">• </w:t>
      </w:r>
      <w:r>
        <w:rPr>
          <w:rFonts w:ascii="Aptos" w:hAnsi="Aptos" w:eastAsia="Aptos"/>
          <w:sz w:val="18"/>
        </w:rPr>
        <w:t>Collections activity after default is governed by collections procedures, but risk classification and credit reporting requirements in this Policy continue to apply.</w:t>
      </w:r>
    </w:p>
    <w:p>
      <w:pPr>
        <w:spacing w:after="46"/>
        <w:ind w:left="259" w:hanging="173"/>
      </w:pPr>
      <w:r>
        <w:rPr>
          <w:rFonts w:ascii="Aptos" w:hAnsi="Aptos" w:eastAsia="Aptos"/>
          <w:b/>
          <w:color w:val="2F5597"/>
          <w:sz w:val="18"/>
        </w:rPr>
        <w:t xml:space="preserve">• </w:t>
      </w:r>
      <w:r>
        <w:rPr>
          <w:rFonts w:ascii="Aptos" w:hAnsi="Aptos" w:eastAsia="Aptos"/>
          <w:sz w:val="18"/>
        </w:rPr>
        <w:t>Employee lending may use separately approved program parameters; any departure from enterprise minimum controls must be explicit in that program approval.</w:t>
      </w:r>
    </w:p>
    <w:p>
      <w:pPr>
        <w:pStyle w:val="Heading2"/>
      </w:pPr>
      <w:r>
        <w:t>Records and control evidence</w:t>
      </w:r>
    </w:p>
    <w:p>
      <w:pPr>
        <w:spacing w:after="46"/>
        <w:ind w:left="259" w:hanging="173"/>
      </w:pPr>
      <w:r>
        <w:rPr>
          <w:rFonts w:ascii="Aptos" w:hAnsi="Aptos" w:eastAsia="Aptos"/>
          <w:b/>
          <w:color w:val="2F5597"/>
          <w:sz w:val="18"/>
        </w:rPr>
        <w:t xml:space="preserve">• </w:t>
      </w:r>
      <w:r>
        <w:rPr>
          <w:rFonts w:ascii="Aptos" w:hAnsi="Aptos" w:eastAsia="Aptos"/>
          <w:sz w:val="18"/>
        </w:rPr>
        <w:t>Product catalog; applicability matrix; controlled waivers; effective-date record.</w:t>
      </w:r>
    </w:p>
    <w:p>
      <w:r>
        <w:br w:type="page"/>
      </w:r>
    </w:p>
    <w:p>
      <w:pPr>
        <w:pStyle w:val="Heading1"/>
      </w:pPr>
      <w:r>
        <w:t>3. Definitions and Credit-Risk Taxonomy</w:t>
      </w:r>
    </w:p>
    <w:p>
      <w:pPr>
        <w:spacing w:after="80"/>
        <w:keepLines/>
      </w:pPr>
      <w:r>
        <w:t>For this Policy, credit risk includes the risk of financial loss arising from a borrower, guarantor, counterparty or collateral structure failing to perform as expected. Terms are used consistently with Northstar's internal risk taxonomy rather than as statements of external legal requirements.</w:t>
      </w:r>
    </w:p>
    <w:p>
      <w:pPr>
        <w:spacing w:after="80"/>
        <w:keepLines/>
      </w:pPr>
      <w:r>
        <w:t>Credit Risk expects documented judgement, clear ownership and evidence that can be reconstructed after the decision. The requirements in this section apply unless a documented product rule, approved exception, or later effective instruction expressly provides otherwise.</w:t>
      </w:r>
    </w:p>
    <w:p>
      <w:pPr>
        <w:spacing w:after="40"/>
      </w:pPr>
      <w:r>
        <w:rPr>
          <w:rFonts w:ascii="Aptos" w:hAnsi="Aptos" w:eastAsia="Aptos"/>
          <w:b/>
          <w:color w:val="17365D"/>
          <w:sz w:val="18"/>
        </w:rPr>
        <w:t>Control requirements</w:t>
      </w:r>
    </w:p>
    <w:p>
      <w:pPr>
        <w:spacing w:after="46"/>
        <w:ind w:left="259" w:hanging="173"/>
      </w:pPr>
      <w:r>
        <w:rPr>
          <w:rFonts w:ascii="Aptos" w:hAnsi="Aptos" w:eastAsia="Aptos"/>
          <w:b/>
          <w:color w:val="2F5597"/>
          <w:sz w:val="18"/>
        </w:rPr>
        <w:t xml:space="preserve">• </w:t>
      </w:r>
      <w:r>
        <w:rPr>
          <w:rFonts w:ascii="Aptos" w:hAnsi="Aptos" w:eastAsia="Aptos"/>
          <w:sz w:val="18"/>
        </w:rPr>
        <w:t>DTI means monthly debt obligations divided by verified monthly income using the method specified for the product.</w:t>
      </w:r>
    </w:p>
    <w:p>
      <w:pPr>
        <w:spacing w:after="46"/>
        <w:ind w:left="259" w:hanging="173"/>
      </w:pPr>
      <w:r>
        <w:rPr>
          <w:rFonts w:ascii="Aptos" w:hAnsi="Aptos" w:eastAsia="Aptos"/>
          <w:b/>
          <w:color w:val="2F5597"/>
          <w:sz w:val="18"/>
        </w:rPr>
        <w:t xml:space="preserve">• </w:t>
      </w:r>
      <w:r>
        <w:rPr>
          <w:rFonts w:ascii="Aptos" w:hAnsi="Aptos" w:eastAsia="Aptos"/>
          <w:sz w:val="18"/>
        </w:rPr>
        <w:t>FOIR means fixed obligations to income ratio and may include recurring obligations that are excluded from a narrow DTI calculation.</w:t>
      </w:r>
    </w:p>
    <w:p>
      <w:pPr>
        <w:spacing w:after="46"/>
        <w:ind w:left="259" w:hanging="173"/>
      </w:pPr>
      <w:r>
        <w:rPr>
          <w:rFonts w:ascii="Aptos" w:hAnsi="Aptos" w:eastAsia="Aptos"/>
          <w:b/>
          <w:color w:val="2F5597"/>
          <w:sz w:val="18"/>
        </w:rPr>
        <w:t xml:space="preserve">• </w:t>
      </w:r>
      <w:r>
        <w:rPr>
          <w:rFonts w:ascii="Aptos" w:hAnsi="Aptos" w:eastAsia="Aptos"/>
          <w:sz w:val="18"/>
        </w:rPr>
        <w:t>DPD means days past due measured from the contractual due date under the servicing system.</w:t>
      </w:r>
    </w:p>
    <w:p>
      <w:pPr>
        <w:spacing w:after="46"/>
        <w:ind w:left="259" w:hanging="173"/>
      </w:pPr>
      <w:r>
        <w:rPr>
          <w:rFonts w:ascii="Aptos" w:hAnsi="Aptos" w:eastAsia="Aptos"/>
          <w:b/>
          <w:color w:val="2F5597"/>
          <w:sz w:val="18"/>
        </w:rPr>
        <w:t xml:space="preserve">• </w:t>
      </w:r>
      <w:r>
        <w:rPr>
          <w:rFonts w:ascii="Aptos" w:hAnsi="Aptos" w:eastAsia="Aptos"/>
          <w:sz w:val="18"/>
        </w:rPr>
        <w:t>NPA is an internal portfolio classification used for Northstar reporting and does not purport to define any statutory classification.</w:t>
      </w:r>
    </w:p>
    <w:p>
      <w:pPr>
        <w:spacing w:after="46"/>
        <w:ind w:left="259" w:hanging="173"/>
      </w:pPr>
      <w:r>
        <w:rPr>
          <w:rFonts w:ascii="Aptos" w:hAnsi="Aptos" w:eastAsia="Aptos"/>
          <w:b/>
          <w:color w:val="2F5597"/>
          <w:sz w:val="18"/>
        </w:rPr>
        <w:t xml:space="preserve">• </w:t>
      </w:r>
      <w:r>
        <w:rPr>
          <w:rFonts w:ascii="Aptos" w:hAnsi="Aptos" w:eastAsia="Aptos"/>
          <w:sz w:val="18"/>
        </w:rPr>
        <w:t>ECL means expected credit loss used for internal financial-risk measurement; methodology is governed by Finance and Enterprise Risk standards.</w:t>
      </w:r>
    </w:p>
    <w:p>
      <w:pPr>
        <w:spacing w:after="46"/>
        <w:ind w:left="259" w:hanging="173"/>
      </w:pPr>
      <w:r>
        <w:rPr>
          <w:rFonts w:ascii="Aptos" w:hAnsi="Aptos" w:eastAsia="Aptos"/>
          <w:b/>
          <w:color w:val="2F5597"/>
          <w:sz w:val="18"/>
        </w:rPr>
        <w:t xml:space="preserve">• </w:t>
      </w:r>
      <w:r>
        <w:rPr>
          <w:rFonts w:ascii="Aptos" w:hAnsi="Aptos" w:eastAsia="Aptos"/>
          <w:sz w:val="18"/>
        </w:rPr>
        <w:t>Delegated authority means the maximum discretion assigned to an approval role; system access is not delegated authority.</w:t>
      </w:r>
    </w:p>
    <w:p>
      <w:pPr>
        <w:pStyle w:val="Heading2"/>
      </w:pPr>
      <w:r>
        <w:t>Records and control evidence</w:t>
      </w:r>
    </w:p>
    <w:p>
      <w:pPr>
        <w:spacing w:after="46"/>
        <w:ind w:left="259" w:hanging="173"/>
      </w:pPr>
      <w:r>
        <w:rPr>
          <w:rFonts w:ascii="Aptos" w:hAnsi="Aptos" w:eastAsia="Aptos"/>
          <w:b/>
          <w:color w:val="2F5597"/>
          <w:sz w:val="18"/>
        </w:rPr>
        <w:t xml:space="preserve">• </w:t>
      </w:r>
      <w:r>
        <w:rPr>
          <w:rFonts w:ascii="Aptos" w:hAnsi="Aptos" w:eastAsia="Aptos"/>
          <w:sz w:val="18"/>
        </w:rPr>
        <w:t>Approved glossary; data dictionary; calculation specifications.</w:t>
      </w:r>
    </w:p>
    <w:p>
      <w:pPr>
        <w:pStyle w:val="Heading1"/>
      </w:pPr>
      <w:r>
        <w:t>4. Credit Risk Appetite</w:t>
      </w:r>
    </w:p>
    <w:p>
      <w:pPr>
        <w:spacing w:after="80"/>
        <w:keepLines/>
      </w:pPr>
      <w:r>
        <w:t>Northstar shall operate within a defined appetite for expected loss, severe delinquency, concentration and policy exceptions. Product growth is acceptable only where portfolio indicators remain within management thresholds or an approved remediation plan is active.</w:t>
      </w:r>
    </w:p>
    <w:p>
      <w:pPr>
        <w:spacing w:after="80"/>
        <w:keepLines/>
      </w:pPr>
      <w:r>
        <w:t>Credit Risk expects documented judgement, clear ownership and evidence that can be reconstructed after the decision. The requirements in this section apply unless a documented product rule, approved exception, or later effective instruction expressly provides otherwise.</w:t>
      </w:r>
    </w:p>
    <w:p>
      <w:pPr>
        <w:spacing w:after="40"/>
      </w:pPr>
      <w:r>
        <w:rPr>
          <w:rFonts w:ascii="Aptos" w:hAnsi="Aptos" w:eastAsia="Aptos"/>
          <w:b/>
          <w:color w:val="17365D"/>
          <w:sz w:val="18"/>
        </w:rPr>
        <w:t>Control requirements</w:t>
      </w:r>
    </w:p>
    <w:p>
      <w:pPr>
        <w:spacing w:after="46"/>
        <w:ind w:left="259" w:hanging="173"/>
      </w:pPr>
      <w:r>
        <w:rPr>
          <w:rFonts w:ascii="Aptos" w:hAnsi="Aptos" w:eastAsia="Aptos"/>
          <w:b/>
          <w:color w:val="2F5597"/>
          <w:sz w:val="18"/>
        </w:rPr>
        <w:t xml:space="preserve">• </w:t>
      </w:r>
      <w:r>
        <w:rPr>
          <w:rFonts w:ascii="Aptos" w:hAnsi="Aptos" w:eastAsia="Aptos"/>
          <w:sz w:val="18"/>
        </w:rPr>
        <w:t>Standard unsecured personal-loan DTI shall not exceed 45%, except through the controlled exception route described in CEP-006.</w:t>
      </w:r>
    </w:p>
    <w:p>
      <w:pPr>
        <w:spacing w:after="46"/>
        <w:ind w:left="259" w:hanging="173"/>
      </w:pPr>
      <w:r>
        <w:rPr>
          <w:rFonts w:ascii="Aptos" w:hAnsi="Aptos" w:eastAsia="Aptos"/>
          <w:b/>
          <w:color w:val="2F5597"/>
          <w:sz w:val="18"/>
        </w:rPr>
        <w:t xml:space="preserve">• </w:t>
      </w:r>
      <w:r>
        <w:rPr>
          <w:rFonts w:ascii="Aptos" w:hAnsi="Aptos" w:eastAsia="Aptos"/>
          <w:sz w:val="18"/>
        </w:rPr>
        <w:t>Personal-loan FOIR should ordinarily not exceed 50%; 50.01%–55% requires heightened assessment and documented affordability rationale.</w:t>
      </w:r>
    </w:p>
    <w:p>
      <w:pPr>
        <w:spacing w:after="46"/>
        <w:ind w:left="259" w:hanging="173"/>
      </w:pPr>
      <w:r>
        <w:rPr>
          <w:rFonts w:ascii="Aptos" w:hAnsi="Aptos" w:eastAsia="Aptos"/>
          <w:b/>
          <w:color w:val="2F5597"/>
          <w:sz w:val="18"/>
        </w:rPr>
        <w:t xml:space="preserve">• </w:t>
      </w:r>
      <w:r>
        <w:rPr>
          <w:rFonts w:ascii="Aptos" w:hAnsi="Aptos" w:eastAsia="Aptos"/>
          <w:sz w:val="18"/>
        </w:rPr>
        <w:t>FOIR above 55% is outside standard retail appetite unless a specifically approved program or material exception applies.</w:t>
      </w:r>
    </w:p>
    <w:p>
      <w:pPr>
        <w:spacing w:after="46"/>
        <w:ind w:left="259" w:hanging="173"/>
      </w:pPr>
      <w:r>
        <w:rPr>
          <w:rFonts w:ascii="Aptos" w:hAnsi="Aptos" w:eastAsia="Aptos"/>
          <w:b/>
          <w:color w:val="2F5597"/>
          <w:sz w:val="18"/>
        </w:rPr>
        <w:t xml:space="preserve">• </w:t>
      </w:r>
      <w:r>
        <w:rPr>
          <w:rFonts w:ascii="Aptos" w:hAnsi="Aptos" w:eastAsia="Aptos"/>
          <w:sz w:val="18"/>
        </w:rPr>
        <w:t>Unsecured portfolio growth shall be assessed together with early delinquency, bureau-score migration and sourcing-channel concentration.</w:t>
      </w:r>
    </w:p>
    <w:p>
      <w:pPr>
        <w:spacing w:after="46"/>
        <w:ind w:left="259" w:hanging="173"/>
      </w:pPr>
      <w:r>
        <w:rPr>
          <w:rFonts w:ascii="Aptos" w:hAnsi="Aptos" w:eastAsia="Aptos"/>
          <w:b/>
          <w:color w:val="2F5597"/>
          <w:sz w:val="18"/>
        </w:rPr>
        <w:t xml:space="preserve">• </w:t>
      </w:r>
      <w:r>
        <w:rPr>
          <w:rFonts w:ascii="Aptos" w:hAnsi="Aptos" w:eastAsia="Aptos"/>
          <w:sz w:val="18"/>
        </w:rPr>
        <w:t>Risk appetite triggers do not automatically require customer-level decline unless the applicable product rule says so; they may instead require portfolio actions.</w:t>
      </w:r>
    </w:p>
    <w:p>
      <w:pPr>
        <w:pStyle w:val="Heading2"/>
      </w:pPr>
      <w:r>
        <w:t>Records and control evidence</w:t>
      </w:r>
    </w:p>
    <w:p>
      <w:pPr>
        <w:spacing w:after="46"/>
        <w:ind w:left="259" w:hanging="173"/>
      </w:pPr>
      <w:r>
        <w:rPr>
          <w:rFonts w:ascii="Aptos" w:hAnsi="Aptos" w:eastAsia="Aptos"/>
          <w:b/>
          <w:color w:val="2F5597"/>
          <w:sz w:val="18"/>
        </w:rPr>
        <w:t xml:space="preserve">• </w:t>
      </w:r>
      <w:r>
        <w:rPr>
          <w:rFonts w:ascii="Aptos" w:hAnsi="Aptos" w:eastAsia="Aptos"/>
          <w:sz w:val="18"/>
        </w:rPr>
        <w:t>Risk appetite statement; monthly portfolio dashboard; limit-breach papers; management actions.</w:t>
      </w:r>
    </w:p>
    <w:p>
      <w:pPr>
        <w:pStyle w:val="ControlNote"/>
      </w:pPr>
      <w:r>
        <w:rPr>
          <w:rFonts w:ascii="Aptos" w:hAnsi="Aptos" w:eastAsia="Aptos"/>
          <w:b/>
          <w:i/>
          <w:color w:val="595959"/>
          <w:sz w:val="17"/>
        </w:rPr>
        <w:t xml:space="preserve">Operational note: </w:t>
      </w:r>
      <w:r>
        <w:rPr>
          <w:rFonts w:ascii="Aptos" w:hAnsi="Aptos" w:eastAsia="Aptos"/>
          <w:b w:val="0"/>
          <w:i/>
          <w:color w:val="595959"/>
          <w:sz w:val="17"/>
        </w:rPr>
        <w:t>The 45% DTI threshold became effective on 1 April 2025. Transitional cases are addressed in Section 20 and Appendix C.</w:t>
      </w:r>
    </w:p>
    <w:p>
      <w:r>
        <w:br w:type="page"/>
      </w:r>
    </w:p>
    <w:p>
      <w:pPr>
        <w:pStyle w:val="Heading1"/>
      </w:pPr>
      <w:r>
        <w:t>5. Governance and Three Lines of Defense</w:t>
      </w:r>
    </w:p>
    <w:p>
      <w:pPr>
        <w:spacing w:after="80"/>
        <w:keepLines/>
      </w:pPr>
      <w:r>
        <w:t>Credit governance is distributed across business origination, independent risk oversight and assurance functions. Accountability follows the decision made, not merely the system user who entered it.</w:t>
      </w:r>
    </w:p>
    <w:p>
      <w:pPr>
        <w:spacing w:after="80"/>
        <w:keepLines/>
      </w:pPr>
      <w:r>
        <w:t>Credit Risk expects documented judgement, clear ownership and evidence that can be reconstructed after the decision. The requirements in this section apply unless a documented product rule, approved exception, or later effective instruction expressly provides otherwise.</w:t>
      </w:r>
    </w:p>
    <w:p>
      <w:pPr>
        <w:spacing w:after="40"/>
      </w:pPr>
      <w:r>
        <w:rPr>
          <w:rFonts w:ascii="Aptos" w:hAnsi="Aptos" w:eastAsia="Aptos"/>
          <w:b/>
          <w:color w:val="17365D"/>
          <w:sz w:val="18"/>
        </w:rPr>
        <w:t>Control requirements</w:t>
      </w:r>
    </w:p>
    <w:p>
      <w:pPr>
        <w:spacing w:after="46"/>
        <w:ind w:left="259" w:hanging="173"/>
      </w:pPr>
      <w:r>
        <w:rPr>
          <w:rFonts w:ascii="Aptos" w:hAnsi="Aptos" w:eastAsia="Aptos"/>
          <w:b/>
          <w:color w:val="2F5597"/>
          <w:sz w:val="18"/>
        </w:rPr>
        <w:t xml:space="preserve">• </w:t>
      </w:r>
      <w:r>
        <w:rPr>
          <w:rFonts w:ascii="Aptos" w:hAnsi="Aptos" w:eastAsia="Aptos"/>
          <w:sz w:val="18"/>
        </w:rPr>
        <w:t>First-line teams shall collect complete information, identify obvious inconsistencies and comply with product controls.</w:t>
      </w:r>
    </w:p>
    <w:p>
      <w:pPr>
        <w:spacing w:after="46"/>
        <w:ind w:left="259" w:hanging="173"/>
      </w:pPr>
      <w:r>
        <w:rPr>
          <w:rFonts w:ascii="Aptos" w:hAnsi="Aptos" w:eastAsia="Aptos"/>
          <w:b/>
          <w:color w:val="2F5597"/>
          <w:sz w:val="18"/>
        </w:rPr>
        <w:t xml:space="preserve">• </w:t>
      </w:r>
      <w:r>
        <w:rPr>
          <w:rFonts w:ascii="Aptos" w:hAnsi="Aptos" w:eastAsia="Aptos"/>
          <w:sz w:val="18"/>
        </w:rPr>
        <w:t>Credit Underwriting and Credit Risk perform independent challenge according to product design and authority level.</w:t>
      </w:r>
    </w:p>
    <w:p>
      <w:pPr>
        <w:spacing w:after="46"/>
        <w:ind w:left="259" w:hanging="173"/>
      </w:pPr>
      <w:r>
        <w:rPr>
          <w:rFonts w:ascii="Aptos" w:hAnsi="Aptos" w:eastAsia="Aptos"/>
          <w:b/>
          <w:color w:val="2F5597"/>
          <w:sz w:val="18"/>
        </w:rPr>
        <w:t xml:space="preserve">• </w:t>
      </w:r>
      <w:r>
        <w:rPr>
          <w:rFonts w:ascii="Aptos" w:hAnsi="Aptos" w:eastAsia="Aptos"/>
          <w:sz w:val="18"/>
        </w:rPr>
        <w:t>Enterprise Risk aggregates material exposures, concentrations and exception trends for risk committees.</w:t>
      </w:r>
    </w:p>
    <w:p>
      <w:pPr>
        <w:spacing w:after="46"/>
        <w:ind w:left="259" w:hanging="173"/>
      </w:pPr>
      <w:r>
        <w:rPr>
          <w:rFonts w:ascii="Aptos" w:hAnsi="Aptos" w:eastAsia="Aptos"/>
          <w:b/>
          <w:color w:val="2F5597"/>
          <w:sz w:val="18"/>
        </w:rPr>
        <w:t xml:space="preserve">• </w:t>
      </w:r>
      <w:r>
        <w:rPr>
          <w:rFonts w:ascii="Aptos" w:hAnsi="Aptos" w:eastAsia="Aptos"/>
          <w:sz w:val="18"/>
        </w:rPr>
        <w:t>Internal Audit independently tests governance, adherence and remediation as part of the third line.</w:t>
      </w:r>
    </w:p>
    <w:p>
      <w:pPr>
        <w:spacing w:after="46"/>
        <w:ind w:left="259" w:hanging="173"/>
      </w:pPr>
      <w:r>
        <w:rPr>
          <w:rFonts w:ascii="Aptos" w:hAnsi="Aptos" w:eastAsia="Aptos"/>
          <w:b/>
          <w:color w:val="2F5597"/>
          <w:sz w:val="18"/>
        </w:rPr>
        <w:t xml:space="preserve">• </w:t>
      </w:r>
      <w:r>
        <w:rPr>
          <w:rFonts w:ascii="Aptos" w:hAnsi="Aptos" w:eastAsia="Aptos"/>
          <w:sz w:val="18"/>
        </w:rPr>
        <w:t>Committee escalation shall not be used to circumvent a lower-level decline without new information or a formally documented exception basis.</w:t>
      </w:r>
    </w:p>
    <w:p>
      <w:pPr>
        <w:pStyle w:val="Heading2"/>
      </w:pPr>
      <w:r>
        <w:t>Records and control evidence</w:t>
      </w:r>
    </w:p>
    <w:p>
      <w:pPr>
        <w:spacing w:after="46"/>
        <w:ind w:left="259" w:hanging="173"/>
      </w:pPr>
      <w:r>
        <w:rPr>
          <w:rFonts w:ascii="Aptos" w:hAnsi="Aptos" w:eastAsia="Aptos"/>
          <w:b/>
          <w:color w:val="2F5597"/>
          <w:sz w:val="18"/>
        </w:rPr>
        <w:t xml:space="preserve">• </w:t>
      </w:r>
      <w:r>
        <w:rPr>
          <w:rFonts w:ascii="Aptos" w:hAnsi="Aptos" w:eastAsia="Aptos"/>
          <w:sz w:val="18"/>
        </w:rPr>
        <w:t>Role charters; approval logs; committee minutes; audit workpapers; issue tracking.</w:t>
      </w:r>
    </w:p>
    <w:p>
      <w:pPr>
        <w:pStyle w:val="Heading1"/>
      </w:pPr>
      <w:r>
        <w:t>6. Borrower Classification and Risk Categories</w:t>
      </w:r>
    </w:p>
    <w:p>
      <w:pPr>
        <w:spacing w:after="80"/>
        <w:keepLines/>
      </w:pPr>
      <w:r>
        <w:t>Borrowers shall be assigned an internal risk category that reflects creditworthiness, affordability, leverage, stability and material adverse information. Product-specific scorecards may use different labels, but mapping to the enterprise view shall remain available.</w:t>
      </w:r>
    </w:p>
    <w:p>
      <w:pPr>
        <w:spacing w:after="80"/>
        <w:keepLines/>
      </w:pPr>
      <w:r>
        <w:t>Credit Risk expects documented judgement, clear ownership and evidence that can be reconstructed after the decision. The requirements in this section apply unless a documented product rule, approved exception, or later effective instruction expressly provides otherwise.</w:t>
      </w:r>
    </w:p>
    <w:p>
      <w:pPr>
        <w:spacing w:after="40"/>
      </w:pPr>
      <w:r>
        <w:rPr>
          <w:rFonts w:ascii="Aptos" w:hAnsi="Aptos" w:eastAsia="Aptos"/>
          <w:b/>
          <w:color w:val="17365D"/>
          <w:sz w:val="18"/>
        </w:rPr>
        <w:t>Control requirements</w:t>
      </w:r>
    </w:p>
    <w:p>
      <w:pPr>
        <w:spacing w:after="46"/>
        <w:ind w:left="259" w:hanging="173"/>
      </w:pPr>
      <w:r>
        <w:rPr>
          <w:rFonts w:ascii="Aptos" w:hAnsi="Aptos" w:eastAsia="Aptos"/>
          <w:b/>
          <w:color w:val="2F5597"/>
          <w:sz w:val="18"/>
        </w:rPr>
        <w:t xml:space="preserve">• </w:t>
      </w:r>
      <w:r>
        <w:rPr>
          <w:rFonts w:ascii="Aptos" w:hAnsi="Aptos" w:eastAsia="Aptos"/>
          <w:sz w:val="18"/>
        </w:rPr>
        <w:t>Risk Grade 1 represents low observed credit risk; Grade 5 represents very high or unacceptable risk for new standard lending.</w:t>
      </w:r>
    </w:p>
    <w:p>
      <w:pPr>
        <w:spacing w:after="46"/>
        <w:ind w:left="259" w:hanging="173"/>
      </w:pPr>
      <w:r>
        <w:rPr>
          <w:rFonts w:ascii="Aptos" w:hAnsi="Aptos" w:eastAsia="Aptos"/>
          <w:b/>
          <w:color w:val="2F5597"/>
          <w:sz w:val="18"/>
        </w:rPr>
        <w:t xml:space="preserve">• </w:t>
      </w:r>
      <w:r>
        <w:rPr>
          <w:rFonts w:ascii="Aptos" w:hAnsi="Aptos" w:eastAsia="Aptos"/>
          <w:sz w:val="18"/>
        </w:rPr>
        <w:t>Risk Grade 4 requires enhanced review and may be restricted by product, amount or authority.</w:t>
      </w:r>
    </w:p>
    <w:p>
      <w:pPr>
        <w:spacing w:after="46"/>
        <w:ind w:left="259" w:hanging="173"/>
      </w:pPr>
      <w:r>
        <w:rPr>
          <w:rFonts w:ascii="Aptos" w:hAnsi="Aptos" w:eastAsia="Aptos"/>
          <w:b/>
          <w:color w:val="2F5597"/>
          <w:sz w:val="18"/>
        </w:rPr>
        <w:t xml:space="preserve">• </w:t>
      </w:r>
      <w:r>
        <w:rPr>
          <w:rFonts w:ascii="Aptos" w:hAnsi="Aptos" w:eastAsia="Aptos"/>
          <w:sz w:val="18"/>
        </w:rPr>
        <w:t>Risk Grade 5 is not eligible for standard new lending unless a separately approved remediation or secured-recovery strategy applies.</w:t>
      </w:r>
    </w:p>
    <w:p>
      <w:pPr>
        <w:spacing w:after="46"/>
        <w:ind w:left="259" w:hanging="173"/>
      </w:pPr>
      <w:r>
        <w:rPr>
          <w:rFonts w:ascii="Aptos" w:hAnsi="Aptos" w:eastAsia="Aptos"/>
          <w:b/>
          <w:color w:val="2F5597"/>
          <w:sz w:val="18"/>
        </w:rPr>
        <w:t xml:space="preserve">• </w:t>
      </w:r>
      <w:r>
        <w:rPr>
          <w:rFonts w:ascii="Aptos" w:hAnsi="Aptos" w:eastAsia="Aptos"/>
          <w:sz w:val="18"/>
        </w:rPr>
        <w:t>Risk classification shall be refreshed when material new information is obtained before disbursement.</w:t>
      </w:r>
    </w:p>
    <w:p>
      <w:pPr>
        <w:spacing w:after="46"/>
        <w:ind w:left="259" w:hanging="173"/>
      </w:pPr>
      <w:r>
        <w:rPr>
          <w:rFonts w:ascii="Aptos" w:hAnsi="Aptos" w:eastAsia="Aptos"/>
          <w:b/>
          <w:color w:val="2F5597"/>
          <w:sz w:val="18"/>
        </w:rPr>
        <w:t xml:space="preserve">• </w:t>
      </w:r>
      <w:r>
        <w:rPr>
          <w:rFonts w:ascii="Aptos" w:hAnsi="Aptos" w:eastAsia="Aptos"/>
          <w:sz w:val="18"/>
        </w:rPr>
        <w:t>Manual overrides of system-derived risk categories require reason codes and approver identification.</w:t>
      </w:r>
    </w:p>
    <w:p>
      <w:pPr>
        <w:pStyle w:val="Heading2"/>
      </w:pPr>
      <w:r>
        <w:t>Records and control evidence</w:t>
      </w:r>
    </w:p>
    <w:p>
      <w:pPr>
        <w:spacing w:after="46"/>
        <w:ind w:left="259" w:hanging="173"/>
      </w:pPr>
      <w:r>
        <w:rPr>
          <w:rFonts w:ascii="Aptos" w:hAnsi="Aptos" w:eastAsia="Aptos"/>
          <w:b/>
          <w:color w:val="2F5597"/>
          <w:sz w:val="18"/>
        </w:rPr>
        <w:t xml:space="preserve">• </w:t>
      </w:r>
      <w:r>
        <w:rPr>
          <w:rFonts w:ascii="Aptos" w:hAnsi="Aptos" w:eastAsia="Aptos"/>
          <w:sz w:val="18"/>
        </w:rPr>
        <w:t>Risk-grade record; scorecard result; override reason; reviewer notes.</w:t>
      </w:r>
    </w:p>
    <w:p>
      <w:r>
        <w:br w:type="page"/>
      </w:r>
    </w:p>
    <w:p>
      <w:pPr>
        <w:pStyle w:val="Heading1"/>
      </w:pPr>
      <w:r>
        <w:t>7. Credit Bureau and Credit Score Requirements</w:t>
      </w:r>
    </w:p>
    <w:p>
      <w:pPr>
        <w:spacing w:after="80"/>
        <w:keepLines/>
      </w:pPr>
      <w:r>
        <w:t>Credit bureau information is a material input to credit assessment but shall not be treated as a substitute for affordability, fraud review or judgement. Score thresholds may differ by product where approved in product procedures.</w:t>
      </w:r>
    </w:p>
    <w:p>
      <w:pPr>
        <w:spacing w:after="80"/>
        <w:keepLines/>
      </w:pPr>
      <w:r>
        <w:t>Credit Risk expects documented judgement, clear ownership and evidence that can be reconstructed after the decision. The requirements in this section apply unless a documented product rule, approved exception, or later effective instruction expressly provides otherwise.</w:t>
      </w:r>
    </w:p>
    <w:p>
      <w:pPr>
        <w:spacing w:after="40"/>
      </w:pPr>
      <w:r>
        <w:rPr>
          <w:rFonts w:ascii="Aptos" w:hAnsi="Aptos" w:eastAsia="Aptos"/>
          <w:b/>
          <w:color w:val="17365D"/>
          <w:sz w:val="18"/>
        </w:rPr>
        <w:t>Control requirements</w:t>
      </w:r>
    </w:p>
    <w:p>
      <w:pPr>
        <w:spacing w:after="46"/>
        <w:ind w:left="259" w:hanging="173"/>
      </w:pPr>
      <w:r>
        <w:rPr>
          <w:rFonts w:ascii="Aptos" w:hAnsi="Aptos" w:eastAsia="Aptos"/>
          <w:b/>
          <w:color w:val="2F5597"/>
          <w:sz w:val="18"/>
        </w:rPr>
        <w:t xml:space="preserve">• </w:t>
      </w:r>
      <w:r>
        <w:rPr>
          <w:rFonts w:ascii="Aptos" w:hAnsi="Aptos" w:eastAsia="Aptos"/>
          <w:sz w:val="18"/>
        </w:rPr>
        <w:t>A bureau score below 650 requires enhanced review under this enterprise Policy unless an approved product rule sets a different operational threshold.</w:t>
      </w:r>
    </w:p>
    <w:p>
      <w:pPr>
        <w:spacing w:after="46"/>
        <w:ind w:left="259" w:hanging="173"/>
      </w:pPr>
      <w:r>
        <w:rPr>
          <w:rFonts w:ascii="Aptos" w:hAnsi="Aptos" w:eastAsia="Aptos"/>
          <w:b/>
          <w:color w:val="2F5597"/>
          <w:sz w:val="18"/>
        </w:rPr>
        <w:t xml:space="preserve">• </w:t>
      </w:r>
      <w:r>
        <w:rPr>
          <w:rFonts w:ascii="Aptos" w:hAnsi="Aptos" w:eastAsia="Aptos"/>
          <w:sz w:val="18"/>
        </w:rPr>
        <w:t>Recent severe delinquency, write-off indicators or material undisclosed obligations may warrant decline even where the numerical score is above threshold.</w:t>
      </w:r>
    </w:p>
    <w:p>
      <w:pPr>
        <w:spacing w:after="46"/>
        <w:ind w:left="259" w:hanging="173"/>
      </w:pPr>
      <w:r>
        <w:rPr>
          <w:rFonts w:ascii="Aptos" w:hAnsi="Aptos" w:eastAsia="Aptos"/>
          <w:b/>
          <w:color w:val="2F5597"/>
          <w:sz w:val="18"/>
        </w:rPr>
        <w:t xml:space="preserve">• </w:t>
      </w:r>
      <w:r>
        <w:rPr>
          <w:rFonts w:ascii="Aptos" w:hAnsi="Aptos" w:eastAsia="Aptos"/>
          <w:sz w:val="18"/>
        </w:rPr>
        <w:t>Absence of a score or a thin-file result requires alternative evidence and manual review where the product permits such customers.</w:t>
      </w:r>
    </w:p>
    <w:p>
      <w:pPr>
        <w:spacing w:after="46"/>
        <w:ind w:left="259" w:hanging="173"/>
      </w:pPr>
      <w:r>
        <w:rPr>
          <w:rFonts w:ascii="Aptos" w:hAnsi="Aptos" w:eastAsia="Aptos"/>
          <w:b/>
          <w:color w:val="2F5597"/>
          <w:sz w:val="18"/>
        </w:rPr>
        <w:t xml:space="preserve">• </w:t>
      </w:r>
      <w:r>
        <w:rPr>
          <w:rFonts w:ascii="Aptos" w:hAnsi="Aptos" w:eastAsia="Aptos"/>
          <w:sz w:val="18"/>
        </w:rPr>
        <w:t>Bureau data shall be matched to the applicant using approved identity controls and material discrepancies investigated.</w:t>
      </w:r>
    </w:p>
    <w:p>
      <w:pPr>
        <w:spacing w:after="46"/>
        <w:ind w:left="259" w:hanging="173"/>
      </w:pPr>
      <w:r>
        <w:rPr>
          <w:rFonts w:ascii="Aptos" w:hAnsi="Aptos" w:eastAsia="Aptos"/>
          <w:b/>
          <w:color w:val="2F5597"/>
          <w:sz w:val="18"/>
        </w:rPr>
        <w:t xml:space="preserve">• </w:t>
      </w:r>
      <w:r>
        <w:rPr>
          <w:rFonts w:ascii="Aptos" w:hAnsi="Aptos" w:eastAsia="Aptos"/>
          <w:sz w:val="18"/>
        </w:rPr>
        <w:t>A score obtained outside the product's permitted freshness period shall be refreshed before final decision.</w:t>
      </w:r>
    </w:p>
    <w:p>
      <w:pPr>
        <w:pStyle w:val="Heading2"/>
      </w:pPr>
      <w:r>
        <w:t>Records and control evidence</w:t>
      </w:r>
    </w:p>
    <w:p>
      <w:pPr>
        <w:spacing w:after="46"/>
        <w:ind w:left="259" w:hanging="173"/>
      </w:pPr>
      <w:r>
        <w:rPr>
          <w:rFonts w:ascii="Aptos" w:hAnsi="Aptos" w:eastAsia="Aptos"/>
          <w:b/>
          <w:color w:val="2F5597"/>
          <w:sz w:val="18"/>
        </w:rPr>
        <w:t xml:space="preserve">• </w:t>
      </w:r>
      <w:r>
        <w:rPr>
          <w:rFonts w:ascii="Aptos" w:hAnsi="Aptos" w:eastAsia="Aptos"/>
          <w:sz w:val="18"/>
        </w:rPr>
        <w:t>Bureau report identifier; score and retrieval date; discrepancy notes; manual-review record.</w:t>
      </w:r>
    </w:p>
    <w:p>
      <w:pPr>
        <w:pStyle w:val="ControlNote"/>
      </w:pPr>
      <w:r>
        <w:rPr>
          <w:rFonts w:ascii="Aptos" w:hAnsi="Aptos" w:eastAsia="Aptos"/>
          <w:b/>
          <w:i/>
          <w:color w:val="595959"/>
          <w:sz w:val="17"/>
        </w:rPr>
        <w:t xml:space="preserve">Operational note: </w:t>
      </w:r>
      <w:r>
        <w:rPr>
          <w:rFonts w:ascii="Aptos" w:hAnsi="Aptos" w:eastAsia="Aptos"/>
          <w:b w:val="0"/>
          <w:i/>
          <w:color w:val="595959"/>
          <w:sz w:val="17"/>
        </w:rPr>
        <w:t>PLU-011 uses a 640 automated-decision floor and separate manual bands; that product-specific workflow does not remove the enterprise enhanced-review expectation below 650.</w:t>
      </w:r>
    </w:p>
    <w:p>
      <w:pPr>
        <w:pStyle w:val="Heading1"/>
      </w:pPr>
      <w:r>
        <w:t>8. Income, Employment and Affordability</w:t>
      </w:r>
    </w:p>
    <w:p>
      <w:pPr>
        <w:spacing w:after="80"/>
        <w:keepLines/>
      </w:pPr>
      <w:r>
        <w:t>Repayment capacity shall be assessed using income that is reasonably evidenced, stable enough for the proposed tenor, and adjusted where volatility or non-recurring components are material. Affordability must reflect existing obligations and credible living-cost impacts.</w:t>
      </w:r>
    </w:p>
    <w:p>
      <w:pPr>
        <w:spacing w:after="80"/>
        <w:keepLines/>
      </w:pPr>
      <w:r>
        <w:t>Credit Risk expects documented judgement, clear ownership and evidence that can be reconstructed after the decision. The requirements in this section apply unless a documented product rule, approved exception, or later effective instruction expressly provides otherwise.</w:t>
      </w:r>
    </w:p>
    <w:p>
      <w:pPr>
        <w:spacing w:after="40"/>
      </w:pPr>
      <w:r>
        <w:rPr>
          <w:rFonts w:ascii="Aptos" w:hAnsi="Aptos" w:eastAsia="Aptos"/>
          <w:b/>
          <w:color w:val="17365D"/>
          <w:sz w:val="18"/>
        </w:rPr>
        <w:t>Control requirements</w:t>
      </w:r>
    </w:p>
    <w:p>
      <w:pPr>
        <w:spacing w:after="46"/>
        <w:ind w:left="259" w:hanging="173"/>
      </w:pPr>
      <w:r>
        <w:rPr>
          <w:rFonts w:ascii="Aptos" w:hAnsi="Aptos" w:eastAsia="Aptos"/>
          <w:b/>
          <w:color w:val="2F5597"/>
          <w:sz w:val="18"/>
        </w:rPr>
        <w:t xml:space="preserve">• </w:t>
      </w:r>
      <w:r>
        <w:rPr>
          <w:rFonts w:ascii="Aptos" w:hAnsi="Aptos" w:eastAsia="Aptos"/>
          <w:sz w:val="18"/>
        </w:rPr>
        <w:t>Salary income shall be supported by the evidence specified in the product procedure and reconciled to bank credits where required.</w:t>
      </w:r>
    </w:p>
    <w:p>
      <w:pPr>
        <w:spacing w:after="46"/>
        <w:ind w:left="259" w:hanging="173"/>
      </w:pPr>
      <w:r>
        <w:rPr>
          <w:rFonts w:ascii="Aptos" w:hAnsi="Aptos" w:eastAsia="Aptos"/>
          <w:b/>
          <w:color w:val="2F5597"/>
          <w:sz w:val="18"/>
        </w:rPr>
        <w:t xml:space="preserve">• </w:t>
      </w:r>
      <w:r>
        <w:rPr>
          <w:rFonts w:ascii="Aptos" w:hAnsi="Aptos" w:eastAsia="Aptos"/>
          <w:sz w:val="18"/>
        </w:rPr>
        <w:t>Variable pay, incentives and irregular business income may be haircutted or averaged over a representative period.</w:t>
      </w:r>
    </w:p>
    <w:p>
      <w:pPr>
        <w:spacing w:after="46"/>
        <w:ind w:left="259" w:hanging="173"/>
      </w:pPr>
      <w:r>
        <w:rPr>
          <w:rFonts w:ascii="Aptos" w:hAnsi="Aptos" w:eastAsia="Aptos"/>
          <w:b/>
          <w:color w:val="2F5597"/>
          <w:sz w:val="18"/>
        </w:rPr>
        <w:t xml:space="preserve">• </w:t>
      </w:r>
      <w:r>
        <w:rPr>
          <w:rFonts w:ascii="Aptos" w:hAnsi="Aptos" w:eastAsia="Aptos"/>
          <w:sz w:val="18"/>
        </w:rPr>
        <w:t>Recent employment changes, probation, unexplained income spikes or dependence on a single volatile source require enhanced review.</w:t>
      </w:r>
    </w:p>
    <w:p>
      <w:pPr>
        <w:spacing w:after="46"/>
        <w:ind w:left="259" w:hanging="173"/>
      </w:pPr>
      <w:r>
        <w:rPr>
          <w:rFonts w:ascii="Aptos" w:hAnsi="Aptos" w:eastAsia="Aptos"/>
          <w:b/>
          <w:color w:val="2F5597"/>
          <w:sz w:val="18"/>
        </w:rPr>
        <w:t xml:space="preserve">• </w:t>
      </w:r>
      <w:r>
        <w:rPr>
          <w:rFonts w:ascii="Aptos" w:hAnsi="Aptos" w:eastAsia="Aptos"/>
          <w:sz w:val="18"/>
        </w:rPr>
        <w:t>Declared income that materially exceeds documentary evidence shall not be used merely because a bureau or digital source produces a higher estimate.</w:t>
      </w:r>
    </w:p>
    <w:p>
      <w:pPr>
        <w:spacing w:after="46"/>
        <w:ind w:left="259" w:hanging="173"/>
      </w:pPr>
      <w:r>
        <w:rPr>
          <w:rFonts w:ascii="Aptos" w:hAnsi="Aptos" w:eastAsia="Aptos"/>
          <w:b/>
          <w:color w:val="2F5597"/>
          <w:sz w:val="18"/>
        </w:rPr>
        <w:t xml:space="preserve">• </w:t>
      </w:r>
      <w:r>
        <w:rPr>
          <w:rFonts w:ascii="Aptos" w:hAnsi="Aptos" w:eastAsia="Aptos"/>
          <w:sz w:val="18"/>
        </w:rPr>
        <w:t>Affordability calculations shall use the approved product formula and preserve input values used at decision time.</w:t>
      </w:r>
    </w:p>
    <w:p>
      <w:pPr>
        <w:pStyle w:val="Heading2"/>
      </w:pPr>
      <w:r>
        <w:t>Records and control evidence</w:t>
      </w:r>
    </w:p>
    <w:p>
      <w:pPr>
        <w:spacing w:after="46"/>
        <w:ind w:left="259" w:hanging="173"/>
      </w:pPr>
      <w:r>
        <w:rPr>
          <w:rFonts w:ascii="Aptos" w:hAnsi="Aptos" w:eastAsia="Aptos"/>
          <w:b/>
          <w:color w:val="2F5597"/>
          <w:sz w:val="18"/>
        </w:rPr>
        <w:t xml:space="preserve">• </w:t>
      </w:r>
      <w:r>
        <w:rPr>
          <w:rFonts w:ascii="Aptos" w:hAnsi="Aptos" w:eastAsia="Aptos"/>
          <w:sz w:val="18"/>
        </w:rPr>
        <w:t>Income documents; verification result; bank-statement analysis; affordability worksheet; underwriting notes.</w:t>
      </w:r>
    </w:p>
    <w:p>
      <w:r>
        <w:br w:type="page"/>
      </w:r>
    </w:p>
    <w:p>
      <w:pPr>
        <w:pStyle w:val="Heading1"/>
      </w:pPr>
      <w:r>
        <w:t>9. DTI, FOIR and Existing Obligations</w:t>
      </w:r>
    </w:p>
    <w:p>
      <w:pPr>
        <w:spacing w:after="80"/>
        <w:keepLines/>
      </w:pPr>
      <w:r>
        <w:t>Debt-service ratios shall be calculated from verified income and known recurring obligations. Underwriters must address differences between customer declarations, bureau liabilities and bank-statement evidence.</w:t>
      </w:r>
    </w:p>
    <w:p>
      <w:pPr>
        <w:spacing w:after="80"/>
        <w:keepLines/>
      </w:pPr>
      <w:r>
        <w:t>Credit Risk expects documented judgement, clear ownership and evidence that can be reconstructed after the decision. The requirements in this section apply unless a documented product rule, approved exception, or later effective instruction expressly provides otherwise.</w:t>
      </w:r>
    </w:p>
    <w:p>
      <w:pPr>
        <w:spacing w:after="40"/>
      </w:pPr>
      <w:r>
        <w:rPr>
          <w:rFonts w:ascii="Aptos" w:hAnsi="Aptos" w:eastAsia="Aptos"/>
          <w:b/>
          <w:color w:val="17365D"/>
          <w:sz w:val="18"/>
        </w:rPr>
        <w:t>Control requirements</w:t>
      </w:r>
    </w:p>
    <w:p>
      <w:pPr>
        <w:spacing w:after="46"/>
        <w:ind w:left="259" w:hanging="173"/>
      </w:pPr>
      <w:r>
        <w:rPr>
          <w:rFonts w:ascii="Aptos" w:hAnsi="Aptos" w:eastAsia="Aptos"/>
          <w:b/>
          <w:color w:val="2F5597"/>
          <w:sz w:val="18"/>
        </w:rPr>
        <w:t xml:space="preserve">• </w:t>
      </w:r>
      <w:r>
        <w:rPr>
          <w:rFonts w:ascii="Aptos" w:hAnsi="Aptos" w:eastAsia="Aptos"/>
          <w:sz w:val="18"/>
        </w:rPr>
        <w:t>Standard personal-loan DTI is capped at 45% under this Policy.</w:t>
      </w:r>
    </w:p>
    <w:p>
      <w:pPr>
        <w:spacing w:after="46"/>
        <w:ind w:left="259" w:hanging="173"/>
      </w:pPr>
      <w:r>
        <w:rPr>
          <w:rFonts w:ascii="Aptos" w:hAnsi="Aptos" w:eastAsia="Aptos"/>
          <w:b/>
          <w:color w:val="2F5597"/>
          <w:sz w:val="18"/>
        </w:rPr>
        <w:t xml:space="preserve">• </w:t>
      </w:r>
      <w:r>
        <w:rPr>
          <w:rFonts w:ascii="Aptos" w:hAnsi="Aptos" w:eastAsia="Aptos"/>
          <w:sz w:val="18"/>
        </w:rPr>
        <w:t>DTI from 45.01% to 48% may be considered only through the controlled exception bands defined in CEP-006 and PLU-011.</w:t>
      </w:r>
    </w:p>
    <w:p>
      <w:pPr>
        <w:spacing w:after="46"/>
        <w:ind w:left="259" w:hanging="173"/>
      </w:pPr>
      <w:r>
        <w:rPr>
          <w:rFonts w:ascii="Aptos" w:hAnsi="Aptos" w:eastAsia="Aptos"/>
          <w:b/>
          <w:color w:val="2F5597"/>
          <w:sz w:val="18"/>
        </w:rPr>
        <w:t xml:space="preserve">• </w:t>
      </w:r>
      <w:r>
        <w:rPr>
          <w:rFonts w:ascii="Aptos" w:hAnsi="Aptos" w:eastAsia="Aptos"/>
          <w:sz w:val="18"/>
        </w:rPr>
        <w:t>DTI above 48% is outside the normal personal-loan standard and requires at least Head of Credit Risk authority if any consideration is permitted.</w:t>
      </w:r>
    </w:p>
    <w:p>
      <w:pPr>
        <w:spacing w:after="46"/>
        <w:ind w:left="259" w:hanging="173"/>
      </w:pPr>
      <w:r>
        <w:rPr>
          <w:rFonts w:ascii="Aptos" w:hAnsi="Aptos" w:eastAsia="Aptos"/>
          <w:b/>
          <w:color w:val="2F5597"/>
          <w:sz w:val="18"/>
        </w:rPr>
        <w:t xml:space="preserve">• </w:t>
      </w:r>
      <w:r>
        <w:rPr>
          <w:rFonts w:ascii="Aptos" w:hAnsi="Aptos" w:eastAsia="Aptos"/>
          <w:sz w:val="18"/>
        </w:rPr>
        <w:t>Personal-loan FOIR above 50% requires heightened review; above 55% is outside standard retail appetite.</w:t>
      </w:r>
    </w:p>
    <w:p>
      <w:pPr>
        <w:spacing w:after="46"/>
        <w:ind w:left="259" w:hanging="173"/>
      </w:pPr>
      <w:r>
        <w:rPr>
          <w:rFonts w:ascii="Aptos" w:hAnsi="Aptos" w:eastAsia="Aptos"/>
          <w:b/>
          <w:color w:val="2F5597"/>
          <w:sz w:val="18"/>
        </w:rPr>
        <w:t xml:space="preserve">• </w:t>
      </w:r>
      <w:r>
        <w:rPr>
          <w:rFonts w:ascii="Aptos" w:hAnsi="Aptos" w:eastAsia="Aptos"/>
          <w:sz w:val="18"/>
        </w:rPr>
        <w:t>Material omitted obligations shall be added to the calculation and may trigger a fraud or conduct review where omission appears deliberate.</w:t>
      </w:r>
    </w:p>
    <w:p>
      <w:pPr>
        <w:spacing w:after="46"/>
        <w:ind w:left="259" w:hanging="173"/>
      </w:pPr>
      <w:r>
        <w:rPr>
          <w:rFonts w:ascii="Aptos" w:hAnsi="Aptos" w:eastAsia="Aptos"/>
          <w:b/>
          <w:color w:val="2F5597"/>
          <w:sz w:val="18"/>
        </w:rPr>
        <w:t xml:space="preserve">• </w:t>
      </w:r>
      <w:r>
        <w:rPr>
          <w:rFonts w:ascii="Aptos" w:hAnsi="Aptos" w:eastAsia="Aptos"/>
          <w:sz w:val="18"/>
        </w:rPr>
        <w:t>Where DTI and FOIR lead to different conclusions, the more conservative affordability outcome shall ordinarily govern.</w:t>
      </w:r>
    </w:p>
    <w:p>
      <w:pPr>
        <w:pStyle w:val="Heading2"/>
      </w:pPr>
      <w:r>
        <w:t>Records and control evidence</w:t>
      </w:r>
    </w:p>
    <w:p>
      <w:pPr>
        <w:spacing w:after="46"/>
        <w:ind w:left="259" w:hanging="173"/>
      </w:pPr>
      <w:r>
        <w:rPr>
          <w:rFonts w:ascii="Aptos" w:hAnsi="Aptos" w:eastAsia="Aptos"/>
          <w:b/>
          <w:color w:val="2F5597"/>
          <w:sz w:val="18"/>
        </w:rPr>
        <w:t xml:space="preserve">• </w:t>
      </w:r>
      <w:r>
        <w:rPr>
          <w:rFonts w:ascii="Aptos" w:hAnsi="Aptos" w:eastAsia="Aptos"/>
          <w:sz w:val="18"/>
        </w:rPr>
        <w:t>Calculation sheet; obligation reconciliation; exception ID where relevant; source documents.</w:t>
      </w:r>
    </w:p>
    <w:p>
      <w:pPr>
        <w:pStyle w:val="Heading1"/>
      </w:pPr>
      <w:r>
        <w:t>10. Secured Lending, Collateral and LTV</w:t>
      </w:r>
    </w:p>
    <w:p>
      <w:pPr>
        <w:spacing w:after="80"/>
        <w:keepLines/>
      </w:pPr>
      <w:r>
        <w:t>Secured lending shall consider both the borrower's repayment ability and the realizable support provided by collateral. Collateral is a secondary source of repayment and shall not justify otherwise unsustainable lending.</w:t>
      </w:r>
    </w:p>
    <w:p>
      <w:pPr>
        <w:spacing w:after="80"/>
        <w:keepLines/>
      </w:pPr>
      <w:r>
        <w:t>Credit Risk expects documented judgement, clear ownership and evidence that can be reconstructed after the decision. The requirements in this section apply unless a documented product rule, approved exception, or later effective instruction expressly provides otherwise.</w:t>
      </w:r>
    </w:p>
    <w:p>
      <w:pPr>
        <w:spacing w:after="40"/>
      </w:pPr>
      <w:r>
        <w:rPr>
          <w:rFonts w:ascii="Aptos" w:hAnsi="Aptos" w:eastAsia="Aptos"/>
          <w:b/>
          <w:color w:val="17365D"/>
          <w:sz w:val="18"/>
        </w:rPr>
        <w:t>Control requirements</w:t>
      </w:r>
    </w:p>
    <w:p>
      <w:pPr>
        <w:spacing w:after="46"/>
        <w:ind w:left="259" w:hanging="173"/>
      </w:pPr>
      <w:r>
        <w:rPr>
          <w:rFonts w:ascii="Aptos" w:hAnsi="Aptos" w:eastAsia="Aptos"/>
          <w:b/>
          <w:color w:val="2F5597"/>
          <w:sz w:val="18"/>
        </w:rPr>
        <w:t xml:space="preserve">• </w:t>
      </w:r>
      <w:r>
        <w:rPr>
          <w:rFonts w:ascii="Aptos" w:hAnsi="Aptos" w:eastAsia="Aptos"/>
          <w:sz w:val="18"/>
        </w:rPr>
        <w:t>General secured-lending LTV shall not exceed 80% unless a more restrictive product or collateral rule applies.</w:t>
      </w:r>
    </w:p>
    <w:p>
      <w:pPr>
        <w:spacing w:after="46"/>
        <w:ind w:left="259" w:hanging="173"/>
      </w:pPr>
      <w:r>
        <w:rPr>
          <w:rFonts w:ascii="Aptos" w:hAnsi="Aptos" w:eastAsia="Aptos"/>
          <w:b/>
          <w:color w:val="2F5597"/>
          <w:sz w:val="18"/>
        </w:rPr>
        <w:t xml:space="preserve">• </w:t>
      </w:r>
      <w:r>
        <w:rPr>
          <w:rFonts w:ascii="Aptos" w:hAnsi="Aptos" w:eastAsia="Aptos"/>
          <w:sz w:val="18"/>
        </w:rPr>
        <w:t>Higher-risk property categories are capped at 70%; specifically approved intermediate-risk categories may permit 75%.</w:t>
      </w:r>
    </w:p>
    <w:p>
      <w:pPr>
        <w:spacing w:after="46"/>
        <w:ind w:left="259" w:hanging="173"/>
      </w:pPr>
      <w:r>
        <w:rPr>
          <w:rFonts w:ascii="Aptos" w:hAnsi="Aptos" w:eastAsia="Aptos"/>
          <w:b/>
          <w:color w:val="2F5597"/>
          <w:sz w:val="18"/>
        </w:rPr>
        <w:t xml:space="preserve">• </w:t>
      </w:r>
      <w:r>
        <w:rPr>
          <w:rFonts w:ascii="Aptos" w:hAnsi="Aptos" w:eastAsia="Aptos"/>
          <w:sz w:val="18"/>
        </w:rPr>
        <w:t>Used-vehicle finance is normally capped at 75% of approved valuation; new-vehicle finance may permit up to 85% of eligible value under product rules.</w:t>
      </w:r>
    </w:p>
    <w:p>
      <w:pPr>
        <w:spacing w:after="46"/>
        <w:ind w:left="259" w:hanging="173"/>
      </w:pPr>
      <w:r>
        <w:rPr>
          <w:rFonts w:ascii="Aptos" w:hAnsi="Aptos" w:eastAsia="Aptos"/>
          <w:b/>
          <w:color w:val="2F5597"/>
          <w:sz w:val="18"/>
        </w:rPr>
        <w:t xml:space="preserve">• </w:t>
      </w:r>
      <w:r>
        <w:rPr>
          <w:rFonts w:ascii="Aptos" w:hAnsi="Aptos" w:eastAsia="Aptos"/>
          <w:sz w:val="18"/>
        </w:rPr>
        <w:t>Valuations must be current within the applicable procedure's permitted age and completed by an approved valuer where required.</w:t>
      </w:r>
    </w:p>
    <w:p>
      <w:pPr>
        <w:spacing w:after="46"/>
        <w:ind w:left="259" w:hanging="173"/>
      </w:pPr>
      <w:r>
        <w:rPr>
          <w:rFonts w:ascii="Aptos" w:hAnsi="Aptos" w:eastAsia="Aptos"/>
          <w:b/>
          <w:color w:val="2F5597"/>
          <w:sz w:val="18"/>
        </w:rPr>
        <w:t xml:space="preserve">• </w:t>
      </w:r>
      <w:r>
        <w:rPr>
          <w:rFonts w:ascii="Aptos" w:hAnsi="Aptos" w:eastAsia="Aptos"/>
          <w:sz w:val="18"/>
        </w:rPr>
        <w:t>Insurance, lien, charge or security documentation shall be completed before or as a controlled condition of disbursement according to LDP-013.</w:t>
      </w:r>
    </w:p>
    <w:p>
      <w:pPr>
        <w:pStyle w:val="Heading2"/>
      </w:pPr>
      <w:r>
        <w:t>Records and control evidence</w:t>
      </w:r>
    </w:p>
    <w:p>
      <w:pPr>
        <w:spacing w:after="46"/>
        <w:ind w:left="259" w:hanging="173"/>
      </w:pPr>
      <w:r>
        <w:rPr>
          <w:rFonts w:ascii="Aptos" w:hAnsi="Aptos" w:eastAsia="Aptos"/>
          <w:b/>
          <w:color w:val="2F5597"/>
          <w:sz w:val="18"/>
        </w:rPr>
        <w:t xml:space="preserve">• </w:t>
      </w:r>
      <w:r>
        <w:rPr>
          <w:rFonts w:ascii="Aptos" w:hAnsi="Aptos" w:eastAsia="Aptos"/>
          <w:sz w:val="18"/>
        </w:rPr>
        <w:t>Valuation report; collateral checklist; LTV calculation; insurance/security evidence.</w:t>
      </w:r>
    </w:p>
    <w:p>
      <w:r>
        <w:br w:type="page"/>
      </w:r>
    </w:p>
    <w:p>
      <w:pPr>
        <w:pStyle w:val="Heading1"/>
      </w:pPr>
      <w:r>
        <w:t>11. Exposure and Concentration Limits</w:t>
      </w:r>
    </w:p>
    <w:p>
      <w:pPr>
        <w:spacing w:after="80"/>
        <w:keepLines/>
      </w:pPr>
      <w:r>
        <w:t>Northstar shall manage credit risk at borrower, connected group, product, sourcing-channel, geography and industry levels. Concentration triggers are designed to prompt review before a portfolio becomes dependent on a narrow segment.</w:t>
      </w:r>
    </w:p>
    <w:p>
      <w:pPr>
        <w:spacing w:after="80"/>
        <w:keepLines/>
      </w:pPr>
      <w:r>
        <w:t>Credit Risk expects documented judgement, clear ownership and evidence that can be reconstructed after the decision. The requirements in this section apply unless a documented product rule, approved exception, or later effective instruction expressly provides otherwise.</w:t>
      </w:r>
    </w:p>
    <w:p>
      <w:pPr>
        <w:spacing w:after="40"/>
      </w:pPr>
      <w:r>
        <w:rPr>
          <w:rFonts w:ascii="Aptos" w:hAnsi="Aptos" w:eastAsia="Aptos"/>
          <w:b/>
          <w:color w:val="17365D"/>
          <w:sz w:val="18"/>
        </w:rPr>
        <w:t>Control requirements</w:t>
      </w:r>
    </w:p>
    <w:p>
      <w:pPr>
        <w:spacing w:after="46"/>
        <w:ind w:left="259" w:hanging="173"/>
      </w:pPr>
      <w:r>
        <w:rPr>
          <w:rFonts w:ascii="Aptos" w:hAnsi="Aptos" w:eastAsia="Aptos"/>
          <w:b/>
          <w:color w:val="2F5597"/>
          <w:sz w:val="18"/>
        </w:rPr>
        <w:t xml:space="preserve">• </w:t>
      </w:r>
      <w:r>
        <w:rPr>
          <w:rFonts w:ascii="Aptos" w:hAnsi="Aptos" w:eastAsia="Aptos"/>
          <w:sz w:val="18"/>
        </w:rPr>
        <w:t>Aggregate retail exposure above ₹50 lakh to a single customer requires CRO concurrence unless a product-specific secured program sets a different approved route.</w:t>
      </w:r>
    </w:p>
    <w:p>
      <w:pPr>
        <w:spacing w:after="46"/>
        <w:ind w:left="259" w:hanging="173"/>
      </w:pPr>
      <w:r>
        <w:rPr>
          <w:rFonts w:ascii="Aptos" w:hAnsi="Aptos" w:eastAsia="Aptos"/>
          <w:b/>
          <w:color w:val="2F5597"/>
          <w:sz w:val="18"/>
        </w:rPr>
        <w:t xml:space="preserve">• </w:t>
      </w:r>
      <w:r>
        <w:rPr>
          <w:rFonts w:ascii="Aptos" w:hAnsi="Aptos" w:eastAsia="Aptos"/>
          <w:sz w:val="18"/>
        </w:rPr>
        <w:t>Aggregate SME group exposure above ₹5 crore requires Credit Risk Committee consideration.</w:t>
      </w:r>
    </w:p>
    <w:p>
      <w:pPr>
        <w:spacing w:after="46"/>
        <w:ind w:left="259" w:hanging="173"/>
      </w:pPr>
      <w:r>
        <w:rPr>
          <w:rFonts w:ascii="Aptos" w:hAnsi="Aptos" w:eastAsia="Aptos"/>
          <w:b/>
          <w:color w:val="2F5597"/>
          <w:sz w:val="18"/>
        </w:rPr>
        <w:t xml:space="preserve">• </w:t>
      </w:r>
      <w:r>
        <w:rPr>
          <w:rFonts w:ascii="Aptos" w:hAnsi="Aptos" w:eastAsia="Aptos"/>
          <w:sz w:val="18"/>
        </w:rPr>
        <w:t>A single sourcing partner contributing more than 15% of quarterly new originations triggers channel-concentration review.</w:t>
      </w:r>
    </w:p>
    <w:p>
      <w:pPr>
        <w:spacing w:after="46"/>
        <w:ind w:left="259" w:hanging="173"/>
      </w:pPr>
      <w:r>
        <w:rPr>
          <w:rFonts w:ascii="Aptos" w:hAnsi="Aptos" w:eastAsia="Aptos"/>
          <w:b/>
          <w:color w:val="2F5597"/>
          <w:sz w:val="18"/>
        </w:rPr>
        <w:t xml:space="preserve">• </w:t>
      </w:r>
      <w:r>
        <w:rPr>
          <w:rFonts w:ascii="Aptos" w:hAnsi="Aptos" w:eastAsia="Aptos"/>
          <w:sz w:val="18"/>
        </w:rPr>
        <w:t>Unsecured exposure to a single district exceeding 10% of the relevant portfolio triggers management review.</w:t>
      </w:r>
    </w:p>
    <w:p>
      <w:pPr>
        <w:spacing w:after="46"/>
        <w:ind w:left="259" w:hanging="173"/>
      </w:pPr>
      <w:r>
        <w:rPr>
          <w:rFonts w:ascii="Aptos" w:hAnsi="Aptos" w:eastAsia="Aptos"/>
          <w:b/>
          <w:color w:val="2F5597"/>
          <w:sz w:val="18"/>
        </w:rPr>
        <w:t xml:space="preserve">• </w:t>
      </w:r>
      <w:r>
        <w:rPr>
          <w:rFonts w:ascii="Aptos" w:hAnsi="Aptos" w:eastAsia="Aptos"/>
          <w:sz w:val="18"/>
        </w:rPr>
        <w:t>Exposure to an internally designated high-risk SME industry exceeding 7.5% of SME funded exposure requires a documented risk response.</w:t>
      </w:r>
    </w:p>
    <w:p>
      <w:pPr>
        <w:spacing w:after="46"/>
        <w:ind w:left="259" w:hanging="173"/>
      </w:pPr>
      <w:r>
        <w:rPr>
          <w:rFonts w:ascii="Aptos" w:hAnsi="Aptos" w:eastAsia="Aptos"/>
          <w:b/>
          <w:color w:val="2F5597"/>
          <w:sz w:val="18"/>
        </w:rPr>
        <w:t xml:space="preserve">• </w:t>
      </w:r>
      <w:r>
        <w:rPr>
          <w:rFonts w:ascii="Aptos" w:hAnsi="Aptos" w:eastAsia="Aptos"/>
          <w:sz w:val="18"/>
        </w:rPr>
        <w:t>Concentration triggers are monitoring limits and do not by themselves create delegated authority.</w:t>
      </w:r>
    </w:p>
    <w:p>
      <w:pPr>
        <w:pStyle w:val="Heading2"/>
      </w:pPr>
      <w:r>
        <w:t>Records and control evidence</w:t>
      </w:r>
    </w:p>
    <w:p>
      <w:pPr>
        <w:spacing w:after="46"/>
        <w:ind w:left="259" w:hanging="173"/>
      </w:pPr>
      <w:r>
        <w:rPr>
          <w:rFonts w:ascii="Aptos" w:hAnsi="Aptos" w:eastAsia="Aptos"/>
          <w:b/>
          <w:color w:val="2F5597"/>
          <w:sz w:val="18"/>
        </w:rPr>
        <w:t xml:space="preserve">• </w:t>
      </w:r>
      <w:r>
        <w:rPr>
          <w:rFonts w:ascii="Aptos" w:hAnsi="Aptos" w:eastAsia="Aptos"/>
          <w:sz w:val="18"/>
        </w:rPr>
        <w:t>Exposure aggregation report; concentration dashboard; limit review minutes; approved response plan.</w:t>
      </w:r>
    </w:p>
    <w:p>
      <w:pPr>
        <w:pStyle w:val="Heading1"/>
      </w:pPr>
      <w:r>
        <w:t>12. Product-Level Credit Parameters</w:t>
      </w:r>
    </w:p>
    <w:p>
      <w:pPr>
        <w:spacing w:after="80"/>
        <w:keepLines/>
      </w:pPr>
      <w:r>
        <w:t>Product procedures translate enterprise risk appetite into operational eligibility, amount, tenor and score bands. Those procedures may be more conservative than this Policy where the product's risk profile warrants it.</w:t>
      </w:r>
    </w:p>
    <w:p>
      <w:pPr>
        <w:spacing w:after="80"/>
        <w:keepLines/>
      </w:pPr>
      <w:r>
        <w:t>Credit Risk expects documented judgement, clear ownership and evidence that can be reconstructed after the decision. The requirements in this section apply unless a documented product rule, approved exception, or later effective instruction expressly provides otherwise.</w:t>
      </w:r>
    </w:p>
    <w:p>
      <w:pPr>
        <w:spacing w:after="40"/>
      </w:pPr>
      <w:r>
        <w:rPr>
          <w:rFonts w:ascii="Aptos" w:hAnsi="Aptos" w:eastAsia="Aptos"/>
          <w:b/>
          <w:color w:val="17365D"/>
          <w:sz w:val="18"/>
        </w:rPr>
        <w:t>Control requirements</w:t>
      </w:r>
    </w:p>
    <w:p>
      <w:pPr>
        <w:spacing w:after="46"/>
        <w:ind w:left="259" w:hanging="173"/>
      </w:pPr>
      <w:r>
        <w:rPr>
          <w:rFonts w:ascii="Aptos" w:hAnsi="Aptos" w:eastAsia="Aptos"/>
          <w:b/>
          <w:color w:val="2F5597"/>
          <w:sz w:val="18"/>
        </w:rPr>
        <w:t xml:space="preserve">• </w:t>
      </w:r>
      <w:r>
        <w:rPr>
          <w:rFonts w:ascii="Aptos" w:hAnsi="Aptos" w:eastAsia="Aptos"/>
          <w:sz w:val="18"/>
        </w:rPr>
        <w:t>Standard unsecured personal loans are capped at ₹20 lakh unless a separately approved program states otherwise.</w:t>
      </w:r>
    </w:p>
    <w:p>
      <w:pPr>
        <w:spacing w:after="46"/>
        <w:ind w:left="259" w:hanging="173"/>
      </w:pPr>
      <w:r>
        <w:rPr>
          <w:rFonts w:ascii="Aptos" w:hAnsi="Aptos" w:eastAsia="Aptos"/>
          <w:b/>
          <w:color w:val="2F5597"/>
          <w:sz w:val="18"/>
        </w:rPr>
        <w:t xml:space="preserve">• </w:t>
      </w:r>
      <w:r>
        <w:rPr>
          <w:rFonts w:ascii="Aptos" w:hAnsi="Aptos" w:eastAsia="Aptos"/>
          <w:sz w:val="18"/>
        </w:rPr>
        <w:t>Vehicle-finance approval authority is lower than general retail authority at selected role levels, as set out in CDAS-007.</w:t>
      </w:r>
    </w:p>
    <w:p>
      <w:pPr>
        <w:spacing w:after="46"/>
        <w:ind w:left="259" w:hanging="173"/>
      </w:pPr>
      <w:r>
        <w:rPr>
          <w:rFonts w:ascii="Aptos" w:hAnsi="Aptos" w:eastAsia="Aptos"/>
          <w:b/>
          <w:color w:val="2F5597"/>
          <w:sz w:val="18"/>
        </w:rPr>
        <w:t xml:space="preserve">• </w:t>
      </w:r>
      <w:r>
        <w:rPr>
          <w:rFonts w:ascii="Aptos" w:hAnsi="Aptos" w:eastAsia="Aptos"/>
          <w:sz w:val="18"/>
        </w:rPr>
        <w:t>SME products may use additional leverage, banking-turnover and industry criteria not applicable to retail borrowers.</w:t>
      </w:r>
    </w:p>
    <w:p>
      <w:pPr>
        <w:spacing w:after="46"/>
        <w:ind w:left="259" w:hanging="173"/>
      </w:pPr>
      <w:r>
        <w:rPr>
          <w:rFonts w:ascii="Aptos" w:hAnsi="Aptos" w:eastAsia="Aptos"/>
          <w:b/>
          <w:color w:val="2F5597"/>
          <w:sz w:val="18"/>
        </w:rPr>
        <w:t xml:space="preserve">• </w:t>
      </w:r>
      <w:r>
        <w:rPr>
          <w:rFonts w:ascii="Aptos" w:hAnsi="Aptos" w:eastAsia="Aptos"/>
          <w:sz w:val="18"/>
        </w:rPr>
        <w:t>Secured products may apply different LTV caps by collateral type and location risk.</w:t>
      </w:r>
    </w:p>
    <w:p>
      <w:pPr>
        <w:spacing w:after="46"/>
        <w:ind w:left="259" w:hanging="173"/>
      </w:pPr>
      <w:r>
        <w:rPr>
          <w:rFonts w:ascii="Aptos" w:hAnsi="Aptos" w:eastAsia="Aptos"/>
          <w:b/>
          <w:color w:val="2F5597"/>
          <w:sz w:val="18"/>
        </w:rPr>
        <w:t xml:space="preserve">• </w:t>
      </w:r>
      <w:r>
        <w:rPr>
          <w:rFonts w:ascii="Aptos" w:hAnsi="Aptos" w:eastAsia="Aptos"/>
          <w:sz w:val="18"/>
        </w:rPr>
        <w:t>A product team may not loosen a Board-approved enterprise limit solely through an operating memo or system configuration.</w:t>
      </w:r>
    </w:p>
    <w:p>
      <w:pPr>
        <w:pStyle w:val="Heading2"/>
      </w:pPr>
      <w:r>
        <w:t>Records and control evidence</w:t>
      </w:r>
    </w:p>
    <w:p>
      <w:pPr>
        <w:spacing w:after="46"/>
        <w:ind w:left="259" w:hanging="173"/>
      </w:pPr>
      <w:r>
        <w:rPr>
          <w:rFonts w:ascii="Aptos" w:hAnsi="Aptos" w:eastAsia="Aptos"/>
          <w:b/>
          <w:color w:val="2F5597"/>
          <w:sz w:val="18"/>
        </w:rPr>
        <w:t xml:space="preserve">• </w:t>
      </w:r>
      <w:r>
        <w:rPr>
          <w:rFonts w:ascii="Aptos" w:hAnsi="Aptos" w:eastAsia="Aptos"/>
          <w:sz w:val="18"/>
        </w:rPr>
        <w:t>Product program note; approved procedure; parameter change record; system configuration evidence.</w:t>
      </w:r>
    </w:p>
    <w:p>
      <w:r>
        <w:br w:type="page"/>
      </w:r>
    </w:p>
    <w:p>
      <w:pPr>
        <w:pStyle w:val="Heading1"/>
      </w:pPr>
      <w:r>
        <w:t>13. Credit Approval and Delegated Authority</w:t>
      </w:r>
    </w:p>
    <w:p>
      <w:pPr>
        <w:spacing w:after="80"/>
        <w:keepLines/>
      </w:pPr>
      <w:r>
        <w:t>Credit decisions must be made by an officer or committee holding sufficient delegated authority for the product, amount, risk grade and exception status. Authority is personal to the designated role and remains subject to restrictions stated in CDAS-007.</w:t>
      </w:r>
    </w:p>
    <w:p>
      <w:pPr>
        <w:spacing w:after="80"/>
        <w:keepLines/>
      </w:pPr>
      <w:r>
        <w:t>Credit Risk expects documented judgement, clear ownership and evidence that can be reconstructed after the decision. The requirements in this section apply unless a documented product rule, approved exception, or later effective instruction expressly provides otherwise.</w:t>
      </w:r>
    </w:p>
    <w:p>
      <w:pPr>
        <w:spacing w:after="40"/>
      </w:pPr>
      <w:r>
        <w:rPr>
          <w:rFonts w:ascii="Aptos" w:hAnsi="Aptos" w:eastAsia="Aptos"/>
          <w:b/>
          <w:color w:val="17365D"/>
          <w:sz w:val="18"/>
        </w:rPr>
        <w:t>Control requirements</w:t>
      </w:r>
    </w:p>
    <w:p>
      <w:pPr>
        <w:spacing w:after="46"/>
        <w:ind w:left="259" w:hanging="173"/>
      </w:pPr>
      <w:r>
        <w:rPr>
          <w:rFonts w:ascii="Aptos" w:hAnsi="Aptos" w:eastAsia="Aptos"/>
          <w:b/>
          <w:color w:val="2F5597"/>
          <w:sz w:val="18"/>
        </w:rPr>
        <w:t xml:space="preserve">• </w:t>
      </w:r>
      <w:r>
        <w:rPr>
          <w:rFonts w:ascii="Aptos" w:hAnsi="Aptos" w:eastAsia="Aptos"/>
          <w:sz w:val="18"/>
        </w:rPr>
        <w:t>CA1 may approve standard personal loans up to ₹10 lakh but is limited to ₹8 lakh for new-vehicle finance, ₹6 lakh for used-vehicle finance and ₹5 lakh for SME lending.</w:t>
      </w:r>
    </w:p>
    <w:p>
      <w:pPr>
        <w:spacing w:after="46"/>
        <w:ind w:left="259" w:hanging="173"/>
      </w:pPr>
      <w:r>
        <w:rPr>
          <w:rFonts w:ascii="Aptos" w:hAnsi="Aptos" w:eastAsia="Aptos"/>
          <w:b/>
          <w:color w:val="2F5597"/>
          <w:sz w:val="18"/>
        </w:rPr>
        <w:t xml:space="preserve">• </w:t>
      </w:r>
      <w:r>
        <w:rPr>
          <w:rFonts w:ascii="Aptos" w:hAnsi="Aptos" w:eastAsia="Aptos"/>
          <w:sz w:val="18"/>
        </w:rPr>
        <w:t>CA2 may approve standard personal loans up to ₹20 lakh; higher amounts require progressively senior authority even if system access permits entry.</w:t>
      </w:r>
    </w:p>
    <w:p>
      <w:pPr>
        <w:spacing w:after="46"/>
        <w:ind w:left="259" w:hanging="173"/>
      </w:pPr>
      <w:r>
        <w:rPr>
          <w:rFonts w:ascii="Aptos" w:hAnsi="Aptos" w:eastAsia="Aptos"/>
          <w:b/>
          <w:color w:val="2F5597"/>
          <w:sz w:val="18"/>
        </w:rPr>
        <w:t xml:space="preserve">• </w:t>
      </w:r>
      <w:r>
        <w:rPr>
          <w:rFonts w:ascii="Aptos" w:hAnsi="Aptos" w:eastAsia="Aptos"/>
          <w:sz w:val="18"/>
        </w:rPr>
        <w:t>Risk Grade 4 and material exceptions may require higher authority than the monetary amount alone would indicate.</w:t>
      </w:r>
    </w:p>
    <w:p>
      <w:pPr>
        <w:spacing w:after="46"/>
        <w:ind w:left="259" w:hanging="173"/>
      </w:pPr>
      <w:r>
        <w:rPr>
          <w:rFonts w:ascii="Aptos" w:hAnsi="Aptos" w:eastAsia="Aptos"/>
          <w:b/>
          <w:color w:val="2F5597"/>
          <w:sz w:val="18"/>
        </w:rPr>
        <w:t xml:space="preserve">• </w:t>
      </w:r>
      <w:r>
        <w:rPr>
          <w:rFonts w:ascii="Aptos" w:hAnsi="Aptos" w:eastAsia="Aptos"/>
          <w:sz w:val="18"/>
        </w:rPr>
        <w:t>An approver shall not approve a case where the approver has an unmanaged conflict of interest or participated in prohibited self-review.</w:t>
      </w:r>
    </w:p>
    <w:p>
      <w:pPr>
        <w:spacing w:after="46"/>
        <w:ind w:left="259" w:hanging="173"/>
      </w:pPr>
      <w:r>
        <w:rPr>
          <w:rFonts w:ascii="Aptos" w:hAnsi="Aptos" w:eastAsia="Aptos"/>
          <w:b/>
          <w:color w:val="2F5597"/>
          <w:sz w:val="18"/>
        </w:rPr>
        <w:t xml:space="preserve">• </w:t>
      </w:r>
      <w:r>
        <w:rPr>
          <w:rFonts w:ascii="Aptos" w:hAnsi="Aptos" w:eastAsia="Aptos"/>
          <w:sz w:val="18"/>
        </w:rPr>
        <w:t>Temporary delegations must be formally recorded and cannot exceed the grantor's own authority.</w:t>
      </w:r>
    </w:p>
    <w:p>
      <w:pPr>
        <w:pStyle w:val="Heading2"/>
      </w:pPr>
      <w:r>
        <w:t>Records and control evidence</w:t>
      </w:r>
    </w:p>
    <w:p>
      <w:pPr>
        <w:spacing w:after="46"/>
        <w:ind w:left="259" w:hanging="173"/>
      </w:pPr>
      <w:r>
        <w:rPr>
          <w:rFonts w:ascii="Aptos" w:hAnsi="Aptos" w:eastAsia="Aptos"/>
          <w:b/>
          <w:color w:val="2F5597"/>
          <w:sz w:val="18"/>
        </w:rPr>
        <w:t xml:space="preserve">• </w:t>
      </w:r>
      <w:r>
        <w:rPr>
          <w:rFonts w:ascii="Aptos" w:hAnsi="Aptos" w:eastAsia="Aptos"/>
          <w:sz w:val="18"/>
        </w:rPr>
        <w:t>Approval record; authority schedule version; conflict declaration where relevant; temporary-delegation record.</w:t>
      </w:r>
    </w:p>
    <w:p>
      <w:pPr>
        <w:pStyle w:val="Heading1"/>
      </w:pPr>
      <w:r>
        <w:t>14. Credit Exceptions, Overrides and Manual Underwriting</w:t>
      </w:r>
    </w:p>
    <w:p>
      <w:pPr>
        <w:spacing w:after="80"/>
        <w:keepLines/>
      </w:pPr>
      <w:r>
        <w:t>An exception is a conscious departure from a stated credit rule; an override is a change to a system-generated outcome within an approved judgement framework. Both require transparent rationale and traceability.</w:t>
      </w:r>
    </w:p>
    <w:p>
      <w:pPr>
        <w:spacing w:after="80"/>
        <w:keepLines/>
      </w:pPr>
      <w:r>
        <w:t>Credit Risk expects documented judgement, clear ownership and evidence that can be reconstructed after the decision. The requirements in this section apply unless a documented product rule, approved exception, or later effective instruction expressly provides otherwise.</w:t>
      </w:r>
    </w:p>
    <w:p>
      <w:pPr>
        <w:spacing w:after="40"/>
      </w:pPr>
      <w:r>
        <w:rPr>
          <w:rFonts w:ascii="Aptos" w:hAnsi="Aptos" w:eastAsia="Aptos"/>
          <w:b/>
          <w:color w:val="17365D"/>
          <w:sz w:val="18"/>
        </w:rPr>
        <w:t>Control requirements</w:t>
      </w:r>
    </w:p>
    <w:p>
      <w:pPr>
        <w:spacing w:after="46"/>
        <w:ind w:left="259" w:hanging="173"/>
      </w:pPr>
      <w:r>
        <w:rPr>
          <w:rFonts w:ascii="Aptos" w:hAnsi="Aptos" w:eastAsia="Aptos"/>
          <w:b/>
          <w:color w:val="2F5597"/>
          <w:sz w:val="18"/>
        </w:rPr>
        <w:t xml:space="preserve">• </w:t>
      </w:r>
      <w:r>
        <w:rPr>
          <w:rFonts w:ascii="Aptos" w:hAnsi="Aptos" w:eastAsia="Aptos"/>
          <w:sz w:val="18"/>
        </w:rPr>
        <w:t>Exceptions shall be approved prospectively under CEP-006; retrospective approval does not cure an already executed policy breach.</w:t>
      </w:r>
    </w:p>
    <w:p>
      <w:pPr>
        <w:spacing w:after="46"/>
        <w:ind w:left="259" w:hanging="173"/>
      </w:pPr>
      <w:r>
        <w:rPr>
          <w:rFonts w:ascii="Aptos" w:hAnsi="Aptos" w:eastAsia="Aptos"/>
          <w:b/>
          <w:color w:val="2F5597"/>
          <w:sz w:val="18"/>
        </w:rPr>
        <w:t xml:space="preserve">• </w:t>
      </w:r>
      <w:r>
        <w:rPr>
          <w:rFonts w:ascii="Aptos" w:hAnsi="Aptos" w:eastAsia="Aptos"/>
          <w:sz w:val="18"/>
        </w:rPr>
        <w:t>Repeated exceptions for the same rule or sourcing channel shall be analyzed for pattern and may trigger product-policy review.</w:t>
      </w:r>
    </w:p>
    <w:p>
      <w:pPr>
        <w:spacing w:after="46"/>
        <w:ind w:left="259" w:hanging="173"/>
      </w:pPr>
      <w:r>
        <w:rPr>
          <w:rFonts w:ascii="Aptos" w:hAnsi="Aptos" w:eastAsia="Aptos"/>
          <w:b/>
          <w:color w:val="2F5597"/>
          <w:sz w:val="18"/>
        </w:rPr>
        <w:t xml:space="preserve">• </w:t>
      </w:r>
      <w:r>
        <w:rPr>
          <w:rFonts w:ascii="Aptos" w:hAnsi="Aptos" w:eastAsia="Aptos"/>
          <w:sz w:val="18"/>
        </w:rPr>
        <w:t>Compensating factors must be specific to the borrower or structure and shall not consist solely of sales importance or relationship value.</w:t>
      </w:r>
    </w:p>
    <w:p>
      <w:pPr>
        <w:spacing w:after="46"/>
        <w:ind w:left="259" w:hanging="173"/>
      </w:pPr>
      <w:r>
        <w:rPr>
          <w:rFonts w:ascii="Aptos" w:hAnsi="Aptos" w:eastAsia="Aptos"/>
          <w:b/>
          <w:color w:val="2F5597"/>
          <w:sz w:val="18"/>
        </w:rPr>
        <w:t xml:space="preserve">• </w:t>
      </w:r>
      <w:r>
        <w:rPr>
          <w:rFonts w:ascii="Aptos" w:hAnsi="Aptos" w:eastAsia="Aptos"/>
          <w:sz w:val="18"/>
        </w:rPr>
        <w:t>Manual underwriting is mandatory where the applicable score, DTI, discrepancy or fraud trigger falls outside straight-through criteria.</w:t>
      </w:r>
    </w:p>
    <w:p>
      <w:pPr>
        <w:spacing w:after="46"/>
        <w:ind w:left="259" w:hanging="173"/>
      </w:pPr>
      <w:r>
        <w:rPr>
          <w:rFonts w:ascii="Aptos" w:hAnsi="Aptos" w:eastAsia="Aptos"/>
          <w:b/>
          <w:color w:val="2F5597"/>
          <w:sz w:val="18"/>
        </w:rPr>
        <w:t xml:space="preserve">• </w:t>
      </w:r>
      <w:r>
        <w:rPr>
          <w:rFonts w:ascii="Aptos" w:hAnsi="Aptos" w:eastAsia="Aptos"/>
          <w:sz w:val="18"/>
        </w:rPr>
        <w:t>An override shall record the original outcome, final outcome, reason and approving officer.</w:t>
      </w:r>
    </w:p>
    <w:p>
      <w:pPr>
        <w:pStyle w:val="Heading2"/>
      </w:pPr>
      <w:r>
        <w:t>Records and control evidence</w:t>
      </w:r>
    </w:p>
    <w:p>
      <w:pPr>
        <w:spacing w:after="46"/>
        <w:ind w:left="259" w:hanging="173"/>
      </w:pPr>
      <w:r>
        <w:rPr>
          <w:rFonts w:ascii="Aptos" w:hAnsi="Aptos" w:eastAsia="Aptos"/>
          <w:b/>
          <w:color w:val="2F5597"/>
          <w:sz w:val="18"/>
        </w:rPr>
        <w:t xml:space="preserve">• </w:t>
      </w:r>
      <w:r>
        <w:rPr>
          <w:rFonts w:ascii="Aptos" w:hAnsi="Aptos" w:eastAsia="Aptos"/>
          <w:sz w:val="18"/>
        </w:rPr>
        <w:t>Exception request; compensating-factor evidence; override log; trend report.</w:t>
      </w:r>
    </w:p>
    <w:p>
      <w:r>
        <w:br w:type="page"/>
      </w:r>
    </w:p>
    <w:p>
      <w:pPr>
        <w:pStyle w:val="Heading1"/>
      </w:pPr>
      <w:r>
        <w:t>15. Credit Scoring and Model Risk</w:t>
      </w:r>
    </w:p>
    <w:p>
      <w:pPr>
        <w:spacing w:after="80"/>
        <w:keepLines/>
      </w:pPr>
      <w:r>
        <w:t>Credit scoring tools may support eligibility, pricing, prioritization and automated decisions, but accountable business and risk owners remain responsible for approved use, limitations and override controls.</w:t>
      </w:r>
    </w:p>
    <w:p>
      <w:pPr>
        <w:spacing w:after="80"/>
        <w:keepLines/>
      </w:pPr>
      <w:r>
        <w:t>Credit Risk expects documented judgement, clear ownership and evidence that can be reconstructed after the decision. The requirements in this section apply unless a documented product rule, approved exception, or later effective instruction expressly provides otherwise.</w:t>
      </w:r>
    </w:p>
    <w:p>
      <w:pPr>
        <w:spacing w:after="40"/>
      </w:pPr>
      <w:r>
        <w:rPr>
          <w:rFonts w:ascii="Aptos" w:hAnsi="Aptos" w:eastAsia="Aptos"/>
          <w:b/>
          <w:color w:val="17365D"/>
          <w:sz w:val="18"/>
        </w:rPr>
        <w:t>Control requirements</w:t>
      </w:r>
    </w:p>
    <w:p>
      <w:pPr>
        <w:spacing w:after="46"/>
        <w:ind w:left="259" w:hanging="173"/>
      </w:pPr>
      <w:r>
        <w:rPr>
          <w:rFonts w:ascii="Aptos" w:hAnsi="Aptos" w:eastAsia="Aptos"/>
          <w:b/>
          <w:color w:val="2F5597"/>
          <w:sz w:val="18"/>
        </w:rPr>
        <w:t xml:space="preserve">• </w:t>
      </w:r>
      <w:r>
        <w:rPr>
          <w:rFonts w:ascii="Aptos" w:hAnsi="Aptos" w:eastAsia="Aptos"/>
          <w:sz w:val="18"/>
        </w:rPr>
        <w:t>Only approved model or rule-set versions may be used for production decisions.</w:t>
      </w:r>
    </w:p>
    <w:p>
      <w:pPr>
        <w:spacing w:after="46"/>
        <w:ind w:left="259" w:hanging="173"/>
      </w:pPr>
      <w:r>
        <w:rPr>
          <w:rFonts w:ascii="Aptos" w:hAnsi="Aptos" w:eastAsia="Aptos"/>
          <w:b/>
          <w:color w:val="2F5597"/>
          <w:sz w:val="18"/>
        </w:rPr>
        <w:t xml:space="preserve">• </w:t>
      </w:r>
      <w:r>
        <w:rPr>
          <w:rFonts w:ascii="Aptos" w:hAnsi="Aptos" w:eastAsia="Aptos"/>
          <w:sz w:val="18"/>
        </w:rPr>
        <w:t>Material model performance deterioration, unstable population shift or unexplained score behavior shall be escalated to the designated model-risk owner.</w:t>
      </w:r>
    </w:p>
    <w:p>
      <w:pPr>
        <w:spacing w:after="46"/>
        <w:ind w:left="259" w:hanging="173"/>
      </w:pPr>
      <w:r>
        <w:rPr>
          <w:rFonts w:ascii="Aptos" w:hAnsi="Aptos" w:eastAsia="Aptos"/>
          <w:b/>
          <w:color w:val="2F5597"/>
          <w:sz w:val="18"/>
        </w:rPr>
        <w:t xml:space="preserve">• </w:t>
      </w:r>
      <w:r>
        <w:rPr>
          <w:rFonts w:ascii="Aptos" w:hAnsi="Aptos" w:eastAsia="Aptos"/>
          <w:sz w:val="18"/>
        </w:rPr>
        <w:t>Where an automated decision is unavailable or invalid, the fallback must be the documented manual process rather than an improvised approximation.</w:t>
      </w:r>
    </w:p>
    <w:p>
      <w:pPr>
        <w:spacing w:after="46"/>
        <w:ind w:left="259" w:hanging="173"/>
      </w:pPr>
      <w:r>
        <w:rPr>
          <w:rFonts w:ascii="Aptos" w:hAnsi="Aptos" w:eastAsia="Aptos"/>
          <w:b/>
          <w:color w:val="2F5597"/>
          <w:sz w:val="18"/>
        </w:rPr>
        <w:t xml:space="preserve">• </w:t>
      </w:r>
      <w:r>
        <w:rPr>
          <w:rFonts w:ascii="Aptos" w:hAnsi="Aptos" w:eastAsia="Aptos"/>
          <w:sz w:val="18"/>
        </w:rPr>
        <w:t>Score cutoffs shall be implemented consistently with the effective product procedure; stale system rules shall be treated as an operational incident.</w:t>
      </w:r>
    </w:p>
    <w:p>
      <w:pPr>
        <w:spacing w:after="46"/>
        <w:ind w:left="259" w:hanging="173"/>
      </w:pPr>
      <w:r>
        <w:rPr>
          <w:rFonts w:ascii="Aptos" w:hAnsi="Aptos" w:eastAsia="Aptos"/>
          <w:b/>
          <w:color w:val="2F5597"/>
          <w:sz w:val="18"/>
        </w:rPr>
        <w:t xml:space="preserve">• </w:t>
      </w:r>
      <w:r>
        <w:rPr>
          <w:rFonts w:ascii="Aptos" w:hAnsi="Aptos" w:eastAsia="Aptos"/>
          <w:sz w:val="18"/>
        </w:rPr>
        <w:t>Manual overrides shall be separately monitored for approval rate and subsequent performance.</w:t>
      </w:r>
    </w:p>
    <w:p>
      <w:pPr>
        <w:pStyle w:val="Heading2"/>
      </w:pPr>
      <w:r>
        <w:t>Records and control evidence</w:t>
      </w:r>
    </w:p>
    <w:p>
      <w:pPr>
        <w:spacing w:after="46"/>
        <w:ind w:left="259" w:hanging="173"/>
      </w:pPr>
      <w:r>
        <w:rPr>
          <w:rFonts w:ascii="Aptos" w:hAnsi="Aptos" w:eastAsia="Aptos"/>
          <w:b/>
          <w:color w:val="2F5597"/>
          <w:sz w:val="18"/>
        </w:rPr>
        <w:t xml:space="preserve">• </w:t>
      </w:r>
      <w:r>
        <w:rPr>
          <w:rFonts w:ascii="Aptos" w:hAnsi="Aptos" w:eastAsia="Aptos"/>
          <w:sz w:val="18"/>
        </w:rPr>
        <w:t>Model/version identifier; decision reason codes; monitoring report; override analysis.</w:t>
      </w:r>
    </w:p>
    <w:p>
      <w:pPr>
        <w:pStyle w:val="Heading1"/>
      </w:pPr>
      <w:r>
        <w:t>16. Early Warning Indicators, Watchlist and DPD</w:t>
      </w:r>
    </w:p>
    <w:p>
      <w:pPr>
        <w:spacing w:after="80"/>
        <w:keepLines/>
      </w:pPr>
      <w:r>
        <w:t>Credit deterioration shall be identified using payment behavior, bureau changes, account conduct, customer events and portfolio indicators. Early warning is intended to prompt timely action before loss severity increases.</w:t>
      </w:r>
    </w:p>
    <w:p>
      <w:pPr>
        <w:spacing w:after="80"/>
        <w:keepLines/>
      </w:pPr>
      <w:r>
        <w:t>Credit Risk expects documented judgement, clear ownership and evidence that can be reconstructed after the decision. The requirements in this section apply unless a documented product rule, approved exception, or later effective instruction expressly provides otherwise.</w:t>
      </w:r>
    </w:p>
    <w:p>
      <w:pPr>
        <w:spacing w:after="40"/>
      </w:pPr>
      <w:r>
        <w:rPr>
          <w:rFonts w:ascii="Aptos" w:hAnsi="Aptos" w:eastAsia="Aptos"/>
          <w:b/>
          <w:color w:val="17365D"/>
          <w:sz w:val="18"/>
        </w:rPr>
        <w:t>Control requirements</w:t>
      </w:r>
    </w:p>
    <w:p>
      <w:pPr>
        <w:spacing w:after="46"/>
        <w:ind w:left="259" w:hanging="173"/>
      </w:pPr>
      <w:r>
        <w:rPr>
          <w:rFonts w:ascii="Aptos" w:hAnsi="Aptos" w:eastAsia="Aptos"/>
          <w:b/>
          <w:color w:val="2F5597"/>
          <w:sz w:val="18"/>
        </w:rPr>
        <w:t xml:space="preserve">• </w:t>
      </w:r>
      <w:r>
        <w:rPr>
          <w:rFonts w:ascii="Aptos" w:hAnsi="Aptos" w:eastAsia="Aptos"/>
          <w:sz w:val="18"/>
        </w:rPr>
        <w:t>1–29 DPD shall be monitored for early delinquency patterns and repeated missed-payment behavior.</w:t>
      </w:r>
    </w:p>
    <w:p>
      <w:pPr>
        <w:spacing w:after="46"/>
        <w:ind w:left="259" w:hanging="173"/>
      </w:pPr>
      <w:r>
        <w:rPr>
          <w:rFonts w:ascii="Aptos" w:hAnsi="Aptos" w:eastAsia="Aptos"/>
          <w:b/>
          <w:color w:val="2F5597"/>
          <w:sz w:val="18"/>
        </w:rPr>
        <w:t xml:space="preserve">• </w:t>
      </w:r>
      <w:r>
        <w:rPr>
          <w:rFonts w:ascii="Aptos" w:hAnsi="Aptos" w:eastAsia="Aptos"/>
          <w:sz w:val="18"/>
        </w:rPr>
        <w:t>30–59 DPD requires intensified collections coordination and review of exposure where further drawdown is possible.</w:t>
      </w:r>
    </w:p>
    <w:p>
      <w:pPr>
        <w:spacing w:after="46"/>
        <w:ind w:left="259" w:hanging="173"/>
      </w:pPr>
      <w:r>
        <w:rPr>
          <w:rFonts w:ascii="Aptos" w:hAnsi="Aptos" w:eastAsia="Aptos"/>
          <w:b/>
          <w:color w:val="2F5597"/>
          <w:sz w:val="18"/>
        </w:rPr>
        <w:t xml:space="preserve">• </w:t>
      </w:r>
      <w:r>
        <w:rPr>
          <w:rFonts w:ascii="Aptos" w:hAnsi="Aptos" w:eastAsia="Aptos"/>
          <w:sz w:val="18"/>
        </w:rPr>
        <w:t>60–89 DPD is a severe delinquency band for management reporting and may trigger watchlist classification.</w:t>
      </w:r>
    </w:p>
    <w:p>
      <w:pPr>
        <w:spacing w:after="46"/>
        <w:ind w:left="259" w:hanging="173"/>
      </w:pPr>
      <w:r>
        <w:rPr>
          <w:rFonts w:ascii="Aptos" w:hAnsi="Aptos" w:eastAsia="Aptos"/>
          <w:b/>
          <w:color w:val="2F5597"/>
          <w:sz w:val="18"/>
        </w:rPr>
        <w:t xml:space="preserve">• </w:t>
      </w:r>
      <w:r>
        <w:rPr>
          <w:rFonts w:ascii="Aptos" w:hAnsi="Aptos" w:eastAsia="Aptos"/>
          <w:sz w:val="18"/>
        </w:rPr>
        <w:t>90+ DPD is treated as default-level deterioration for internal portfolio management unless a specific product rule requires earlier classification.</w:t>
      </w:r>
    </w:p>
    <w:p>
      <w:pPr>
        <w:spacing w:after="46"/>
        <w:ind w:left="259" w:hanging="173"/>
      </w:pPr>
      <w:r>
        <w:rPr>
          <w:rFonts w:ascii="Aptos" w:hAnsi="Aptos" w:eastAsia="Aptos"/>
          <w:b/>
          <w:color w:val="2F5597"/>
          <w:sz w:val="18"/>
        </w:rPr>
        <w:t xml:space="preserve">• </w:t>
      </w:r>
      <w:r>
        <w:rPr>
          <w:rFonts w:ascii="Aptos" w:hAnsi="Aptos" w:eastAsia="Aptos"/>
          <w:sz w:val="18"/>
        </w:rPr>
        <w:t>Material adverse bureau events, suspected fraud or insolvency indicators can place a borrower on watchlist before payment delinquency occurs.</w:t>
      </w:r>
    </w:p>
    <w:p>
      <w:pPr>
        <w:pStyle w:val="Heading2"/>
      </w:pPr>
      <w:r>
        <w:t>Records and control evidence</w:t>
      </w:r>
    </w:p>
    <w:p>
      <w:pPr>
        <w:spacing w:after="46"/>
        <w:ind w:left="259" w:hanging="173"/>
      </w:pPr>
      <w:r>
        <w:rPr>
          <w:rFonts w:ascii="Aptos" w:hAnsi="Aptos" w:eastAsia="Aptos"/>
          <w:b/>
          <w:color w:val="2F5597"/>
          <w:sz w:val="18"/>
        </w:rPr>
        <w:t xml:space="preserve">• </w:t>
      </w:r>
      <w:r>
        <w:rPr>
          <w:rFonts w:ascii="Aptos" w:hAnsi="Aptos" w:eastAsia="Aptos"/>
          <w:sz w:val="18"/>
        </w:rPr>
        <w:t>DPD aging report; watchlist record; action owner; review date; collections handover.</w:t>
      </w:r>
    </w:p>
    <w:p>
      <w:r>
        <w:br w:type="page"/>
      </w:r>
    </w:p>
    <w:p>
      <w:pPr>
        <w:pStyle w:val="Heading1"/>
      </w:pPr>
      <w:r>
        <w:t>17. Portfolio Monitoring and Stress Testing</w:t>
      </w:r>
    </w:p>
    <w:p>
      <w:pPr>
        <w:spacing w:after="80"/>
        <w:keepLines/>
      </w:pPr>
      <w:r>
        <w:t>Credit Risk shall monitor portfolio performance by product, vintage, score band, source, geography, risk grade and exception status. Monitoring shall distinguish expected seasonal movement from sustained deterioration.</w:t>
      </w:r>
    </w:p>
    <w:p>
      <w:pPr>
        <w:spacing w:after="80"/>
        <w:keepLines/>
      </w:pPr>
      <w:r>
        <w:t>Credit Risk expects documented judgement, clear ownership and evidence that can be reconstructed after the decision. The requirements in this section apply unless a documented product rule, approved exception, or later effective instruction expressly provides otherwise.</w:t>
      </w:r>
    </w:p>
    <w:p>
      <w:pPr>
        <w:spacing w:after="40"/>
      </w:pPr>
      <w:r>
        <w:rPr>
          <w:rFonts w:ascii="Aptos" w:hAnsi="Aptos" w:eastAsia="Aptos"/>
          <w:b/>
          <w:color w:val="17365D"/>
          <w:sz w:val="18"/>
        </w:rPr>
        <w:t>Control requirements</w:t>
      </w:r>
    </w:p>
    <w:p>
      <w:pPr>
        <w:spacing w:after="46"/>
        <w:ind w:left="259" w:hanging="173"/>
      </w:pPr>
      <w:r>
        <w:rPr>
          <w:rFonts w:ascii="Aptos" w:hAnsi="Aptos" w:eastAsia="Aptos"/>
          <w:b/>
          <w:color w:val="2F5597"/>
          <w:sz w:val="18"/>
        </w:rPr>
        <w:t xml:space="preserve">• </w:t>
      </w:r>
      <w:r>
        <w:rPr>
          <w:rFonts w:ascii="Aptos" w:hAnsi="Aptos" w:eastAsia="Aptos"/>
          <w:sz w:val="18"/>
        </w:rPr>
        <w:t>Monthly monitoring shall include approval rates, early delinquency, roll rates, loss indicators, exception rates and concentration measures.</w:t>
      </w:r>
    </w:p>
    <w:p>
      <w:pPr>
        <w:spacing w:after="46"/>
        <w:ind w:left="259" w:hanging="173"/>
      </w:pPr>
      <w:r>
        <w:rPr>
          <w:rFonts w:ascii="Aptos" w:hAnsi="Aptos" w:eastAsia="Aptos"/>
          <w:b/>
          <w:color w:val="2F5597"/>
          <w:sz w:val="18"/>
        </w:rPr>
        <w:t xml:space="preserve">• </w:t>
      </w:r>
      <w:r>
        <w:rPr>
          <w:rFonts w:ascii="Aptos" w:hAnsi="Aptos" w:eastAsia="Aptos"/>
          <w:sz w:val="18"/>
        </w:rPr>
        <w:t>Stress tests shall consider plausible deterioration in income, unemployment, collateral values, interest burden or sector conditions relevant to the portfolio.</w:t>
      </w:r>
    </w:p>
    <w:p>
      <w:pPr>
        <w:spacing w:after="46"/>
        <w:ind w:left="259" w:hanging="173"/>
      </w:pPr>
      <w:r>
        <w:rPr>
          <w:rFonts w:ascii="Aptos" w:hAnsi="Aptos" w:eastAsia="Aptos"/>
          <w:b/>
          <w:color w:val="2F5597"/>
          <w:sz w:val="18"/>
        </w:rPr>
        <w:t xml:space="preserve">• </w:t>
      </w:r>
      <w:r>
        <w:rPr>
          <w:rFonts w:ascii="Aptos" w:hAnsi="Aptos" w:eastAsia="Aptos"/>
          <w:sz w:val="18"/>
        </w:rPr>
        <w:t>Where a trigger is breached, management shall document whether it will tighten policy, reduce exposure, increase monitoring or accept temporary deviation.</w:t>
      </w:r>
    </w:p>
    <w:p>
      <w:pPr>
        <w:spacing w:after="46"/>
        <w:ind w:left="259" w:hanging="173"/>
      </w:pPr>
      <w:r>
        <w:rPr>
          <w:rFonts w:ascii="Aptos" w:hAnsi="Aptos" w:eastAsia="Aptos"/>
          <w:b/>
          <w:color w:val="2F5597"/>
          <w:sz w:val="18"/>
        </w:rPr>
        <w:t xml:space="preserve">• </w:t>
      </w:r>
      <w:r>
        <w:rPr>
          <w:rFonts w:ascii="Aptos" w:hAnsi="Aptos" w:eastAsia="Aptos"/>
          <w:sz w:val="18"/>
        </w:rPr>
        <w:t>Exception cohorts shall be compared with standard-book performance at a frequency proportionate to volume.</w:t>
      </w:r>
    </w:p>
    <w:p>
      <w:pPr>
        <w:spacing w:after="46"/>
        <w:ind w:left="259" w:hanging="173"/>
      </w:pPr>
      <w:r>
        <w:rPr>
          <w:rFonts w:ascii="Aptos" w:hAnsi="Aptos" w:eastAsia="Aptos"/>
          <w:b/>
          <w:color w:val="2F5597"/>
          <w:sz w:val="18"/>
        </w:rPr>
        <w:t xml:space="preserve">• </w:t>
      </w:r>
      <w:r>
        <w:rPr>
          <w:rFonts w:ascii="Aptos" w:hAnsi="Aptos" w:eastAsia="Aptos"/>
          <w:sz w:val="18"/>
        </w:rPr>
        <w:t>Material findings shall be reported to the appropriate risk committee.</w:t>
      </w:r>
    </w:p>
    <w:p>
      <w:pPr>
        <w:pStyle w:val="Heading2"/>
      </w:pPr>
      <w:r>
        <w:t>Records and control evidence</w:t>
      </w:r>
    </w:p>
    <w:p>
      <w:pPr>
        <w:spacing w:after="46"/>
        <w:ind w:left="259" w:hanging="173"/>
      </w:pPr>
      <w:r>
        <w:rPr>
          <w:rFonts w:ascii="Aptos" w:hAnsi="Aptos" w:eastAsia="Aptos"/>
          <w:b/>
          <w:color w:val="2F5597"/>
          <w:sz w:val="18"/>
        </w:rPr>
        <w:t xml:space="preserve">• </w:t>
      </w:r>
      <w:r>
        <w:rPr>
          <w:rFonts w:ascii="Aptos" w:hAnsi="Aptos" w:eastAsia="Aptos"/>
          <w:sz w:val="18"/>
        </w:rPr>
        <w:t>Portfolio pack; stress-test assumptions; management action log; committee reporting.</w:t>
      </w:r>
    </w:p>
    <w:p>
      <w:pPr>
        <w:pStyle w:val="Heading1"/>
      </w:pPr>
      <w:r>
        <w:t>18. NPA Management and Collections Escalation</w:t>
      </w:r>
    </w:p>
    <w:p>
      <w:pPr>
        <w:spacing w:after="80"/>
        <w:keepLines/>
      </w:pPr>
      <w:r>
        <w:t>Accounts showing sustained delinquency or loss indicators shall move into enhanced servicing, collections or recovery according to product processes. Credit Risk retains oversight of portfolio classification and emerging loss themes.</w:t>
      </w:r>
    </w:p>
    <w:p>
      <w:pPr>
        <w:spacing w:after="80"/>
        <w:keepLines/>
      </w:pPr>
      <w:r>
        <w:t>Credit Risk expects documented judgement, clear ownership and evidence that can be reconstructed after the decision. The requirements in this section apply unless a documented product rule, approved exception, or later effective instruction expressly provides otherwise.</w:t>
      </w:r>
    </w:p>
    <w:p>
      <w:pPr>
        <w:spacing w:after="40"/>
      </w:pPr>
      <w:r>
        <w:rPr>
          <w:rFonts w:ascii="Aptos" w:hAnsi="Aptos" w:eastAsia="Aptos"/>
          <w:b/>
          <w:color w:val="17365D"/>
          <w:sz w:val="18"/>
        </w:rPr>
        <w:t>Control requirements</w:t>
      </w:r>
    </w:p>
    <w:p>
      <w:pPr>
        <w:spacing w:after="46"/>
        <w:ind w:left="259" w:hanging="173"/>
      </w:pPr>
      <w:r>
        <w:rPr>
          <w:rFonts w:ascii="Aptos" w:hAnsi="Aptos" w:eastAsia="Aptos"/>
          <w:b/>
          <w:color w:val="2F5597"/>
          <w:sz w:val="18"/>
        </w:rPr>
        <w:t xml:space="preserve">• </w:t>
      </w:r>
      <w:r>
        <w:rPr>
          <w:rFonts w:ascii="Aptos" w:hAnsi="Aptos" w:eastAsia="Aptos"/>
          <w:sz w:val="18"/>
        </w:rPr>
        <w:t>Further lending to materially delinquent customers is prohibited unless a formal restructuring or recovery strategy has been approved.</w:t>
      </w:r>
    </w:p>
    <w:p>
      <w:pPr>
        <w:spacing w:after="46"/>
        <w:ind w:left="259" w:hanging="173"/>
      </w:pPr>
      <w:r>
        <w:rPr>
          <w:rFonts w:ascii="Aptos" w:hAnsi="Aptos" w:eastAsia="Aptos"/>
          <w:b/>
          <w:color w:val="2F5597"/>
          <w:sz w:val="18"/>
        </w:rPr>
        <w:t xml:space="preserve">• </w:t>
      </w:r>
      <w:r>
        <w:rPr>
          <w:rFonts w:ascii="Aptos" w:hAnsi="Aptos" w:eastAsia="Aptos"/>
          <w:sz w:val="18"/>
        </w:rPr>
        <w:t>Collections treatment shall not change the original decision record or remove evidence of prior policy exceptions.</w:t>
      </w:r>
    </w:p>
    <w:p>
      <w:pPr>
        <w:spacing w:after="46"/>
        <w:ind w:left="259" w:hanging="173"/>
      </w:pPr>
      <w:r>
        <w:rPr>
          <w:rFonts w:ascii="Aptos" w:hAnsi="Aptos" w:eastAsia="Aptos"/>
          <w:b/>
          <w:color w:val="2F5597"/>
          <w:sz w:val="18"/>
        </w:rPr>
        <w:t xml:space="preserve">• </w:t>
      </w:r>
      <w:r>
        <w:rPr>
          <w:rFonts w:ascii="Aptos" w:hAnsi="Aptos" w:eastAsia="Aptos"/>
          <w:sz w:val="18"/>
        </w:rPr>
        <w:t>Collateral revaluation may be required where recoverability becomes material and the prior valuation is no longer reliable.</w:t>
      </w:r>
    </w:p>
    <w:p>
      <w:pPr>
        <w:spacing w:after="46"/>
        <w:ind w:left="259" w:hanging="173"/>
      </w:pPr>
      <w:r>
        <w:rPr>
          <w:rFonts w:ascii="Aptos" w:hAnsi="Aptos" w:eastAsia="Aptos"/>
          <w:b/>
          <w:color w:val="2F5597"/>
          <w:sz w:val="18"/>
        </w:rPr>
        <w:t xml:space="preserve">• </w:t>
      </w:r>
      <w:r>
        <w:rPr>
          <w:rFonts w:ascii="Aptos" w:hAnsi="Aptos" w:eastAsia="Aptos"/>
          <w:sz w:val="18"/>
        </w:rPr>
        <w:t>Recoveries, settlements and write-off recommendations shall follow separate approval authorities.</w:t>
      </w:r>
    </w:p>
    <w:p>
      <w:pPr>
        <w:spacing w:after="46"/>
        <w:ind w:left="259" w:hanging="173"/>
      </w:pPr>
      <w:r>
        <w:rPr>
          <w:rFonts w:ascii="Aptos" w:hAnsi="Aptos" w:eastAsia="Aptos"/>
          <w:b/>
          <w:color w:val="2F5597"/>
          <w:sz w:val="18"/>
        </w:rPr>
        <w:t xml:space="preserve">• </w:t>
      </w:r>
      <w:r>
        <w:rPr>
          <w:rFonts w:ascii="Aptos" w:hAnsi="Aptos" w:eastAsia="Aptos"/>
          <w:sz w:val="18"/>
        </w:rPr>
        <w:t>Risk reporting shall identify material cure, roll-forward and recovery trends.</w:t>
      </w:r>
    </w:p>
    <w:p>
      <w:pPr>
        <w:pStyle w:val="Heading2"/>
      </w:pPr>
      <w:r>
        <w:t>Records and control evidence</w:t>
      </w:r>
    </w:p>
    <w:p>
      <w:pPr>
        <w:spacing w:after="46"/>
        <w:ind w:left="259" w:hanging="173"/>
      </w:pPr>
      <w:r>
        <w:rPr>
          <w:rFonts w:ascii="Aptos" w:hAnsi="Aptos" w:eastAsia="Aptos"/>
          <w:b/>
          <w:color w:val="2F5597"/>
          <w:sz w:val="18"/>
        </w:rPr>
        <w:t xml:space="preserve">• </w:t>
      </w:r>
      <w:r>
        <w:rPr>
          <w:rFonts w:ascii="Aptos" w:hAnsi="Aptos" w:eastAsia="Aptos"/>
          <w:sz w:val="18"/>
        </w:rPr>
        <w:t>Collections status; recovery strategy; restructuring approval; portfolio classification; loss analysis.</w:t>
      </w:r>
    </w:p>
    <w:p>
      <w:r>
        <w:br w:type="page"/>
      </w:r>
    </w:p>
    <w:p>
      <w:pPr>
        <w:pStyle w:val="Heading1"/>
      </w:pPr>
      <w:r>
        <w:t>19. Policy Breaches, Audit and Record Retention</w:t>
      </w:r>
    </w:p>
    <w:p>
      <w:pPr>
        <w:spacing w:after="80"/>
        <w:keepLines/>
      </w:pPr>
      <w:r>
        <w:t>A policy breach occurs where a requirement was not met and no valid approval or permitted exception existed at the relevant time. Breaches must remain distinguishable from properly approved exceptions.</w:t>
      </w:r>
    </w:p>
    <w:p>
      <w:pPr>
        <w:spacing w:after="80"/>
        <w:keepLines/>
      </w:pPr>
      <w:r>
        <w:t>Credit Risk expects documented judgement, clear ownership and evidence that can be reconstructed after the decision. The requirements in this section apply unless a documented product rule, approved exception, or later effective instruction expressly provides otherwise.</w:t>
      </w:r>
    </w:p>
    <w:p>
      <w:pPr>
        <w:spacing w:after="40"/>
      </w:pPr>
      <w:r>
        <w:rPr>
          <w:rFonts w:ascii="Aptos" w:hAnsi="Aptos" w:eastAsia="Aptos"/>
          <w:b/>
          <w:color w:val="17365D"/>
          <w:sz w:val="18"/>
        </w:rPr>
        <w:t>Control requirements</w:t>
      </w:r>
    </w:p>
    <w:p>
      <w:pPr>
        <w:spacing w:after="46"/>
        <w:ind w:left="259" w:hanging="173"/>
      </w:pPr>
      <w:r>
        <w:rPr>
          <w:rFonts w:ascii="Aptos" w:hAnsi="Aptos" w:eastAsia="Aptos"/>
          <w:b/>
          <w:color w:val="2F5597"/>
          <w:sz w:val="18"/>
        </w:rPr>
        <w:t xml:space="preserve">• </w:t>
      </w:r>
      <w:r>
        <w:rPr>
          <w:rFonts w:ascii="Aptos" w:hAnsi="Aptos" w:eastAsia="Aptos"/>
          <w:sz w:val="18"/>
        </w:rPr>
        <w:t>Breaches shall be recorded promptly with root cause, customer impact, financial exposure and remediation owner.</w:t>
      </w:r>
    </w:p>
    <w:p>
      <w:pPr>
        <w:spacing w:after="46"/>
        <w:ind w:left="259" w:hanging="173"/>
      </w:pPr>
      <w:r>
        <w:rPr>
          <w:rFonts w:ascii="Aptos" w:hAnsi="Aptos" w:eastAsia="Aptos"/>
          <w:b/>
          <w:color w:val="2F5597"/>
          <w:sz w:val="18"/>
        </w:rPr>
        <w:t xml:space="preserve">• </w:t>
      </w:r>
      <w:r>
        <w:rPr>
          <w:rFonts w:ascii="Aptos" w:hAnsi="Aptos" w:eastAsia="Aptos"/>
          <w:sz w:val="18"/>
        </w:rPr>
        <w:t>A retrospective management endorsement may determine remediation but shall not relabel the event as a timely exception.</w:t>
      </w:r>
    </w:p>
    <w:p>
      <w:pPr>
        <w:spacing w:after="46"/>
        <w:ind w:left="259" w:hanging="173"/>
      </w:pPr>
      <w:r>
        <w:rPr>
          <w:rFonts w:ascii="Aptos" w:hAnsi="Aptos" w:eastAsia="Aptos"/>
          <w:b/>
          <w:color w:val="2F5597"/>
          <w:sz w:val="18"/>
        </w:rPr>
        <w:t xml:space="preserve">• </w:t>
      </w:r>
      <w:r>
        <w:rPr>
          <w:rFonts w:ascii="Aptos" w:hAnsi="Aptos" w:eastAsia="Aptos"/>
          <w:sz w:val="18"/>
        </w:rPr>
        <w:t>Credit records shall be retained for the period specified in Northstar's internal retention schedule and legal hold process.</w:t>
      </w:r>
    </w:p>
    <w:p>
      <w:pPr>
        <w:spacing w:after="46"/>
        <w:ind w:left="259" w:hanging="173"/>
      </w:pPr>
      <w:r>
        <w:rPr>
          <w:rFonts w:ascii="Aptos" w:hAnsi="Aptos" w:eastAsia="Aptos"/>
          <w:b/>
          <w:color w:val="2F5597"/>
          <w:sz w:val="18"/>
        </w:rPr>
        <w:t xml:space="preserve">• </w:t>
      </w:r>
      <w:r>
        <w:rPr>
          <w:rFonts w:ascii="Aptos" w:hAnsi="Aptos" w:eastAsia="Aptos"/>
          <w:sz w:val="18"/>
        </w:rPr>
        <w:t>Internal Audit and Compliance may access decision evidence, authority records and exception data without business-owner filtering.</w:t>
      </w:r>
    </w:p>
    <w:p>
      <w:pPr>
        <w:spacing w:after="46"/>
        <w:ind w:left="259" w:hanging="173"/>
      </w:pPr>
      <w:r>
        <w:rPr>
          <w:rFonts w:ascii="Aptos" w:hAnsi="Aptos" w:eastAsia="Aptos"/>
          <w:b/>
          <w:color w:val="2F5597"/>
          <w:sz w:val="18"/>
        </w:rPr>
        <w:t xml:space="preserve">• </w:t>
      </w:r>
      <w:r>
        <w:rPr>
          <w:rFonts w:ascii="Aptos" w:hAnsi="Aptos" w:eastAsia="Aptos"/>
          <w:sz w:val="18"/>
        </w:rPr>
        <w:t>System or workflow defects that cause repeated breaches shall be escalated as operational-risk issues in addition to credit-risk treatment.</w:t>
      </w:r>
    </w:p>
    <w:p>
      <w:pPr>
        <w:pStyle w:val="Heading2"/>
      </w:pPr>
      <w:r>
        <w:t>Records and control evidence</w:t>
      </w:r>
    </w:p>
    <w:p>
      <w:pPr>
        <w:spacing w:after="46"/>
        <w:ind w:left="259" w:hanging="173"/>
      </w:pPr>
      <w:r>
        <w:rPr>
          <w:rFonts w:ascii="Aptos" w:hAnsi="Aptos" w:eastAsia="Aptos"/>
          <w:b/>
          <w:color w:val="2F5597"/>
          <w:sz w:val="18"/>
        </w:rPr>
        <w:t xml:space="preserve">• </w:t>
      </w:r>
      <w:r>
        <w:rPr>
          <w:rFonts w:ascii="Aptos" w:hAnsi="Aptos" w:eastAsia="Aptos"/>
          <w:sz w:val="18"/>
        </w:rPr>
        <w:t>Breach register; remediation plan; audit evidence; retention record; system incident reference.</w:t>
      </w:r>
    </w:p>
    <w:p>
      <w:pPr>
        <w:pStyle w:val="Heading1"/>
      </w:pPr>
      <w:r>
        <w:t>20. Governance, Effective Dates and Transitional Provisions</w:t>
      </w:r>
    </w:p>
    <w:p>
      <w:pPr>
        <w:spacing w:after="80"/>
        <w:keepLines/>
      </w:pPr>
      <w:r>
        <w:t>This version takes effect on 1 April 2025. Decisions must generally apply the rule set in force when final credit approval is granted, except where an approved transition provision explicitly protects an earlier application population.</w:t>
      </w:r>
    </w:p>
    <w:p>
      <w:pPr>
        <w:spacing w:after="80"/>
        <w:keepLines/>
      </w:pPr>
      <w:r>
        <w:t>Credit Risk expects documented judgement, clear ownership and evidence that can be reconstructed after the decision. The requirements in this section apply unless a documented product rule, approved exception, or later effective instruction expressly provides otherwise.</w:t>
      </w:r>
    </w:p>
    <w:p>
      <w:pPr>
        <w:spacing w:after="40"/>
      </w:pPr>
      <w:r>
        <w:rPr>
          <w:rFonts w:ascii="Aptos" w:hAnsi="Aptos" w:eastAsia="Aptos"/>
          <w:b/>
          <w:color w:val="17365D"/>
          <w:sz w:val="18"/>
        </w:rPr>
        <w:t>Control requirements</w:t>
      </w:r>
    </w:p>
    <w:p>
      <w:pPr>
        <w:spacing w:after="46"/>
        <w:ind w:left="259" w:hanging="173"/>
      </w:pPr>
      <w:r>
        <w:rPr>
          <w:rFonts w:ascii="Aptos" w:hAnsi="Aptos" w:eastAsia="Aptos"/>
          <w:b/>
          <w:color w:val="2F5597"/>
          <w:sz w:val="18"/>
        </w:rPr>
        <w:t xml:space="preserve">• </w:t>
      </w:r>
      <w:r>
        <w:rPr>
          <w:rFonts w:ascii="Aptos" w:hAnsi="Aptos" w:eastAsia="Aptos"/>
          <w:sz w:val="18"/>
        </w:rPr>
        <w:t>Applications first submitted before 1 April 2025 may use the prior 50% personal-loan DTI limit only where submission time is evidenced and final approval occurred no later than 31 May 2025.</w:t>
      </w:r>
    </w:p>
    <w:p>
      <w:pPr>
        <w:spacing w:after="46"/>
        <w:ind w:left="259" w:hanging="173"/>
      </w:pPr>
      <w:r>
        <w:rPr>
          <w:rFonts w:ascii="Aptos" w:hAnsi="Aptos" w:eastAsia="Aptos"/>
          <w:b/>
          <w:color w:val="2F5597"/>
          <w:sz w:val="18"/>
        </w:rPr>
        <w:t xml:space="preserve">• </w:t>
      </w:r>
      <w:r>
        <w:rPr>
          <w:rFonts w:ascii="Aptos" w:hAnsi="Aptos" w:eastAsia="Aptos"/>
          <w:sz w:val="18"/>
        </w:rPr>
        <w:t>The transition does not permit a pre-1 April application to avoid new fraud, identity or material adverse-information controls identified before disbursement.</w:t>
      </w:r>
    </w:p>
    <w:p>
      <w:pPr>
        <w:spacing w:after="46"/>
        <w:ind w:left="259" w:hanging="173"/>
      </w:pPr>
      <w:r>
        <w:rPr>
          <w:rFonts w:ascii="Aptos" w:hAnsi="Aptos" w:eastAsia="Aptos"/>
          <w:b/>
          <w:color w:val="2F5597"/>
          <w:sz w:val="18"/>
        </w:rPr>
        <w:t xml:space="preserve">• </w:t>
      </w:r>
      <w:r>
        <w:rPr>
          <w:rFonts w:ascii="Aptos" w:hAnsi="Aptos" w:eastAsia="Aptos"/>
          <w:sz w:val="18"/>
        </w:rPr>
        <w:t>From 1 June 2025 all active personal-loan applications shall apply the 45% standard DTI limit unless an approved exception applies.</w:t>
      </w:r>
    </w:p>
    <w:p>
      <w:pPr>
        <w:spacing w:after="46"/>
        <w:ind w:left="259" w:hanging="173"/>
      </w:pPr>
      <w:r>
        <w:rPr>
          <w:rFonts w:ascii="Aptos" w:hAnsi="Aptos" w:eastAsia="Aptos"/>
          <w:b/>
          <w:color w:val="2F5597"/>
          <w:sz w:val="18"/>
        </w:rPr>
        <w:t xml:space="preserve">• </w:t>
      </w:r>
      <w:r>
        <w:rPr>
          <w:rFonts w:ascii="Aptos" w:hAnsi="Aptos" w:eastAsia="Aptos"/>
          <w:sz w:val="18"/>
        </w:rPr>
        <w:t>Stale system configuration showing the old 50% threshold does not create a customer entitlement or approver authority.</w:t>
      </w:r>
    </w:p>
    <w:p>
      <w:pPr>
        <w:spacing w:after="46"/>
        <w:ind w:left="259" w:hanging="173"/>
      </w:pPr>
      <w:r>
        <w:rPr>
          <w:rFonts w:ascii="Aptos" w:hAnsi="Aptos" w:eastAsia="Aptos"/>
          <w:b/>
          <w:color w:val="2F5597"/>
          <w:sz w:val="18"/>
        </w:rPr>
        <w:t xml:space="preserve">• </w:t>
      </w:r>
      <w:r>
        <w:rPr>
          <w:rFonts w:ascii="Aptos" w:hAnsi="Aptos" w:eastAsia="Aptos"/>
          <w:sz w:val="18"/>
        </w:rPr>
        <w:t>Where another controlled document still refers to the old threshold, the newer Board-approved Policy prevails unless that document contains a valid product-specific or transition rule.</w:t>
      </w:r>
    </w:p>
    <w:p>
      <w:pPr>
        <w:pStyle w:val="Heading2"/>
      </w:pPr>
      <w:r>
        <w:t>Records and control evidence</w:t>
      </w:r>
    </w:p>
    <w:p>
      <w:pPr>
        <w:spacing w:after="46"/>
        <w:ind w:left="259" w:hanging="173"/>
      </w:pPr>
      <w:r>
        <w:rPr>
          <w:rFonts w:ascii="Aptos" w:hAnsi="Aptos" w:eastAsia="Aptos"/>
          <w:b/>
          <w:color w:val="2F5597"/>
          <w:sz w:val="18"/>
        </w:rPr>
        <w:t xml:space="preserve">• </w:t>
      </w:r>
      <w:r>
        <w:rPr>
          <w:rFonts w:ascii="Aptos" w:hAnsi="Aptos" w:eastAsia="Aptos"/>
          <w:sz w:val="18"/>
        </w:rPr>
        <w:t>Application timestamp; policy/version marker; transition flag; approval date; exception reference.</w:t>
      </w:r>
    </w:p>
    <w:p>
      <w:pPr>
        <w:pStyle w:val="ControlNote"/>
      </w:pPr>
      <w:r>
        <w:rPr>
          <w:rFonts w:ascii="Aptos" w:hAnsi="Aptos" w:eastAsia="Aptos"/>
          <w:b/>
          <w:i/>
          <w:color w:val="595959"/>
          <w:sz w:val="17"/>
        </w:rPr>
        <w:t xml:space="preserve">Operational note: </w:t>
      </w:r>
      <w:r>
        <w:rPr>
          <w:rFonts w:ascii="Aptos" w:hAnsi="Aptos" w:eastAsia="Aptos"/>
          <w:b w:val="0"/>
          <w:i/>
          <w:color w:val="595959"/>
          <w:sz w:val="17"/>
        </w:rPr>
        <w:t>This transition is deliberately time-bound and is retained in the archive to explain historical decisions.</w:t>
      </w:r>
    </w:p>
    <w:p>
      <w:r>
        <w:br w:type="page"/>
      </w:r>
    </w:p>
    <w:p>
      <w:pPr>
        <w:pStyle w:val="Heading1"/>
      </w:pPr>
      <w:r>
        <w:t>Appendix A — Enterprise Risk Classification Matrix</w:t>
      </w:r>
    </w:p>
    <w:p>
      <w:r>
        <w:t>The matrix provides a common internal mapping for new-business and portfolio discussions. Product procedures may use more granular score or behavior bands.</w:t>
      </w: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2488"/>
        <w:gridCol w:w="2488"/>
        <w:gridCol w:w="2488"/>
        <w:gridCol w:w="2488"/>
      </w:tblGrid>
      <w:tr>
        <w:trPr>
          <w:tblHeader w:val="true"/>
        </w:trPr>
        <w:tc>
          <w:tcPr>
            <w:tcW w:type="dxa" w:w="1296"/>
            <w:shd w:fill="17365D"/>
            <w:tcMar>
              <w:top w:w="70" w:type="dxa"/>
              <w:start w:w="90" w:type="dxa"/>
              <w:bottom w:w="70" w:type="dxa"/>
              <w:end w:w="90" w:type="dxa"/>
            </w:tcMar>
          </w:tcPr>
          <w:p>
            <w:pPr>
              <w:spacing w:after="0"/>
            </w:pPr>
            <w:r>
              <w:rPr>
                <w:rFonts w:ascii="Aptos" w:hAnsi="Aptos" w:eastAsia="Aptos"/>
                <w:b/>
                <w:color w:val="FFFFFF"/>
                <w:sz w:val="15"/>
              </w:rPr>
              <w:t>Risk Grade</w:t>
            </w:r>
          </w:p>
        </w:tc>
        <w:tc>
          <w:tcPr>
            <w:tcW w:type="dxa" w:w="4032"/>
            <w:shd w:fill="17365D"/>
            <w:tcMar>
              <w:top w:w="70" w:type="dxa"/>
              <w:start w:w="90" w:type="dxa"/>
              <w:bottom w:w="70" w:type="dxa"/>
              <w:end w:w="90" w:type="dxa"/>
            </w:tcMar>
          </w:tcPr>
          <w:p>
            <w:pPr>
              <w:spacing w:after="0"/>
            </w:pPr>
            <w:r>
              <w:rPr>
                <w:rFonts w:ascii="Aptos" w:hAnsi="Aptos" w:eastAsia="Aptos"/>
                <w:b/>
                <w:color w:val="FFFFFF"/>
                <w:sz w:val="15"/>
              </w:rPr>
              <w:t>Indicative profile</w:t>
            </w:r>
          </w:p>
        </w:tc>
        <w:tc>
          <w:tcPr>
            <w:tcW w:type="dxa" w:w="2448"/>
            <w:shd w:fill="17365D"/>
            <w:tcMar>
              <w:top w:w="70" w:type="dxa"/>
              <w:start w:w="90" w:type="dxa"/>
              <w:bottom w:w="70" w:type="dxa"/>
              <w:end w:w="90" w:type="dxa"/>
            </w:tcMar>
          </w:tcPr>
          <w:p>
            <w:pPr>
              <w:spacing w:after="0"/>
            </w:pPr>
            <w:r>
              <w:rPr>
                <w:rFonts w:ascii="Aptos" w:hAnsi="Aptos" w:eastAsia="Aptos"/>
                <w:b/>
                <w:color w:val="FFFFFF"/>
                <w:sz w:val="15"/>
              </w:rPr>
              <w:t>New lending posture</w:t>
            </w:r>
          </w:p>
        </w:tc>
        <w:tc>
          <w:tcPr>
            <w:tcW w:type="dxa" w:w="2448"/>
            <w:shd w:fill="17365D"/>
            <w:tcMar>
              <w:top w:w="70" w:type="dxa"/>
              <w:start w:w="90" w:type="dxa"/>
              <w:bottom w:w="70" w:type="dxa"/>
              <w:end w:w="90" w:type="dxa"/>
            </w:tcMar>
          </w:tcPr>
          <w:p>
            <w:pPr>
              <w:spacing w:after="0"/>
            </w:pPr>
            <w:r>
              <w:rPr>
                <w:rFonts w:ascii="Aptos" w:hAnsi="Aptos" w:eastAsia="Aptos"/>
                <w:b/>
                <w:color w:val="FFFFFF"/>
                <w:sz w:val="15"/>
              </w:rPr>
              <w:t>Minimum treatment</w:t>
            </w:r>
          </w:p>
        </w:tc>
      </w:tr>
      <w:tr>
        <w:tc>
          <w:tcPr>
            <w:tcW w:type="dxa" w:w="1296"/>
            <w:tcMar>
              <w:top w:w="70" w:type="dxa"/>
              <w:start w:w="90" w:type="dxa"/>
              <w:bottom w:w="70" w:type="dxa"/>
              <w:end w:w="90" w:type="dxa"/>
            </w:tcMar>
            <w:vAlign w:val="center"/>
          </w:tcPr>
          <w:p>
            <w:pPr>
              <w:spacing w:after="0"/>
            </w:pPr>
            <w:r>
              <w:rPr>
                <w:rFonts w:ascii="Aptos" w:hAnsi="Aptos" w:eastAsia="Aptos"/>
                <w:sz w:val="15"/>
              </w:rPr>
              <w:t>1</w:t>
            </w:r>
          </w:p>
        </w:tc>
        <w:tc>
          <w:tcPr>
            <w:tcW w:type="dxa" w:w="4032"/>
            <w:tcMar>
              <w:top w:w="70" w:type="dxa"/>
              <w:start w:w="90" w:type="dxa"/>
              <w:bottom w:w="70" w:type="dxa"/>
              <w:end w:w="90" w:type="dxa"/>
            </w:tcMar>
            <w:vAlign w:val="center"/>
          </w:tcPr>
          <w:p>
            <w:pPr>
              <w:spacing w:after="0"/>
            </w:pPr>
            <w:r>
              <w:rPr>
                <w:rFonts w:ascii="Aptos" w:hAnsi="Aptos" w:eastAsia="Aptos"/>
                <w:sz w:val="15"/>
              </w:rPr>
              <w:t>Strong affordability; clean recent conduct; low leverage</w:t>
            </w:r>
          </w:p>
        </w:tc>
        <w:tc>
          <w:tcPr>
            <w:tcW w:type="dxa" w:w="2448"/>
            <w:tcMar>
              <w:top w:w="70" w:type="dxa"/>
              <w:start w:w="90" w:type="dxa"/>
              <w:bottom w:w="70" w:type="dxa"/>
              <w:end w:w="90" w:type="dxa"/>
            </w:tcMar>
            <w:vAlign w:val="center"/>
          </w:tcPr>
          <w:p>
            <w:pPr>
              <w:spacing w:after="0"/>
            </w:pPr>
            <w:r>
              <w:rPr>
                <w:rFonts w:ascii="Aptos" w:hAnsi="Aptos" w:eastAsia="Aptos"/>
                <w:sz w:val="15"/>
              </w:rPr>
              <w:t>Eligible subject to product rules</w:t>
            </w:r>
          </w:p>
        </w:tc>
        <w:tc>
          <w:tcPr>
            <w:tcW w:type="dxa" w:w="2448"/>
            <w:tcMar>
              <w:top w:w="70" w:type="dxa"/>
              <w:start w:w="90" w:type="dxa"/>
              <w:bottom w:w="70" w:type="dxa"/>
              <w:end w:w="90" w:type="dxa"/>
            </w:tcMar>
            <w:vAlign w:val="center"/>
          </w:tcPr>
          <w:p>
            <w:pPr>
              <w:spacing w:after="0"/>
            </w:pPr>
            <w:r>
              <w:rPr>
                <w:rFonts w:ascii="Aptos" w:hAnsi="Aptos" w:eastAsia="Aptos"/>
                <w:sz w:val="15"/>
              </w:rPr>
              <w:t>Standard controls</w:t>
            </w:r>
          </w:p>
        </w:tc>
      </w:tr>
      <w:tr>
        <w:tc>
          <w:tcPr>
            <w:tcW w:type="dxa" w:w="1296"/>
            <w:shd w:fill="F7F9FC"/>
            <w:tcMar>
              <w:top w:w="70" w:type="dxa"/>
              <w:start w:w="90" w:type="dxa"/>
              <w:bottom w:w="70" w:type="dxa"/>
              <w:end w:w="90" w:type="dxa"/>
            </w:tcMar>
            <w:vAlign w:val="center"/>
          </w:tcPr>
          <w:p>
            <w:pPr>
              <w:spacing w:after="0"/>
            </w:pPr>
            <w:r>
              <w:rPr>
                <w:rFonts w:ascii="Aptos" w:hAnsi="Aptos" w:eastAsia="Aptos"/>
                <w:sz w:val="15"/>
              </w:rPr>
              <w:t>2</w:t>
            </w:r>
          </w:p>
        </w:tc>
        <w:tc>
          <w:tcPr>
            <w:tcW w:type="dxa" w:w="4032"/>
            <w:shd w:fill="F7F9FC"/>
            <w:tcMar>
              <w:top w:w="70" w:type="dxa"/>
              <w:start w:w="90" w:type="dxa"/>
              <w:bottom w:w="70" w:type="dxa"/>
              <w:end w:w="90" w:type="dxa"/>
            </w:tcMar>
            <w:vAlign w:val="center"/>
          </w:tcPr>
          <w:p>
            <w:pPr>
              <w:spacing w:after="0"/>
            </w:pPr>
            <w:r>
              <w:rPr>
                <w:rFonts w:ascii="Aptos" w:hAnsi="Aptos" w:eastAsia="Aptos"/>
                <w:sz w:val="15"/>
              </w:rPr>
              <w:t>Good overall profile with limited minor risk indicators</w:t>
            </w:r>
          </w:p>
        </w:tc>
        <w:tc>
          <w:tcPr>
            <w:tcW w:type="dxa" w:w="2448"/>
            <w:shd w:fill="F7F9FC"/>
            <w:tcMar>
              <w:top w:w="70" w:type="dxa"/>
              <w:start w:w="90" w:type="dxa"/>
              <w:bottom w:w="70" w:type="dxa"/>
              <w:end w:w="90" w:type="dxa"/>
            </w:tcMar>
            <w:vAlign w:val="center"/>
          </w:tcPr>
          <w:p>
            <w:pPr>
              <w:spacing w:after="0"/>
            </w:pPr>
            <w:r>
              <w:rPr>
                <w:rFonts w:ascii="Aptos" w:hAnsi="Aptos" w:eastAsia="Aptos"/>
                <w:sz w:val="15"/>
              </w:rPr>
              <w:t>Eligible</w:t>
            </w:r>
          </w:p>
        </w:tc>
        <w:tc>
          <w:tcPr>
            <w:tcW w:type="dxa" w:w="2448"/>
            <w:shd w:fill="F7F9FC"/>
            <w:tcMar>
              <w:top w:w="70" w:type="dxa"/>
              <w:start w:w="90" w:type="dxa"/>
              <w:bottom w:w="70" w:type="dxa"/>
              <w:end w:w="90" w:type="dxa"/>
            </w:tcMar>
            <w:vAlign w:val="center"/>
          </w:tcPr>
          <w:p>
            <w:pPr>
              <w:spacing w:after="0"/>
            </w:pPr>
            <w:r>
              <w:rPr>
                <w:rFonts w:ascii="Aptos" w:hAnsi="Aptos" w:eastAsia="Aptos"/>
                <w:sz w:val="15"/>
              </w:rPr>
              <w:t>Standard controls</w:t>
            </w:r>
          </w:p>
        </w:tc>
      </w:tr>
      <w:tr>
        <w:tc>
          <w:tcPr>
            <w:tcW w:type="dxa" w:w="1296"/>
            <w:tcMar>
              <w:top w:w="70" w:type="dxa"/>
              <w:start w:w="90" w:type="dxa"/>
              <w:bottom w:w="70" w:type="dxa"/>
              <w:end w:w="90" w:type="dxa"/>
            </w:tcMar>
            <w:vAlign w:val="center"/>
          </w:tcPr>
          <w:p>
            <w:pPr>
              <w:spacing w:after="0"/>
            </w:pPr>
            <w:r>
              <w:rPr>
                <w:rFonts w:ascii="Aptos" w:hAnsi="Aptos" w:eastAsia="Aptos"/>
                <w:sz w:val="15"/>
              </w:rPr>
              <w:t>3</w:t>
            </w:r>
          </w:p>
        </w:tc>
        <w:tc>
          <w:tcPr>
            <w:tcW w:type="dxa" w:w="4032"/>
            <w:tcMar>
              <w:top w:w="70" w:type="dxa"/>
              <w:start w:w="90" w:type="dxa"/>
              <w:bottom w:w="70" w:type="dxa"/>
              <w:end w:w="90" w:type="dxa"/>
            </w:tcMar>
            <w:vAlign w:val="center"/>
          </w:tcPr>
          <w:p>
            <w:pPr>
              <w:spacing w:after="0"/>
            </w:pPr>
            <w:r>
              <w:rPr>
                <w:rFonts w:ascii="Aptos" w:hAnsi="Aptos" w:eastAsia="Aptos"/>
                <w:sz w:val="15"/>
              </w:rPr>
              <w:t>Moderate risk; some sensitivity to income or leverage</w:t>
            </w:r>
          </w:p>
        </w:tc>
        <w:tc>
          <w:tcPr>
            <w:tcW w:type="dxa" w:w="2448"/>
            <w:tcMar>
              <w:top w:w="70" w:type="dxa"/>
              <w:start w:w="90" w:type="dxa"/>
              <w:bottom w:w="70" w:type="dxa"/>
              <w:end w:w="90" w:type="dxa"/>
            </w:tcMar>
            <w:vAlign w:val="center"/>
          </w:tcPr>
          <w:p>
            <w:pPr>
              <w:spacing w:after="0"/>
            </w:pPr>
            <w:r>
              <w:rPr>
                <w:rFonts w:ascii="Aptos" w:hAnsi="Aptos" w:eastAsia="Aptos"/>
                <w:sz w:val="15"/>
              </w:rPr>
              <w:t>Eligible with closer assessment</w:t>
            </w:r>
          </w:p>
        </w:tc>
        <w:tc>
          <w:tcPr>
            <w:tcW w:type="dxa" w:w="2448"/>
            <w:tcMar>
              <w:top w:w="70" w:type="dxa"/>
              <w:start w:w="90" w:type="dxa"/>
              <w:bottom w:w="70" w:type="dxa"/>
              <w:end w:w="90" w:type="dxa"/>
            </w:tcMar>
            <w:vAlign w:val="center"/>
          </w:tcPr>
          <w:p>
            <w:pPr>
              <w:spacing w:after="0"/>
            </w:pPr>
            <w:r>
              <w:rPr>
                <w:rFonts w:ascii="Aptos" w:hAnsi="Aptos" w:eastAsia="Aptos"/>
                <w:sz w:val="15"/>
              </w:rPr>
              <w:t>Document key sensitivities</w:t>
            </w:r>
          </w:p>
        </w:tc>
      </w:tr>
      <w:tr>
        <w:tc>
          <w:tcPr>
            <w:tcW w:type="dxa" w:w="1296"/>
            <w:shd w:fill="F7F9FC"/>
            <w:tcMar>
              <w:top w:w="70" w:type="dxa"/>
              <w:start w:w="90" w:type="dxa"/>
              <w:bottom w:w="70" w:type="dxa"/>
              <w:end w:w="90" w:type="dxa"/>
            </w:tcMar>
            <w:vAlign w:val="center"/>
          </w:tcPr>
          <w:p>
            <w:pPr>
              <w:spacing w:after="0"/>
            </w:pPr>
            <w:r>
              <w:rPr>
                <w:rFonts w:ascii="Aptos" w:hAnsi="Aptos" w:eastAsia="Aptos"/>
                <w:sz w:val="15"/>
              </w:rPr>
              <w:t>4</w:t>
            </w:r>
          </w:p>
        </w:tc>
        <w:tc>
          <w:tcPr>
            <w:tcW w:type="dxa" w:w="4032"/>
            <w:shd w:fill="F7F9FC"/>
            <w:tcMar>
              <w:top w:w="70" w:type="dxa"/>
              <w:start w:w="90" w:type="dxa"/>
              <w:bottom w:w="70" w:type="dxa"/>
              <w:end w:w="90" w:type="dxa"/>
            </w:tcMar>
            <w:vAlign w:val="center"/>
          </w:tcPr>
          <w:p>
            <w:pPr>
              <w:spacing w:after="0"/>
            </w:pPr>
            <w:r>
              <w:rPr>
                <w:rFonts w:ascii="Aptos" w:hAnsi="Aptos" w:eastAsia="Aptos"/>
                <w:sz w:val="15"/>
              </w:rPr>
              <w:t>Elevated risk, adverse indicators or material uncertainty</w:t>
            </w:r>
          </w:p>
        </w:tc>
        <w:tc>
          <w:tcPr>
            <w:tcW w:type="dxa" w:w="2448"/>
            <w:shd w:fill="F7F9FC"/>
            <w:tcMar>
              <w:top w:w="70" w:type="dxa"/>
              <w:start w:w="90" w:type="dxa"/>
              <w:bottom w:w="70" w:type="dxa"/>
              <w:end w:w="90" w:type="dxa"/>
            </w:tcMar>
            <w:vAlign w:val="center"/>
          </w:tcPr>
          <w:p>
            <w:pPr>
              <w:spacing w:after="0"/>
            </w:pPr>
            <w:r>
              <w:rPr>
                <w:rFonts w:ascii="Aptos" w:hAnsi="Aptos" w:eastAsia="Aptos"/>
                <w:sz w:val="15"/>
              </w:rPr>
              <w:t>Restricted / enhanced review</w:t>
            </w:r>
          </w:p>
        </w:tc>
        <w:tc>
          <w:tcPr>
            <w:tcW w:type="dxa" w:w="2448"/>
            <w:shd w:fill="F7F9FC"/>
            <w:tcMar>
              <w:top w:w="70" w:type="dxa"/>
              <w:start w:w="90" w:type="dxa"/>
              <w:bottom w:w="70" w:type="dxa"/>
              <w:end w:w="90" w:type="dxa"/>
            </w:tcMar>
            <w:vAlign w:val="center"/>
          </w:tcPr>
          <w:p>
            <w:pPr>
              <w:spacing w:after="0"/>
            </w:pPr>
            <w:r>
              <w:rPr>
                <w:rFonts w:ascii="Aptos" w:hAnsi="Aptos" w:eastAsia="Aptos"/>
                <w:sz w:val="15"/>
              </w:rPr>
              <w:t>Manual review; higher authority may apply</w:t>
            </w:r>
          </w:p>
        </w:tc>
      </w:tr>
      <w:tr>
        <w:tc>
          <w:tcPr>
            <w:tcW w:type="dxa" w:w="1296"/>
            <w:tcMar>
              <w:top w:w="70" w:type="dxa"/>
              <w:start w:w="90" w:type="dxa"/>
              <w:bottom w:w="70" w:type="dxa"/>
              <w:end w:w="90" w:type="dxa"/>
            </w:tcMar>
            <w:vAlign w:val="center"/>
          </w:tcPr>
          <w:p>
            <w:pPr>
              <w:spacing w:after="0"/>
            </w:pPr>
            <w:r>
              <w:rPr>
                <w:rFonts w:ascii="Aptos" w:hAnsi="Aptos" w:eastAsia="Aptos"/>
                <w:sz w:val="15"/>
              </w:rPr>
              <w:t>5</w:t>
            </w:r>
          </w:p>
        </w:tc>
        <w:tc>
          <w:tcPr>
            <w:tcW w:type="dxa" w:w="4032"/>
            <w:tcMar>
              <w:top w:w="70" w:type="dxa"/>
              <w:start w:w="90" w:type="dxa"/>
              <w:bottom w:w="70" w:type="dxa"/>
              <w:end w:w="90" w:type="dxa"/>
            </w:tcMar>
            <w:vAlign w:val="center"/>
          </w:tcPr>
          <w:p>
            <w:pPr>
              <w:spacing w:after="0"/>
            </w:pPr>
            <w:r>
              <w:rPr>
                <w:rFonts w:ascii="Aptos" w:hAnsi="Aptos" w:eastAsia="Aptos"/>
                <w:sz w:val="15"/>
              </w:rPr>
              <w:t>Very high risk or unacceptable adverse information</w:t>
            </w:r>
          </w:p>
        </w:tc>
        <w:tc>
          <w:tcPr>
            <w:tcW w:type="dxa" w:w="2448"/>
            <w:tcMar>
              <w:top w:w="70" w:type="dxa"/>
              <w:start w:w="90" w:type="dxa"/>
              <w:bottom w:w="70" w:type="dxa"/>
              <w:end w:w="90" w:type="dxa"/>
            </w:tcMar>
            <w:vAlign w:val="center"/>
          </w:tcPr>
          <w:p>
            <w:pPr>
              <w:spacing w:after="0"/>
            </w:pPr>
            <w:r>
              <w:rPr>
                <w:rFonts w:ascii="Aptos" w:hAnsi="Aptos" w:eastAsia="Aptos"/>
                <w:sz w:val="15"/>
              </w:rPr>
              <w:t>Normally ineligible</w:t>
            </w:r>
          </w:p>
        </w:tc>
        <w:tc>
          <w:tcPr>
            <w:tcW w:type="dxa" w:w="2448"/>
            <w:tcMar>
              <w:top w:w="70" w:type="dxa"/>
              <w:start w:w="90" w:type="dxa"/>
              <w:bottom w:w="70" w:type="dxa"/>
              <w:end w:w="90" w:type="dxa"/>
            </w:tcMar>
            <w:vAlign w:val="center"/>
          </w:tcPr>
          <w:p>
            <w:pPr>
              <w:spacing w:after="0"/>
            </w:pPr>
            <w:r>
              <w:rPr>
                <w:rFonts w:ascii="Aptos" w:hAnsi="Aptos" w:eastAsia="Aptos"/>
                <w:sz w:val="15"/>
              </w:rPr>
              <w:t>Decline or separately approved recovery strategy</w:t>
            </w:r>
          </w:p>
        </w:tc>
      </w:tr>
    </w:tbl>
    <w:p>
      <w:pPr>
        <w:spacing w:after="0"/>
      </w:pPr>
    </w:p>
    <w:p>
      <w:pPr>
        <w:spacing w:after="40"/>
      </w:pPr>
      <w:r>
        <w:rPr>
          <w:rFonts w:ascii="Aptos" w:hAnsi="Aptos" w:eastAsia="Aptos"/>
          <w:b/>
          <w:color w:val="17365D"/>
          <w:sz w:val="18"/>
        </w:rPr>
        <w:t>Application notes</w:t>
      </w:r>
    </w:p>
    <w:p>
      <w:pPr>
        <w:spacing w:after="46"/>
        <w:ind w:left="259" w:hanging="173"/>
      </w:pPr>
      <w:r>
        <w:rPr>
          <w:rFonts w:ascii="Aptos" w:hAnsi="Aptos" w:eastAsia="Aptos"/>
          <w:b/>
          <w:color w:val="2F5597"/>
          <w:sz w:val="18"/>
        </w:rPr>
        <w:t xml:space="preserve">• </w:t>
      </w:r>
      <w:r>
        <w:rPr>
          <w:rFonts w:ascii="Aptos" w:hAnsi="Aptos" w:eastAsia="Aptos"/>
          <w:sz w:val="18"/>
        </w:rPr>
        <w:t>Risk grade does not replace product-specific score bands.</w:t>
      </w:r>
    </w:p>
    <w:p>
      <w:pPr>
        <w:spacing w:after="46"/>
        <w:ind w:left="259" w:hanging="173"/>
      </w:pPr>
      <w:r>
        <w:rPr>
          <w:rFonts w:ascii="Aptos" w:hAnsi="Aptos" w:eastAsia="Aptos"/>
          <w:b/>
          <w:color w:val="2F5597"/>
          <w:sz w:val="18"/>
        </w:rPr>
        <w:t xml:space="preserve">• </w:t>
      </w:r>
      <w:r>
        <w:rPr>
          <w:rFonts w:ascii="Aptos" w:hAnsi="Aptos" w:eastAsia="Aptos"/>
          <w:sz w:val="18"/>
        </w:rPr>
        <w:t>A numerical bureau score is one input, not the enterprise risk grade.</w:t>
      </w:r>
    </w:p>
    <w:p>
      <w:r>
        <w:br w:type="page"/>
      </w:r>
    </w:p>
    <w:p>
      <w:pPr>
        <w:pStyle w:val="Heading1"/>
      </w:pPr>
      <w:r>
        <w:t>Appendix B — Illustrative Credit and LTV Parameters</w:t>
      </w:r>
    </w:p>
    <w:p>
      <w:r>
        <w:t>These parameters summarize major enterprise limits established in this version. They do not replace product procedures or CDAS-007.</w:t>
      </w: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3317"/>
        <w:gridCol w:w="3317"/>
        <w:gridCol w:w="3317"/>
      </w:tblGrid>
      <w:tr>
        <w:trPr>
          <w:tblHeader w:val="true"/>
        </w:trPr>
        <w:tc>
          <w:tcPr>
            <w:tcW w:type="dxa" w:w="3024"/>
            <w:shd w:fill="17365D"/>
            <w:tcMar>
              <w:top w:w="70" w:type="dxa"/>
              <w:start w:w="90" w:type="dxa"/>
              <w:bottom w:w="70" w:type="dxa"/>
              <w:end w:w="90" w:type="dxa"/>
            </w:tcMar>
          </w:tcPr>
          <w:p>
            <w:pPr>
              <w:spacing w:after="0"/>
            </w:pPr>
            <w:r>
              <w:rPr>
                <w:rFonts w:ascii="Aptos" w:hAnsi="Aptos" w:eastAsia="Aptos"/>
                <w:b/>
                <w:color w:val="FFFFFF"/>
                <w:sz w:val="15"/>
              </w:rPr>
              <w:t>Parameter</w:t>
            </w:r>
          </w:p>
        </w:tc>
        <w:tc>
          <w:tcPr>
            <w:tcW w:type="dxa" w:w="2880"/>
            <w:shd w:fill="17365D"/>
            <w:tcMar>
              <w:top w:w="70" w:type="dxa"/>
              <w:start w:w="90" w:type="dxa"/>
              <w:bottom w:w="70" w:type="dxa"/>
              <w:end w:w="90" w:type="dxa"/>
            </w:tcMar>
          </w:tcPr>
          <w:p>
            <w:pPr>
              <w:spacing w:after="0"/>
            </w:pPr>
            <w:r>
              <w:rPr>
                <w:rFonts w:ascii="Aptos" w:hAnsi="Aptos" w:eastAsia="Aptos"/>
                <w:b/>
                <w:color w:val="FFFFFF"/>
                <w:sz w:val="15"/>
              </w:rPr>
              <w:t>Standard / trigger</w:t>
            </w:r>
          </w:p>
        </w:tc>
        <w:tc>
          <w:tcPr>
            <w:tcW w:type="dxa" w:w="4320"/>
            <w:shd w:fill="17365D"/>
            <w:tcMar>
              <w:top w:w="70" w:type="dxa"/>
              <w:start w:w="90" w:type="dxa"/>
              <w:bottom w:w="70" w:type="dxa"/>
              <w:end w:w="90" w:type="dxa"/>
            </w:tcMar>
          </w:tcPr>
          <w:p>
            <w:pPr>
              <w:spacing w:after="0"/>
            </w:pPr>
            <w:r>
              <w:rPr>
                <w:rFonts w:ascii="Aptos" w:hAnsi="Aptos" w:eastAsia="Aptos"/>
                <w:b/>
                <w:color w:val="FFFFFF"/>
                <w:sz w:val="15"/>
              </w:rPr>
              <w:t>Treatment</w:t>
            </w:r>
          </w:p>
        </w:tc>
      </w:tr>
      <w:tr>
        <w:tc>
          <w:tcPr>
            <w:tcW w:type="dxa" w:w="3024"/>
            <w:tcMar>
              <w:top w:w="70" w:type="dxa"/>
              <w:start w:w="90" w:type="dxa"/>
              <w:bottom w:w="70" w:type="dxa"/>
              <w:end w:w="90" w:type="dxa"/>
            </w:tcMar>
            <w:vAlign w:val="center"/>
          </w:tcPr>
          <w:p>
            <w:pPr>
              <w:spacing w:after="0"/>
            </w:pPr>
            <w:r>
              <w:rPr>
                <w:rFonts w:ascii="Aptos" w:hAnsi="Aptos" w:eastAsia="Aptos"/>
                <w:sz w:val="15"/>
              </w:rPr>
              <w:t>Personal-loan DTI</w:t>
            </w:r>
          </w:p>
        </w:tc>
        <w:tc>
          <w:tcPr>
            <w:tcW w:type="dxa" w:w="2880"/>
            <w:tcMar>
              <w:top w:w="70" w:type="dxa"/>
              <w:start w:w="90" w:type="dxa"/>
              <w:bottom w:w="70" w:type="dxa"/>
              <w:end w:w="90" w:type="dxa"/>
            </w:tcMar>
            <w:vAlign w:val="center"/>
          </w:tcPr>
          <w:p>
            <w:pPr>
              <w:spacing w:after="0"/>
            </w:pPr>
            <w:r>
              <w:rPr>
                <w:rFonts w:ascii="Aptos" w:hAnsi="Aptos" w:eastAsia="Aptos"/>
                <w:sz w:val="15"/>
              </w:rPr>
              <w:t>≤45%</w:t>
            </w:r>
          </w:p>
        </w:tc>
        <w:tc>
          <w:tcPr>
            <w:tcW w:type="dxa" w:w="4320"/>
            <w:tcMar>
              <w:top w:w="70" w:type="dxa"/>
              <w:start w:w="90" w:type="dxa"/>
              <w:bottom w:w="70" w:type="dxa"/>
              <w:end w:w="90" w:type="dxa"/>
            </w:tcMar>
            <w:vAlign w:val="center"/>
          </w:tcPr>
          <w:p>
            <w:pPr>
              <w:spacing w:after="0"/>
            </w:pPr>
            <w:r>
              <w:rPr>
                <w:rFonts w:ascii="Aptos" w:hAnsi="Aptos" w:eastAsia="Aptos"/>
                <w:sz w:val="15"/>
              </w:rPr>
              <w:t>Standard policy limit</w:t>
            </w:r>
          </w:p>
        </w:tc>
      </w:tr>
      <w:tr>
        <w:tc>
          <w:tcPr>
            <w:tcW w:type="dxa" w:w="3024"/>
            <w:shd w:fill="F7F9FC"/>
            <w:tcMar>
              <w:top w:w="70" w:type="dxa"/>
              <w:start w:w="90" w:type="dxa"/>
              <w:bottom w:w="70" w:type="dxa"/>
              <w:end w:w="90" w:type="dxa"/>
            </w:tcMar>
            <w:vAlign w:val="center"/>
          </w:tcPr>
          <w:p>
            <w:pPr>
              <w:spacing w:after="0"/>
            </w:pPr>
            <w:r>
              <w:rPr>
                <w:rFonts w:ascii="Aptos" w:hAnsi="Aptos" w:eastAsia="Aptos"/>
                <w:sz w:val="15"/>
              </w:rPr>
              <w:t>Personal-loan DTI</w:t>
            </w:r>
          </w:p>
        </w:tc>
        <w:tc>
          <w:tcPr>
            <w:tcW w:type="dxa" w:w="2880"/>
            <w:shd w:fill="F7F9FC"/>
            <w:tcMar>
              <w:top w:w="70" w:type="dxa"/>
              <w:start w:w="90" w:type="dxa"/>
              <w:bottom w:w="70" w:type="dxa"/>
              <w:end w:w="90" w:type="dxa"/>
            </w:tcMar>
            <w:vAlign w:val="center"/>
          </w:tcPr>
          <w:p>
            <w:pPr>
              <w:spacing w:after="0"/>
            </w:pPr>
            <w:r>
              <w:rPr>
                <w:rFonts w:ascii="Aptos" w:hAnsi="Aptos" w:eastAsia="Aptos"/>
                <w:sz w:val="15"/>
              </w:rPr>
              <w:t>45.01%–48%</w:t>
            </w:r>
          </w:p>
        </w:tc>
        <w:tc>
          <w:tcPr>
            <w:tcW w:type="dxa" w:w="4320"/>
            <w:shd w:fill="F7F9FC"/>
            <w:tcMar>
              <w:top w:w="70" w:type="dxa"/>
              <w:start w:w="90" w:type="dxa"/>
              <w:bottom w:w="70" w:type="dxa"/>
              <w:end w:w="90" w:type="dxa"/>
            </w:tcMar>
            <w:vAlign w:val="center"/>
          </w:tcPr>
          <w:p>
            <w:pPr>
              <w:spacing w:after="0"/>
            </w:pPr>
            <w:r>
              <w:rPr>
                <w:rFonts w:ascii="Aptos" w:hAnsi="Aptos" w:eastAsia="Aptos"/>
                <w:sz w:val="15"/>
              </w:rPr>
              <w:t>Exception bands; manual underwriting</w:t>
            </w:r>
          </w:p>
        </w:tc>
      </w:tr>
      <w:tr>
        <w:tc>
          <w:tcPr>
            <w:tcW w:type="dxa" w:w="3024"/>
            <w:tcMar>
              <w:top w:w="70" w:type="dxa"/>
              <w:start w:w="90" w:type="dxa"/>
              <w:bottom w:w="70" w:type="dxa"/>
              <w:end w:w="90" w:type="dxa"/>
            </w:tcMar>
            <w:vAlign w:val="center"/>
          </w:tcPr>
          <w:p>
            <w:pPr>
              <w:spacing w:after="0"/>
            </w:pPr>
            <w:r>
              <w:rPr>
                <w:rFonts w:ascii="Aptos" w:hAnsi="Aptos" w:eastAsia="Aptos"/>
                <w:sz w:val="15"/>
              </w:rPr>
              <w:t>Personal-loan DTI</w:t>
            </w:r>
          </w:p>
        </w:tc>
        <w:tc>
          <w:tcPr>
            <w:tcW w:type="dxa" w:w="2880"/>
            <w:tcMar>
              <w:top w:w="70" w:type="dxa"/>
              <w:start w:w="90" w:type="dxa"/>
              <w:bottom w:w="70" w:type="dxa"/>
              <w:end w:w="90" w:type="dxa"/>
            </w:tcMar>
            <w:vAlign w:val="center"/>
          </w:tcPr>
          <w:p>
            <w:pPr>
              <w:spacing w:after="0"/>
            </w:pPr>
            <w:r>
              <w:rPr>
                <w:rFonts w:ascii="Aptos" w:hAnsi="Aptos" w:eastAsia="Aptos"/>
                <w:sz w:val="15"/>
              </w:rPr>
              <w:t>&gt;48%</w:t>
            </w:r>
          </w:p>
        </w:tc>
        <w:tc>
          <w:tcPr>
            <w:tcW w:type="dxa" w:w="4320"/>
            <w:tcMar>
              <w:top w:w="70" w:type="dxa"/>
              <w:start w:w="90" w:type="dxa"/>
              <w:bottom w:w="70" w:type="dxa"/>
              <w:end w:w="90" w:type="dxa"/>
            </w:tcMar>
            <w:vAlign w:val="center"/>
          </w:tcPr>
          <w:p>
            <w:pPr>
              <w:spacing w:after="0"/>
            </w:pPr>
            <w:r>
              <w:rPr>
                <w:rFonts w:ascii="Aptos" w:hAnsi="Aptos" w:eastAsia="Aptos"/>
                <w:sz w:val="15"/>
              </w:rPr>
              <w:t>Outside normal standard; Head Credit Risk minimum if considered</w:t>
            </w:r>
          </w:p>
        </w:tc>
      </w:tr>
      <w:tr>
        <w:tc>
          <w:tcPr>
            <w:tcW w:type="dxa" w:w="3024"/>
            <w:shd w:fill="F7F9FC"/>
            <w:tcMar>
              <w:top w:w="70" w:type="dxa"/>
              <w:start w:w="90" w:type="dxa"/>
              <w:bottom w:w="70" w:type="dxa"/>
              <w:end w:w="90" w:type="dxa"/>
            </w:tcMar>
            <w:vAlign w:val="center"/>
          </w:tcPr>
          <w:p>
            <w:pPr>
              <w:spacing w:after="0"/>
            </w:pPr>
            <w:r>
              <w:rPr>
                <w:rFonts w:ascii="Aptos" w:hAnsi="Aptos" w:eastAsia="Aptos"/>
                <w:sz w:val="15"/>
              </w:rPr>
              <w:t>Personal-loan FOIR</w:t>
            </w:r>
          </w:p>
        </w:tc>
        <w:tc>
          <w:tcPr>
            <w:tcW w:type="dxa" w:w="2880"/>
            <w:shd w:fill="F7F9FC"/>
            <w:tcMar>
              <w:top w:w="70" w:type="dxa"/>
              <w:start w:w="90" w:type="dxa"/>
              <w:bottom w:w="70" w:type="dxa"/>
              <w:end w:w="90" w:type="dxa"/>
            </w:tcMar>
            <w:vAlign w:val="center"/>
          </w:tcPr>
          <w:p>
            <w:pPr>
              <w:spacing w:after="0"/>
            </w:pPr>
            <w:r>
              <w:rPr>
                <w:rFonts w:ascii="Aptos" w:hAnsi="Aptos" w:eastAsia="Aptos"/>
                <w:sz w:val="15"/>
              </w:rPr>
              <w:t>≤50%</w:t>
            </w:r>
          </w:p>
        </w:tc>
        <w:tc>
          <w:tcPr>
            <w:tcW w:type="dxa" w:w="4320"/>
            <w:shd w:fill="F7F9FC"/>
            <w:tcMar>
              <w:top w:w="70" w:type="dxa"/>
              <w:start w:w="90" w:type="dxa"/>
              <w:bottom w:w="70" w:type="dxa"/>
              <w:end w:w="90" w:type="dxa"/>
            </w:tcMar>
            <w:vAlign w:val="center"/>
          </w:tcPr>
          <w:p>
            <w:pPr>
              <w:spacing w:after="0"/>
            </w:pPr>
            <w:r>
              <w:rPr>
                <w:rFonts w:ascii="Aptos" w:hAnsi="Aptos" w:eastAsia="Aptos"/>
                <w:sz w:val="15"/>
              </w:rPr>
              <w:t>Ordinary standard</w:t>
            </w:r>
          </w:p>
        </w:tc>
      </w:tr>
      <w:tr>
        <w:tc>
          <w:tcPr>
            <w:tcW w:type="dxa" w:w="3024"/>
            <w:tcMar>
              <w:top w:w="70" w:type="dxa"/>
              <w:start w:w="90" w:type="dxa"/>
              <w:bottom w:w="70" w:type="dxa"/>
              <w:end w:w="90" w:type="dxa"/>
            </w:tcMar>
            <w:vAlign w:val="center"/>
          </w:tcPr>
          <w:p>
            <w:pPr>
              <w:spacing w:after="0"/>
            </w:pPr>
            <w:r>
              <w:rPr>
                <w:rFonts w:ascii="Aptos" w:hAnsi="Aptos" w:eastAsia="Aptos"/>
                <w:sz w:val="15"/>
              </w:rPr>
              <w:t>Personal-loan FOIR</w:t>
            </w:r>
          </w:p>
        </w:tc>
        <w:tc>
          <w:tcPr>
            <w:tcW w:type="dxa" w:w="2880"/>
            <w:tcMar>
              <w:top w:w="70" w:type="dxa"/>
              <w:start w:w="90" w:type="dxa"/>
              <w:bottom w:w="70" w:type="dxa"/>
              <w:end w:w="90" w:type="dxa"/>
            </w:tcMar>
            <w:vAlign w:val="center"/>
          </w:tcPr>
          <w:p>
            <w:pPr>
              <w:spacing w:after="0"/>
            </w:pPr>
            <w:r>
              <w:rPr>
                <w:rFonts w:ascii="Aptos" w:hAnsi="Aptos" w:eastAsia="Aptos"/>
                <w:sz w:val="15"/>
              </w:rPr>
              <w:t>50.01%–55%</w:t>
            </w:r>
          </w:p>
        </w:tc>
        <w:tc>
          <w:tcPr>
            <w:tcW w:type="dxa" w:w="4320"/>
            <w:tcMar>
              <w:top w:w="70" w:type="dxa"/>
              <w:start w:w="90" w:type="dxa"/>
              <w:bottom w:w="70" w:type="dxa"/>
              <w:end w:w="90" w:type="dxa"/>
            </w:tcMar>
            <w:vAlign w:val="center"/>
          </w:tcPr>
          <w:p>
            <w:pPr>
              <w:spacing w:after="0"/>
            </w:pPr>
            <w:r>
              <w:rPr>
                <w:rFonts w:ascii="Aptos" w:hAnsi="Aptos" w:eastAsia="Aptos"/>
                <w:sz w:val="15"/>
              </w:rPr>
              <w:t>Heightened review</w:t>
            </w:r>
          </w:p>
        </w:tc>
      </w:tr>
      <w:tr>
        <w:tc>
          <w:tcPr>
            <w:tcW w:type="dxa" w:w="3024"/>
            <w:shd w:fill="F7F9FC"/>
            <w:tcMar>
              <w:top w:w="70" w:type="dxa"/>
              <w:start w:w="90" w:type="dxa"/>
              <w:bottom w:w="70" w:type="dxa"/>
              <w:end w:w="90" w:type="dxa"/>
            </w:tcMar>
            <w:vAlign w:val="center"/>
          </w:tcPr>
          <w:p>
            <w:pPr>
              <w:spacing w:after="0"/>
            </w:pPr>
            <w:r>
              <w:rPr>
                <w:rFonts w:ascii="Aptos" w:hAnsi="Aptos" w:eastAsia="Aptos"/>
                <w:sz w:val="15"/>
              </w:rPr>
              <w:t>Personal-loan FOIR</w:t>
            </w:r>
          </w:p>
        </w:tc>
        <w:tc>
          <w:tcPr>
            <w:tcW w:type="dxa" w:w="2880"/>
            <w:shd w:fill="F7F9FC"/>
            <w:tcMar>
              <w:top w:w="70" w:type="dxa"/>
              <w:start w:w="90" w:type="dxa"/>
              <w:bottom w:w="70" w:type="dxa"/>
              <w:end w:w="90" w:type="dxa"/>
            </w:tcMar>
            <w:vAlign w:val="center"/>
          </w:tcPr>
          <w:p>
            <w:pPr>
              <w:spacing w:after="0"/>
            </w:pPr>
            <w:r>
              <w:rPr>
                <w:rFonts w:ascii="Aptos" w:hAnsi="Aptos" w:eastAsia="Aptos"/>
                <w:sz w:val="15"/>
              </w:rPr>
              <w:t>&gt;55%</w:t>
            </w:r>
          </w:p>
        </w:tc>
        <w:tc>
          <w:tcPr>
            <w:tcW w:type="dxa" w:w="4320"/>
            <w:shd w:fill="F7F9FC"/>
            <w:tcMar>
              <w:top w:w="70" w:type="dxa"/>
              <w:start w:w="90" w:type="dxa"/>
              <w:bottom w:w="70" w:type="dxa"/>
              <w:end w:w="90" w:type="dxa"/>
            </w:tcMar>
            <w:vAlign w:val="center"/>
          </w:tcPr>
          <w:p>
            <w:pPr>
              <w:spacing w:after="0"/>
            </w:pPr>
            <w:r>
              <w:rPr>
                <w:rFonts w:ascii="Aptos" w:hAnsi="Aptos" w:eastAsia="Aptos"/>
                <w:sz w:val="15"/>
              </w:rPr>
              <w:t>Outside standard retail appetite</w:t>
            </w:r>
          </w:p>
        </w:tc>
      </w:tr>
      <w:tr>
        <w:tc>
          <w:tcPr>
            <w:tcW w:type="dxa" w:w="3024"/>
            <w:tcMar>
              <w:top w:w="70" w:type="dxa"/>
              <w:start w:w="90" w:type="dxa"/>
              <w:bottom w:w="70" w:type="dxa"/>
              <w:end w:w="90" w:type="dxa"/>
            </w:tcMar>
            <w:vAlign w:val="center"/>
          </w:tcPr>
          <w:p>
            <w:pPr>
              <w:spacing w:after="0"/>
            </w:pPr>
            <w:r>
              <w:rPr>
                <w:rFonts w:ascii="Aptos" w:hAnsi="Aptos" w:eastAsia="Aptos"/>
                <w:sz w:val="15"/>
              </w:rPr>
              <w:t>General secured LTV</w:t>
            </w:r>
          </w:p>
        </w:tc>
        <w:tc>
          <w:tcPr>
            <w:tcW w:type="dxa" w:w="2880"/>
            <w:tcMar>
              <w:top w:w="70" w:type="dxa"/>
              <w:start w:w="90" w:type="dxa"/>
              <w:bottom w:w="70" w:type="dxa"/>
              <w:end w:w="90" w:type="dxa"/>
            </w:tcMar>
            <w:vAlign w:val="center"/>
          </w:tcPr>
          <w:p>
            <w:pPr>
              <w:spacing w:after="0"/>
            </w:pPr>
            <w:r>
              <w:rPr>
                <w:rFonts w:ascii="Aptos" w:hAnsi="Aptos" w:eastAsia="Aptos"/>
                <w:sz w:val="15"/>
              </w:rPr>
              <w:t>≤80%</w:t>
            </w:r>
          </w:p>
        </w:tc>
        <w:tc>
          <w:tcPr>
            <w:tcW w:type="dxa" w:w="4320"/>
            <w:tcMar>
              <w:top w:w="70" w:type="dxa"/>
              <w:start w:w="90" w:type="dxa"/>
              <w:bottom w:w="70" w:type="dxa"/>
              <w:end w:w="90" w:type="dxa"/>
            </w:tcMar>
            <w:vAlign w:val="center"/>
          </w:tcPr>
          <w:p>
            <w:pPr>
              <w:spacing w:after="0"/>
            </w:pPr>
            <w:r>
              <w:rPr>
                <w:rFonts w:ascii="Aptos" w:hAnsi="Aptos" w:eastAsia="Aptos"/>
                <w:sz w:val="15"/>
              </w:rPr>
              <w:t>Subject to collateral/product restrictions</w:t>
            </w:r>
          </w:p>
        </w:tc>
      </w:tr>
      <w:tr>
        <w:tc>
          <w:tcPr>
            <w:tcW w:type="dxa" w:w="3024"/>
            <w:shd w:fill="F7F9FC"/>
            <w:tcMar>
              <w:top w:w="70" w:type="dxa"/>
              <w:start w:w="90" w:type="dxa"/>
              <w:bottom w:w="70" w:type="dxa"/>
              <w:end w:w="90" w:type="dxa"/>
            </w:tcMar>
            <w:vAlign w:val="center"/>
          </w:tcPr>
          <w:p>
            <w:pPr>
              <w:spacing w:after="0"/>
            </w:pPr>
            <w:r>
              <w:rPr>
                <w:rFonts w:ascii="Aptos" w:hAnsi="Aptos" w:eastAsia="Aptos"/>
                <w:sz w:val="15"/>
              </w:rPr>
              <w:t>Higher-risk property LTV</w:t>
            </w:r>
          </w:p>
        </w:tc>
        <w:tc>
          <w:tcPr>
            <w:tcW w:type="dxa" w:w="2880"/>
            <w:shd w:fill="F7F9FC"/>
            <w:tcMar>
              <w:top w:w="70" w:type="dxa"/>
              <w:start w:w="90" w:type="dxa"/>
              <w:bottom w:w="70" w:type="dxa"/>
              <w:end w:w="90" w:type="dxa"/>
            </w:tcMar>
            <w:vAlign w:val="center"/>
          </w:tcPr>
          <w:p>
            <w:pPr>
              <w:spacing w:after="0"/>
            </w:pPr>
            <w:r>
              <w:rPr>
                <w:rFonts w:ascii="Aptos" w:hAnsi="Aptos" w:eastAsia="Aptos"/>
                <w:sz w:val="15"/>
              </w:rPr>
              <w:t>≤70%</w:t>
            </w:r>
          </w:p>
        </w:tc>
        <w:tc>
          <w:tcPr>
            <w:tcW w:type="dxa" w:w="4320"/>
            <w:shd w:fill="F7F9FC"/>
            <w:tcMar>
              <w:top w:w="70" w:type="dxa"/>
              <w:start w:w="90" w:type="dxa"/>
              <w:bottom w:w="70" w:type="dxa"/>
              <w:end w:w="90" w:type="dxa"/>
            </w:tcMar>
            <w:vAlign w:val="center"/>
          </w:tcPr>
          <w:p>
            <w:pPr>
              <w:spacing w:after="0"/>
            </w:pPr>
            <w:r>
              <w:rPr>
                <w:rFonts w:ascii="Aptos" w:hAnsi="Aptos" w:eastAsia="Aptos"/>
                <w:sz w:val="15"/>
              </w:rPr>
              <w:t>More restrictive collateral rule</w:t>
            </w:r>
          </w:p>
        </w:tc>
      </w:tr>
      <w:tr>
        <w:tc>
          <w:tcPr>
            <w:tcW w:type="dxa" w:w="3024"/>
            <w:tcMar>
              <w:top w:w="70" w:type="dxa"/>
              <w:start w:w="90" w:type="dxa"/>
              <w:bottom w:w="70" w:type="dxa"/>
              <w:end w:w="90" w:type="dxa"/>
            </w:tcMar>
            <w:vAlign w:val="center"/>
          </w:tcPr>
          <w:p>
            <w:pPr>
              <w:spacing w:after="0"/>
            </w:pPr>
            <w:r>
              <w:rPr>
                <w:rFonts w:ascii="Aptos" w:hAnsi="Aptos" w:eastAsia="Aptos"/>
                <w:sz w:val="15"/>
              </w:rPr>
              <w:t>Approved intermediate property</w:t>
            </w:r>
          </w:p>
        </w:tc>
        <w:tc>
          <w:tcPr>
            <w:tcW w:type="dxa" w:w="2880"/>
            <w:tcMar>
              <w:top w:w="70" w:type="dxa"/>
              <w:start w:w="90" w:type="dxa"/>
              <w:bottom w:w="70" w:type="dxa"/>
              <w:end w:w="90" w:type="dxa"/>
            </w:tcMar>
            <w:vAlign w:val="center"/>
          </w:tcPr>
          <w:p>
            <w:pPr>
              <w:spacing w:after="0"/>
            </w:pPr>
            <w:r>
              <w:rPr>
                <w:rFonts w:ascii="Aptos" w:hAnsi="Aptos" w:eastAsia="Aptos"/>
                <w:sz w:val="15"/>
              </w:rPr>
              <w:t>≤75%</w:t>
            </w:r>
          </w:p>
        </w:tc>
        <w:tc>
          <w:tcPr>
            <w:tcW w:type="dxa" w:w="4320"/>
            <w:tcMar>
              <w:top w:w="70" w:type="dxa"/>
              <w:start w:w="90" w:type="dxa"/>
              <w:bottom w:w="70" w:type="dxa"/>
              <w:end w:w="90" w:type="dxa"/>
            </w:tcMar>
            <w:vAlign w:val="center"/>
          </w:tcPr>
          <w:p>
            <w:pPr>
              <w:spacing w:after="0"/>
            </w:pPr>
            <w:r>
              <w:rPr>
                <w:rFonts w:ascii="Aptos" w:hAnsi="Aptos" w:eastAsia="Aptos"/>
                <w:sz w:val="15"/>
              </w:rPr>
              <w:t>Only designated categories</w:t>
            </w:r>
          </w:p>
        </w:tc>
      </w:tr>
      <w:tr>
        <w:tc>
          <w:tcPr>
            <w:tcW w:type="dxa" w:w="3024"/>
            <w:shd w:fill="F7F9FC"/>
            <w:tcMar>
              <w:top w:w="70" w:type="dxa"/>
              <w:start w:w="90" w:type="dxa"/>
              <w:bottom w:w="70" w:type="dxa"/>
              <w:end w:w="90" w:type="dxa"/>
            </w:tcMar>
            <w:vAlign w:val="center"/>
          </w:tcPr>
          <w:p>
            <w:pPr>
              <w:spacing w:after="0"/>
            </w:pPr>
            <w:r>
              <w:rPr>
                <w:rFonts w:ascii="Aptos" w:hAnsi="Aptos" w:eastAsia="Aptos"/>
                <w:sz w:val="15"/>
              </w:rPr>
              <w:t>Used-vehicle LTV</w:t>
            </w:r>
          </w:p>
        </w:tc>
        <w:tc>
          <w:tcPr>
            <w:tcW w:type="dxa" w:w="2880"/>
            <w:shd w:fill="F7F9FC"/>
            <w:tcMar>
              <w:top w:w="70" w:type="dxa"/>
              <w:start w:w="90" w:type="dxa"/>
              <w:bottom w:w="70" w:type="dxa"/>
              <w:end w:w="90" w:type="dxa"/>
            </w:tcMar>
            <w:vAlign w:val="center"/>
          </w:tcPr>
          <w:p>
            <w:pPr>
              <w:spacing w:after="0"/>
            </w:pPr>
            <w:r>
              <w:rPr>
                <w:rFonts w:ascii="Aptos" w:hAnsi="Aptos" w:eastAsia="Aptos"/>
                <w:sz w:val="15"/>
              </w:rPr>
              <w:t>≤75% of approved valuation</w:t>
            </w:r>
          </w:p>
        </w:tc>
        <w:tc>
          <w:tcPr>
            <w:tcW w:type="dxa" w:w="4320"/>
            <w:shd w:fill="F7F9FC"/>
            <w:tcMar>
              <w:top w:w="70" w:type="dxa"/>
              <w:start w:w="90" w:type="dxa"/>
              <w:bottom w:w="70" w:type="dxa"/>
              <w:end w:w="90" w:type="dxa"/>
            </w:tcMar>
            <w:vAlign w:val="center"/>
          </w:tcPr>
          <w:p>
            <w:pPr>
              <w:spacing w:after="0"/>
            </w:pPr>
            <w:r>
              <w:rPr>
                <w:rFonts w:ascii="Aptos" w:hAnsi="Aptos" w:eastAsia="Aptos"/>
                <w:sz w:val="15"/>
              </w:rPr>
              <w:t>Product-specific</w:t>
            </w:r>
          </w:p>
        </w:tc>
      </w:tr>
      <w:tr>
        <w:tc>
          <w:tcPr>
            <w:tcW w:type="dxa" w:w="3024"/>
            <w:tcMar>
              <w:top w:w="70" w:type="dxa"/>
              <w:start w:w="90" w:type="dxa"/>
              <w:bottom w:w="70" w:type="dxa"/>
              <w:end w:w="90" w:type="dxa"/>
            </w:tcMar>
            <w:vAlign w:val="center"/>
          </w:tcPr>
          <w:p>
            <w:pPr>
              <w:spacing w:after="0"/>
            </w:pPr>
            <w:r>
              <w:rPr>
                <w:rFonts w:ascii="Aptos" w:hAnsi="Aptos" w:eastAsia="Aptos"/>
                <w:sz w:val="15"/>
              </w:rPr>
              <w:t>New-vehicle LTV</w:t>
            </w:r>
          </w:p>
        </w:tc>
        <w:tc>
          <w:tcPr>
            <w:tcW w:type="dxa" w:w="2880"/>
            <w:tcMar>
              <w:top w:w="70" w:type="dxa"/>
              <w:start w:w="90" w:type="dxa"/>
              <w:bottom w:w="70" w:type="dxa"/>
              <w:end w:w="90" w:type="dxa"/>
            </w:tcMar>
            <w:vAlign w:val="center"/>
          </w:tcPr>
          <w:p>
            <w:pPr>
              <w:spacing w:after="0"/>
            </w:pPr>
            <w:r>
              <w:rPr>
                <w:rFonts w:ascii="Aptos" w:hAnsi="Aptos" w:eastAsia="Aptos"/>
                <w:sz w:val="15"/>
              </w:rPr>
              <w:t>≤85% of eligible value</w:t>
            </w:r>
          </w:p>
        </w:tc>
        <w:tc>
          <w:tcPr>
            <w:tcW w:type="dxa" w:w="4320"/>
            <w:tcMar>
              <w:top w:w="70" w:type="dxa"/>
              <w:start w:w="90" w:type="dxa"/>
              <w:bottom w:w="70" w:type="dxa"/>
              <w:end w:w="90" w:type="dxa"/>
            </w:tcMar>
            <w:vAlign w:val="center"/>
          </w:tcPr>
          <w:p>
            <w:pPr>
              <w:spacing w:after="0"/>
            </w:pPr>
            <w:r>
              <w:rPr>
                <w:rFonts w:ascii="Aptos" w:hAnsi="Aptos" w:eastAsia="Aptos"/>
                <w:sz w:val="15"/>
              </w:rPr>
              <w:t>Product-specific</w:t>
            </w:r>
          </w:p>
        </w:tc>
      </w:tr>
    </w:tbl>
    <w:p>
      <w:pPr>
        <w:spacing w:after="0"/>
      </w:pPr>
    </w:p>
    <w:p>
      <w:pPr>
        <w:spacing w:after="40"/>
      </w:pPr>
      <w:r>
        <w:rPr>
          <w:rFonts w:ascii="Aptos" w:hAnsi="Aptos" w:eastAsia="Aptos"/>
          <w:b/>
          <w:color w:val="17365D"/>
          <w:sz w:val="18"/>
        </w:rPr>
        <w:t>Application notes</w:t>
      </w:r>
    </w:p>
    <w:p>
      <w:pPr>
        <w:spacing w:after="46"/>
        <w:ind w:left="259" w:hanging="173"/>
      </w:pPr>
      <w:r>
        <w:rPr>
          <w:rFonts w:ascii="Aptos" w:hAnsi="Aptos" w:eastAsia="Aptos"/>
          <w:b/>
          <w:color w:val="2F5597"/>
          <w:sz w:val="18"/>
        </w:rPr>
        <w:t xml:space="preserve">• </w:t>
      </w:r>
      <w:r>
        <w:rPr>
          <w:rFonts w:ascii="Aptos" w:hAnsi="Aptos" w:eastAsia="Aptos"/>
          <w:sz w:val="18"/>
        </w:rPr>
        <w:t>Where several limits apply, the most restrictive applicable limit governs unless an approved exception explicitly addresses the conflict.</w:t>
      </w:r>
    </w:p>
    <w:p>
      <w:r>
        <w:br w:type="page"/>
      </w:r>
    </w:p>
    <w:p>
      <w:pPr>
        <w:pStyle w:val="Heading1"/>
      </w:pPr>
      <w:r>
        <w:t>Appendix C — Historical Threshold and Transition Record</w:t>
      </w:r>
    </w:p>
    <w:p>
      <w:r>
        <w:t>This appendix is retained so reviewers can interpret older applications without rewriting historical policy.</w:t>
      </w: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3317"/>
        <w:gridCol w:w="3317"/>
        <w:gridCol w:w="3317"/>
      </w:tblGrid>
      <w:tr>
        <w:trPr>
          <w:tblHeader w:val="true"/>
        </w:trPr>
        <w:tc>
          <w:tcPr>
            <w:tcW w:type="dxa" w:w="2448"/>
            <w:shd w:fill="17365D"/>
            <w:tcMar>
              <w:top w:w="70" w:type="dxa"/>
              <w:start w:w="90" w:type="dxa"/>
              <w:bottom w:w="70" w:type="dxa"/>
              <w:end w:w="90" w:type="dxa"/>
            </w:tcMar>
          </w:tcPr>
          <w:p>
            <w:pPr>
              <w:spacing w:after="0"/>
            </w:pPr>
            <w:r>
              <w:rPr>
                <w:rFonts w:ascii="Aptos" w:hAnsi="Aptos" w:eastAsia="Aptos"/>
                <w:b/>
                <w:color w:val="FFFFFF"/>
                <w:sz w:val="15"/>
              </w:rPr>
              <w:t>Version / period</w:t>
            </w:r>
          </w:p>
        </w:tc>
        <w:tc>
          <w:tcPr>
            <w:tcW w:type="dxa" w:w="2880"/>
            <w:shd w:fill="17365D"/>
            <w:tcMar>
              <w:top w:w="70" w:type="dxa"/>
              <w:start w:w="90" w:type="dxa"/>
              <w:bottom w:w="70" w:type="dxa"/>
              <w:end w:w="90" w:type="dxa"/>
            </w:tcMar>
          </w:tcPr>
          <w:p>
            <w:pPr>
              <w:spacing w:after="0"/>
            </w:pPr>
            <w:r>
              <w:rPr>
                <w:rFonts w:ascii="Aptos" w:hAnsi="Aptos" w:eastAsia="Aptos"/>
                <w:b/>
                <w:color w:val="FFFFFF"/>
                <w:sz w:val="15"/>
              </w:rPr>
              <w:t>Personal-loan DTI rule</w:t>
            </w:r>
          </w:p>
        </w:tc>
        <w:tc>
          <w:tcPr>
            <w:tcW w:type="dxa" w:w="4896"/>
            <w:shd w:fill="17365D"/>
            <w:tcMar>
              <w:top w:w="70" w:type="dxa"/>
              <w:start w:w="90" w:type="dxa"/>
              <w:bottom w:w="70" w:type="dxa"/>
              <w:end w:w="90" w:type="dxa"/>
            </w:tcMar>
          </w:tcPr>
          <w:p>
            <w:pPr>
              <w:spacing w:after="0"/>
            </w:pPr>
            <w:r>
              <w:rPr>
                <w:rFonts w:ascii="Aptos" w:hAnsi="Aptos" w:eastAsia="Aptos"/>
                <w:b/>
                <w:color w:val="FFFFFF"/>
                <w:sz w:val="15"/>
              </w:rPr>
              <w:t>Operational interpretation</w:t>
            </w:r>
          </w:p>
        </w:tc>
      </w:tr>
      <w:tr>
        <w:tc>
          <w:tcPr>
            <w:tcW w:type="dxa" w:w="2448"/>
            <w:tcMar>
              <w:top w:w="70" w:type="dxa"/>
              <w:start w:w="90" w:type="dxa"/>
              <w:bottom w:w="70" w:type="dxa"/>
              <w:end w:w="90" w:type="dxa"/>
            </w:tcMar>
            <w:vAlign w:val="center"/>
          </w:tcPr>
          <w:p>
            <w:pPr>
              <w:spacing w:after="0"/>
            </w:pPr>
            <w:r>
              <w:rPr>
                <w:rFonts w:ascii="Aptos" w:hAnsi="Aptos" w:eastAsia="Aptos"/>
                <w:sz w:val="15"/>
              </w:rPr>
              <w:t>v1.0 — 1 Apr 2022</w:t>
            </w:r>
          </w:p>
        </w:tc>
        <w:tc>
          <w:tcPr>
            <w:tcW w:type="dxa" w:w="2880"/>
            <w:tcMar>
              <w:top w:w="70" w:type="dxa"/>
              <w:start w:w="90" w:type="dxa"/>
              <w:bottom w:w="70" w:type="dxa"/>
              <w:end w:w="90" w:type="dxa"/>
            </w:tcMar>
            <w:vAlign w:val="center"/>
          </w:tcPr>
          <w:p>
            <w:pPr>
              <w:spacing w:after="0"/>
            </w:pPr>
            <w:r>
              <w:rPr>
                <w:rFonts w:ascii="Aptos" w:hAnsi="Aptos" w:eastAsia="Aptos"/>
                <w:sz w:val="15"/>
              </w:rPr>
              <w:t>50% standard</w:t>
            </w:r>
          </w:p>
        </w:tc>
        <w:tc>
          <w:tcPr>
            <w:tcW w:type="dxa" w:w="4896"/>
            <w:tcMar>
              <w:top w:w="70" w:type="dxa"/>
              <w:start w:w="90" w:type="dxa"/>
              <w:bottom w:w="70" w:type="dxa"/>
              <w:end w:w="90" w:type="dxa"/>
            </w:tcMar>
            <w:vAlign w:val="center"/>
          </w:tcPr>
          <w:p>
            <w:pPr>
              <w:spacing w:after="0"/>
            </w:pPr>
            <w:r>
              <w:rPr>
                <w:rFonts w:ascii="Aptos" w:hAnsi="Aptos" w:eastAsia="Aptos"/>
                <w:sz w:val="15"/>
              </w:rPr>
              <w:t>Original enterprise cap.</w:t>
            </w:r>
          </w:p>
        </w:tc>
      </w:tr>
      <w:tr>
        <w:tc>
          <w:tcPr>
            <w:tcW w:type="dxa" w:w="2448"/>
            <w:shd w:fill="F7F9FC"/>
            <w:tcMar>
              <w:top w:w="70" w:type="dxa"/>
              <w:start w:w="90" w:type="dxa"/>
              <w:bottom w:w="70" w:type="dxa"/>
              <w:end w:w="90" w:type="dxa"/>
            </w:tcMar>
            <w:vAlign w:val="center"/>
          </w:tcPr>
          <w:p>
            <w:pPr>
              <w:spacing w:after="0"/>
            </w:pPr>
            <w:r>
              <w:rPr>
                <w:rFonts w:ascii="Aptos" w:hAnsi="Aptos" w:eastAsia="Aptos"/>
                <w:sz w:val="15"/>
              </w:rPr>
              <w:t>v1.2 — 1 Jul 2023</w:t>
            </w:r>
          </w:p>
        </w:tc>
        <w:tc>
          <w:tcPr>
            <w:tcW w:type="dxa" w:w="2880"/>
            <w:shd w:fill="F7F9FC"/>
            <w:tcMar>
              <w:top w:w="70" w:type="dxa"/>
              <w:start w:w="90" w:type="dxa"/>
              <w:bottom w:w="70" w:type="dxa"/>
              <w:end w:w="90" w:type="dxa"/>
            </w:tcMar>
            <w:vAlign w:val="center"/>
          </w:tcPr>
          <w:p>
            <w:pPr>
              <w:spacing w:after="0"/>
            </w:pPr>
            <w:r>
              <w:rPr>
                <w:rFonts w:ascii="Aptos" w:hAnsi="Aptos" w:eastAsia="Aptos"/>
                <w:sz w:val="15"/>
              </w:rPr>
              <w:t>50% standard</w:t>
            </w:r>
          </w:p>
        </w:tc>
        <w:tc>
          <w:tcPr>
            <w:tcW w:type="dxa" w:w="4896"/>
            <w:shd w:fill="F7F9FC"/>
            <w:tcMar>
              <w:top w:w="70" w:type="dxa"/>
              <w:start w:w="90" w:type="dxa"/>
              <w:bottom w:w="70" w:type="dxa"/>
              <w:end w:w="90" w:type="dxa"/>
            </w:tcMar>
            <w:vAlign w:val="center"/>
          </w:tcPr>
          <w:p>
            <w:pPr>
              <w:spacing w:after="0"/>
            </w:pPr>
            <w:r>
              <w:rPr>
                <w:rFonts w:ascii="Aptos" w:hAnsi="Aptos" w:eastAsia="Aptos"/>
                <w:sz w:val="15"/>
              </w:rPr>
              <w:t>Other affordability controls tightened; DTI unchanged.</w:t>
            </w:r>
          </w:p>
        </w:tc>
      </w:tr>
      <w:tr>
        <w:tc>
          <w:tcPr>
            <w:tcW w:type="dxa" w:w="2448"/>
            <w:tcMar>
              <w:top w:w="70" w:type="dxa"/>
              <w:start w:w="90" w:type="dxa"/>
              <w:bottom w:w="70" w:type="dxa"/>
              <w:end w:w="90" w:type="dxa"/>
            </w:tcMar>
            <w:vAlign w:val="center"/>
          </w:tcPr>
          <w:p>
            <w:pPr>
              <w:spacing w:after="0"/>
            </w:pPr>
            <w:r>
              <w:rPr>
                <w:rFonts w:ascii="Aptos" w:hAnsi="Aptos" w:eastAsia="Aptos"/>
                <w:sz w:val="15"/>
              </w:rPr>
              <w:t>v2.0 — from 1 Apr 2025</w:t>
            </w:r>
          </w:p>
        </w:tc>
        <w:tc>
          <w:tcPr>
            <w:tcW w:type="dxa" w:w="2880"/>
            <w:tcMar>
              <w:top w:w="70" w:type="dxa"/>
              <w:start w:w="90" w:type="dxa"/>
              <w:bottom w:w="70" w:type="dxa"/>
              <w:end w:w="90" w:type="dxa"/>
            </w:tcMar>
            <w:vAlign w:val="center"/>
          </w:tcPr>
          <w:p>
            <w:pPr>
              <w:spacing w:after="0"/>
            </w:pPr>
            <w:r>
              <w:rPr>
                <w:rFonts w:ascii="Aptos" w:hAnsi="Aptos" w:eastAsia="Aptos"/>
                <w:sz w:val="15"/>
              </w:rPr>
              <w:t>45% standard</w:t>
            </w:r>
          </w:p>
        </w:tc>
        <w:tc>
          <w:tcPr>
            <w:tcW w:type="dxa" w:w="4896"/>
            <w:tcMar>
              <w:top w:w="70" w:type="dxa"/>
              <w:start w:w="90" w:type="dxa"/>
              <w:bottom w:w="70" w:type="dxa"/>
              <w:end w:w="90" w:type="dxa"/>
            </w:tcMar>
            <w:vAlign w:val="center"/>
          </w:tcPr>
          <w:p>
            <w:pPr>
              <w:spacing w:after="0"/>
            </w:pPr>
            <w:r>
              <w:rPr>
                <w:rFonts w:ascii="Aptos" w:hAnsi="Aptos" w:eastAsia="Aptos"/>
                <w:sz w:val="15"/>
              </w:rPr>
              <w:t>New standard limit.</w:t>
            </w:r>
          </w:p>
        </w:tc>
      </w:tr>
      <w:tr>
        <w:tc>
          <w:tcPr>
            <w:tcW w:type="dxa" w:w="2448"/>
            <w:shd w:fill="F7F9FC"/>
            <w:tcMar>
              <w:top w:w="70" w:type="dxa"/>
              <w:start w:w="90" w:type="dxa"/>
              <w:bottom w:w="70" w:type="dxa"/>
              <w:end w:w="90" w:type="dxa"/>
            </w:tcMar>
            <w:vAlign w:val="center"/>
          </w:tcPr>
          <w:p>
            <w:pPr>
              <w:spacing w:after="0"/>
            </w:pPr>
            <w:r>
              <w:rPr>
                <w:rFonts w:ascii="Aptos" w:hAnsi="Aptos" w:eastAsia="Aptos"/>
                <w:sz w:val="15"/>
              </w:rPr>
              <w:t>Transition to 31 May 2025</w:t>
            </w:r>
          </w:p>
        </w:tc>
        <w:tc>
          <w:tcPr>
            <w:tcW w:type="dxa" w:w="2880"/>
            <w:shd w:fill="F7F9FC"/>
            <w:tcMar>
              <w:top w:w="70" w:type="dxa"/>
              <w:start w:w="90" w:type="dxa"/>
              <w:bottom w:w="70" w:type="dxa"/>
              <w:end w:w="90" w:type="dxa"/>
            </w:tcMar>
            <w:vAlign w:val="center"/>
          </w:tcPr>
          <w:p>
            <w:pPr>
              <w:spacing w:after="0"/>
            </w:pPr>
            <w:r>
              <w:rPr>
                <w:rFonts w:ascii="Aptos" w:hAnsi="Aptos" w:eastAsia="Aptos"/>
                <w:sz w:val="15"/>
              </w:rPr>
              <w:t>Up to prior 50% only for applications submitted before 1 Apr 2025</w:t>
            </w:r>
          </w:p>
        </w:tc>
        <w:tc>
          <w:tcPr>
            <w:tcW w:type="dxa" w:w="4896"/>
            <w:shd w:fill="F7F9FC"/>
            <w:tcMar>
              <w:top w:w="70" w:type="dxa"/>
              <w:start w:w="90" w:type="dxa"/>
              <w:bottom w:w="70" w:type="dxa"/>
              <w:end w:w="90" w:type="dxa"/>
            </w:tcMar>
            <w:vAlign w:val="center"/>
          </w:tcPr>
          <w:p>
            <w:pPr>
              <w:spacing w:after="0"/>
            </w:pPr>
            <w:r>
              <w:rPr>
                <w:rFonts w:ascii="Aptos" w:hAnsi="Aptos" w:eastAsia="Aptos"/>
                <w:sz w:val="15"/>
              </w:rPr>
              <w:t>Evidence of submission date required; no later than 31 May 2025 final approval.</w:t>
            </w:r>
          </w:p>
        </w:tc>
      </w:tr>
      <w:tr>
        <w:tc>
          <w:tcPr>
            <w:tcW w:type="dxa" w:w="2448"/>
            <w:tcMar>
              <w:top w:w="70" w:type="dxa"/>
              <w:start w:w="90" w:type="dxa"/>
              <w:bottom w:w="70" w:type="dxa"/>
              <w:end w:w="90" w:type="dxa"/>
            </w:tcMar>
            <w:vAlign w:val="center"/>
          </w:tcPr>
          <w:p>
            <w:pPr>
              <w:spacing w:after="0"/>
            </w:pPr>
            <w:r>
              <w:rPr>
                <w:rFonts w:ascii="Aptos" w:hAnsi="Aptos" w:eastAsia="Aptos"/>
                <w:sz w:val="15"/>
              </w:rPr>
              <w:t>From 1 Jun 2025</w:t>
            </w:r>
          </w:p>
        </w:tc>
        <w:tc>
          <w:tcPr>
            <w:tcW w:type="dxa" w:w="2880"/>
            <w:tcMar>
              <w:top w:w="70" w:type="dxa"/>
              <w:start w:w="90" w:type="dxa"/>
              <w:bottom w:w="70" w:type="dxa"/>
              <w:end w:w="90" w:type="dxa"/>
            </w:tcMar>
            <w:vAlign w:val="center"/>
          </w:tcPr>
          <w:p>
            <w:pPr>
              <w:spacing w:after="0"/>
            </w:pPr>
            <w:r>
              <w:rPr>
                <w:rFonts w:ascii="Aptos" w:hAnsi="Aptos" w:eastAsia="Aptos"/>
                <w:sz w:val="15"/>
              </w:rPr>
              <w:t>45% standard</w:t>
            </w:r>
          </w:p>
        </w:tc>
        <w:tc>
          <w:tcPr>
            <w:tcW w:type="dxa" w:w="4896"/>
            <w:tcMar>
              <w:top w:w="70" w:type="dxa"/>
              <w:start w:w="90" w:type="dxa"/>
              <w:bottom w:w="70" w:type="dxa"/>
              <w:end w:w="90" w:type="dxa"/>
            </w:tcMar>
            <w:vAlign w:val="center"/>
          </w:tcPr>
          <w:p>
            <w:pPr>
              <w:spacing w:after="0"/>
            </w:pPr>
            <w:r>
              <w:rPr>
                <w:rFonts w:ascii="Aptos" w:hAnsi="Aptos" w:eastAsia="Aptos"/>
                <w:sz w:val="15"/>
              </w:rPr>
              <w:t>Any excess requires current exception route.</w:t>
            </w:r>
          </w:p>
        </w:tc>
      </w:tr>
    </w:tbl>
    <w:p>
      <w:pPr>
        <w:spacing w:after="0"/>
      </w:pPr>
    </w:p>
    <w:p>
      <w:pPr>
        <w:spacing w:after="40"/>
      </w:pPr>
      <w:r>
        <w:rPr>
          <w:rFonts w:ascii="Aptos" w:hAnsi="Aptos" w:eastAsia="Aptos"/>
          <w:b/>
          <w:color w:val="17365D"/>
          <w:sz w:val="18"/>
        </w:rPr>
        <w:t>Application notes</w:t>
      </w:r>
    </w:p>
    <w:p>
      <w:pPr>
        <w:spacing w:after="46"/>
        <w:ind w:left="259" w:hanging="173"/>
      </w:pPr>
      <w:r>
        <w:rPr>
          <w:rFonts w:ascii="Aptos" w:hAnsi="Aptos" w:eastAsia="Aptos"/>
          <w:b/>
          <w:color w:val="2F5597"/>
          <w:sz w:val="18"/>
        </w:rPr>
        <w:t xml:space="preserve">• </w:t>
      </w:r>
      <w:r>
        <w:rPr>
          <w:rFonts w:ascii="Aptos" w:hAnsi="Aptos" w:eastAsia="Aptos"/>
          <w:sz w:val="18"/>
        </w:rPr>
        <w:t>A stale system threshold is not a transition provision.</w:t>
      </w:r>
    </w:p>
    <w:p>
      <w:pPr>
        <w:spacing w:after="46"/>
        <w:ind w:left="259" w:hanging="173"/>
      </w:pPr>
      <w:r>
        <w:rPr>
          <w:rFonts w:ascii="Aptos" w:hAnsi="Aptos" w:eastAsia="Aptos"/>
          <w:b/>
          <w:color w:val="2F5597"/>
          <w:sz w:val="18"/>
        </w:rPr>
        <w:t xml:space="preserve">• </w:t>
      </w:r>
      <w:r>
        <w:rPr>
          <w:rFonts w:ascii="Aptos" w:hAnsi="Aptos" w:eastAsia="Aptos"/>
          <w:sz w:val="18"/>
        </w:rPr>
        <w:t>The historical record should be read with PLU-011 where personal-loan underwriting is involved.</w:t>
      </w:r>
    </w:p>
    <w:p>
      <w:r>
        <w:br w:type="page"/>
      </w:r>
    </w:p>
    <w:p>
      <w:pPr>
        <w:pStyle w:val="Heading1"/>
      </w:pPr>
      <w:r>
        <w:t>Appendix D — Credit Edge-Case Treatment</w:t>
      </w:r>
    </w:p>
    <w:p>
      <w:r>
        <w:t>The examples illustrate how multiple controls interact. They are not blanket approvals and do not replace case-specific judgement.</w:t>
      </w: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3317"/>
        <w:gridCol w:w="3317"/>
        <w:gridCol w:w="3317"/>
      </w:tblGrid>
      <w:tr>
        <w:trPr>
          <w:tblHeader w:val="true"/>
        </w:trPr>
        <w:tc>
          <w:tcPr>
            <w:tcW w:type="dxa" w:w="3168"/>
            <w:shd w:fill="17365D"/>
            <w:tcMar>
              <w:top w:w="70" w:type="dxa"/>
              <w:start w:w="90" w:type="dxa"/>
              <w:bottom w:w="70" w:type="dxa"/>
              <w:end w:w="90" w:type="dxa"/>
            </w:tcMar>
          </w:tcPr>
          <w:p>
            <w:pPr>
              <w:spacing w:after="0"/>
            </w:pPr>
            <w:r>
              <w:rPr>
                <w:rFonts w:ascii="Aptos" w:hAnsi="Aptos" w:eastAsia="Aptos"/>
                <w:b/>
                <w:color w:val="FFFFFF"/>
                <w:sz w:val="15"/>
              </w:rPr>
              <w:t>Scenario</w:t>
            </w:r>
          </w:p>
        </w:tc>
        <w:tc>
          <w:tcPr>
            <w:tcW w:type="dxa" w:w="4464"/>
            <w:shd w:fill="17365D"/>
            <w:tcMar>
              <w:top w:w="70" w:type="dxa"/>
              <w:start w:w="90" w:type="dxa"/>
              <w:bottom w:w="70" w:type="dxa"/>
              <w:end w:w="90" w:type="dxa"/>
            </w:tcMar>
          </w:tcPr>
          <w:p>
            <w:pPr>
              <w:spacing w:after="0"/>
            </w:pPr>
            <w:r>
              <w:rPr>
                <w:rFonts w:ascii="Aptos" w:hAnsi="Aptos" w:eastAsia="Aptos"/>
                <w:b/>
                <w:color w:val="FFFFFF"/>
                <w:sz w:val="15"/>
              </w:rPr>
              <w:t>Expected treatment</w:t>
            </w:r>
          </w:p>
        </w:tc>
        <w:tc>
          <w:tcPr>
            <w:tcW w:type="dxa" w:w="2880"/>
            <w:shd w:fill="17365D"/>
            <w:tcMar>
              <w:top w:w="70" w:type="dxa"/>
              <w:start w:w="90" w:type="dxa"/>
              <w:bottom w:w="70" w:type="dxa"/>
              <w:end w:w="90" w:type="dxa"/>
            </w:tcMar>
          </w:tcPr>
          <w:p>
            <w:pPr>
              <w:spacing w:after="0"/>
            </w:pPr>
            <w:r>
              <w:rPr>
                <w:rFonts w:ascii="Aptos" w:hAnsi="Aptos" w:eastAsia="Aptos"/>
                <w:b/>
                <w:color w:val="FFFFFF"/>
                <w:sz w:val="15"/>
              </w:rPr>
              <w:t>Primary record</w:t>
            </w:r>
          </w:p>
        </w:tc>
      </w:tr>
      <w:tr>
        <w:tc>
          <w:tcPr>
            <w:tcW w:type="dxa" w:w="3168"/>
            <w:tcMar>
              <w:top w:w="70" w:type="dxa"/>
              <w:start w:w="90" w:type="dxa"/>
              <w:bottom w:w="70" w:type="dxa"/>
              <w:end w:w="90" w:type="dxa"/>
            </w:tcMar>
            <w:vAlign w:val="center"/>
          </w:tcPr>
          <w:p>
            <w:pPr>
              <w:spacing w:after="0"/>
            </w:pPr>
            <w:r>
              <w:rPr>
                <w:rFonts w:ascii="Aptos" w:hAnsi="Aptos" w:eastAsia="Aptos"/>
                <w:sz w:val="15"/>
              </w:rPr>
              <w:t>Strong income but poor recent credit history</w:t>
            </w:r>
          </w:p>
        </w:tc>
        <w:tc>
          <w:tcPr>
            <w:tcW w:type="dxa" w:w="4464"/>
            <w:tcMar>
              <w:top w:w="70" w:type="dxa"/>
              <w:start w:w="90" w:type="dxa"/>
              <w:bottom w:w="70" w:type="dxa"/>
              <w:end w:w="90" w:type="dxa"/>
            </w:tcMar>
            <w:vAlign w:val="center"/>
          </w:tcPr>
          <w:p>
            <w:pPr>
              <w:spacing w:after="0"/>
            </w:pPr>
            <w:r>
              <w:rPr>
                <w:rFonts w:ascii="Aptos" w:hAnsi="Aptos" w:eastAsia="Aptos"/>
                <w:sz w:val="15"/>
              </w:rPr>
              <w:t>Enhanced review; numerical affordability does not cure adverse conduct</w:t>
            </w:r>
          </w:p>
        </w:tc>
        <w:tc>
          <w:tcPr>
            <w:tcW w:type="dxa" w:w="2880"/>
            <w:tcMar>
              <w:top w:w="70" w:type="dxa"/>
              <w:start w:w="90" w:type="dxa"/>
              <w:bottom w:w="70" w:type="dxa"/>
              <w:end w:w="90" w:type="dxa"/>
            </w:tcMar>
            <w:vAlign w:val="center"/>
          </w:tcPr>
          <w:p>
            <w:pPr>
              <w:spacing w:after="0"/>
            </w:pPr>
            <w:r>
              <w:rPr>
                <w:rFonts w:ascii="Aptos" w:hAnsi="Aptos" w:eastAsia="Aptos"/>
                <w:sz w:val="15"/>
              </w:rPr>
              <w:t>Underwriting rationale</w:t>
            </w:r>
          </w:p>
        </w:tc>
      </w:tr>
      <w:tr>
        <w:tc>
          <w:tcPr>
            <w:tcW w:type="dxa" w:w="3168"/>
            <w:shd w:fill="F7F9FC"/>
            <w:tcMar>
              <w:top w:w="70" w:type="dxa"/>
              <w:start w:w="90" w:type="dxa"/>
              <w:bottom w:w="70" w:type="dxa"/>
              <w:end w:w="90" w:type="dxa"/>
            </w:tcMar>
            <w:vAlign w:val="center"/>
          </w:tcPr>
          <w:p>
            <w:pPr>
              <w:spacing w:after="0"/>
            </w:pPr>
            <w:r>
              <w:rPr>
                <w:rFonts w:ascii="Aptos" w:hAnsi="Aptos" w:eastAsia="Aptos"/>
                <w:sz w:val="15"/>
              </w:rPr>
              <w:t>High bureau score but unstable income</w:t>
            </w:r>
          </w:p>
        </w:tc>
        <w:tc>
          <w:tcPr>
            <w:tcW w:type="dxa" w:w="4464"/>
            <w:shd w:fill="F7F9FC"/>
            <w:tcMar>
              <w:top w:w="70" w:type="dxa"/>
              <w:start w:w="90" w:type="dxa"/>
              <w:bottom w:w="70" w:type="dxa"/>
              <w:end w:w="90" w:type="dxa"/>
            </w:tcMar>
            <w:vAlign w:val="center"/>
          </w:tcPr>
          <w:p>
            <w:pPr>
              <w:spacing w:after="0"/>
            </w:pPr>
            <w:r>
              <w:rPr>
                <w:rFonts w:ascii="Aptos" w:hAnsi="Aptos" w:eastAsia="Aptos"/>
                <w:sz w:val="15"/>
              </w:rPr>
              <w:t>Manual assessment of income stability; consider haircut or shorter tenor</w:t>
            </w:r>
          </w:p>
        </w:tc>
        <w:tc>
          <w:tcPr>
            <w:tcW w:type="dxa" w:w="2880"/>
            <w:shd w:fill="F7F9FC"/>
            <w:tcMar>
              <w:top w:w="70" w:type="dxa"/>
              <w:start w:w="90" w:type="dxa"/>
              <w:bottom w:w="70" w:type="dxa"/>
              <w:end w:w="90" w:type="dxa"/>
            </w:tcMar>
            <w:vAlign w:val="center"/>
          </w:tcPr>
          <w:p>
            <w:pPr>
              <w:spacing w:after="0"/>
            </w:pPr>
            <w:r>
              <w:rPr>
                <w:rFonts w:ascii="Aptos" w:hAnsi="Aptos" w:eastAsia="Aptos"/>
                <w:sz w:val="15"/>
              </w:rPr>
              <w:t>Income assessment</w:t>
            </w:r>
          </w:p>
        </w:tc>
      </w:tr>
      <w:tr>
        <w:tc>
          <w:tcPr>
            <w:tcW w:type="dxa" w:w="3168"/>
            <w:tcMar>
              <w:top w:w="70" w:type="dxa"/>
              <w:start w:w="90" w:type="dxa"/>
              <w:bottom w:w="70" w:type="dxa"/>
              <w:end w:w="90" w:type="dxa"/>
            </w:tcMar>
            <w:vAlign w:val="center"/>
          </w:tcPr>
          <w:p>
            <w:pPr>
              <w:spacing w:after="0"/>
            </w:pPr>
            <w:r>
              <w:rPr>
                <w:rFonts w:ascii="Aptos" w:hAnsi="Aptos" w:eastAsia="Aptos"/>
                <w:sz w:val="15"/>
              </w:rPr>
              <w:t>DTI 46.2% with strong compensating factors</w:t>
            </w:r>
          </w:p>
        </w:tc>
        <w:tc>
          <w:tcPr>
            <w:tcW w:type="dxa" w:w="4464"/>
            <w:tcMar>
              <w:top w:w="70" w:type="dxa"/>
              <w:start w:w="90" w:type="dxa"/>
              <w:bottom w:w="70" w:type="dxa"/>
              <w:end w:w="90" w:type="dxa"/>
            </w:tcMar>
            <w:vAlign w:val="center"/>
          </w:tcPr>
          <w:p>
            <w:pPr>
              <w:spacing w:after="0"/>
            </w:pPr>
            <w:r>
              <w:rPr>
                <w:rFonts w:ascii="Aptos" w:hAnsi="Aptos" w:eastAsia="Aptos"/>
                <w:sz w:val="15"/>
              </w:rPr>
              <w:t>E2 exception; Senior Credit Manager minimum</w:t>
            </w:r>
          </w:p>
        </w:tc>
        <w:tc>
          <w:tcPr>
            <w:tcW w:type="dxa" w:w="2880"/>
            <w:tcMar>
              <w:top w:w="70" w:type="dxa"/>
              <w:start w:w="90" w:type="dxa"/>
              <w:bottom w:w="70" w:type="dxa"/>
              <w:end w:w="90" w:type="dxa"/>
            </w:tcMar>
            <w:vAlign w:val="center"/>
          </w:tcPr>
          <w:p>
            <w:pPr>
              <w:spacing w:after="0"/>
            </w:pPr>
            <w:r>
              <w:rPr>
                <w:rFonts w:ascii="Aptos" w:hAnsi="Aptos" w:eastAsia="Aptos"/>
                <w:sz w:val="15"/>
              </w:rPr>
              <w:t>Exception ID</w:t>
            </w:r>
          </w:p>
        </w:tc>
      </w:tr>
      <w:tr>
        <w:tc>
          <w:tcPr>
            <w:tcW w:type="dxa" w:w="3168"/>
            <w:shd w:fill="F7F9FC"/>
            <w:tcMar>
              <w:top w:w="70" w:type="dxa"/>
              <w:start w:w="90" w:type="dxa"/>
              <w:bottom w:w="70" w:type="dxa"/>
              <w:end w:w="90" w:type="dxa"/>
            </w:tcMar>
            <w:vAlign w:val="center"/>
          </w:tcPr>
          <w:p>
            <w:pPr>
              <w:spacing w:after="0"/>
            </w:pPr>
            <w:r>
              <w:rPr>
                <w:rFonts w:ascii="Aptos" w:hAnsi="Aptos" w:eastAsia="Aptos"/>
                <w:sz w:val="15"/>
              </w:rPr>
              <w:t>Undeclared existing loan found on bureau</w:t>
            </w:r>
          </w:p>
        </w:tc>
        <w:tc>
          <w:tcPr>
            <w:tcW w:type="dxa" w:w="4464"/>
            <w:shd w:fill="F7F9FC"/>
            <w:tcMar>
              <w:top w:w="70" w:type="dxa"/>
              <w:start w:w="90" w:type="dxa"/>
              <w:bottom w:w="70" w:type="dxa"/>
              <w:end w:w="90" w:type="dxa"/>
            </w:tcMar>
            <w:vAlign w:val="center"/>
          </w:tcPr>
          <w:p>
            <w:pPr>
              <w:spacing w:after="0"/>
            </w:pPr>
            <w:r>
              <w:rPr>
                <w:rFonts w:ascii="Aptos" w:hAnsi="Aptos" w:eastAsia="Aptos"/>
                <w:sz w:val="15"/>
              </w:rPr>
              <w:t>Recalculate DTI/FOIR; assess whether omission indicates fraud</w:t>
            </w:r>
          </w:p>
        </w:tc>
        <w:tc>
          <w:tcPr>
            <w:tcW w:type="dxa" w:w="2880"/>
            <w:shd w:fill="F7F9FC"/>
            <w:tcMar>
              <w:top w:w="70" w:type="dxa"/>
              <w:start w:w="90" w:type="dxa"/>
              <w:bottom w:w="70" w:type="dxa"/>
              <w:end w:w="90" w:type="dxa"/>
            </w:tcMar>
            <w:vAlign w:val="center"/>
          </w:tcPr>
          <w:p>
            <w:pPr>
              <w:spacing w:after="0"/>
            </w:pPr>
            <w:r>
              <w:rPr>
                <w:rFonts w:ascii="Aptos" w:hAnsi="Aptos" w:eastAsia="Aptos"/>
                <w:sz w:val="15"/>
              </w:rPr>
              <w:t>Obligation reconciliation</w:t>
            </w:r>
          </w:p>
        </w:tc>
      </w:tr>
      <w:tr>
        <w:tc>
          <w:tcPr>
            <w:tcW w:type="dxa" w:w="3168"/>
            <w:tcMar>
              <w:top w:w="70" w:type="dxa"/>
              <w:start w:w="90" w:type="dxa"/>
              <w:bottom w:w="70" w:type="dxa"/>
              <w:end w:w="90" w:type="dxa"/>
            </w:tcMar>
            <w:vAlign w:val="center"/>
          </w:tcPr>
          <w:p>
            <w:pPr>
              <w:spacing w:after="0"/>
            </w:pPr>
            <w:r>
              <w:rPr>
                <w:rFonts w:ascii="Aptos" w:hAnsi="Aptos" w:eastAsia="Aptos"/>
                <w:sz w:val="15"/>
              </w:rPr>
              <w:t>Collateral valuation outside permitted age</w:t>
            </w:r>
          </w:p>
        </w:tc>
        <w:tc>
          <w:tcPr>
            <w:tcW w:type="dxa" w:w="4464"/>
            <w:tcMar>
              <w:top w:w="70" w:type="dxa"/>
              <w:start w:w="90" w:type="dxa"/>
              <w:bottom w:w="70" w:type="dxa"/>
              <w:end w:w="90" w:type="dxa"/>
            </w:tcMar>
            <w:vAlign w:val="center"/>
          </w:tcPr>
          <w:p>
            <w:pPr>
              <w:spacing w:after="0"/>
            </w:pPr>
            <w:r>
              <w:rPr>
                <w:rFonts w:ascii="Aptos" w:hAnsi="Aptos" w:eastAsia="Aptos"/>
                <w:sz w:val="15"/>
              </w:rPr>
              <w:t>Refresh valuation before relying on collateral value</w:t>
            </w:r>
          </w:p>
        </w:tc>
        <w:tc>
          <w:tcPr>
            <w:tcW w:type="dxa" w:w="2880"/>
            <w:tcMar>
              <w:top w:w="70" w:type="dxa"/>
              <w:start w:w="90" w:type="dxa"/>
              <w:bottom w:w="70" w:type="dxa"/>
              <w:end w:w="90" w:type="dxa"/>
            </w:tcMar>
            <w:vAlign w:val="center"/>
          </w:tcPr>
          <w:p>
            <w:pPr>
              <w:spacing w:after="0"/>
            </w:pPr>
            <w:r>
              <w:rPr>
                <w:rFonts w:ascii="Aptos" w:hAnsi="Aptos" w:eastAsia="Aptos"/>
                <w:sz w:val="15"/>
              </w:rPr>
              <w:t>Current valuation</w:t>
            </w:r>
          </w:p>
        </w:tc>
      </w:tr>
      <w:tr>
        <w:tc>
          <w:tcPr>
            <w:tcW w:type="dxa" w:w="3168"/>
            <w:shd w:fill="F7F9FC"/>
            <w:tcMar>
              <w:top w:w="70" w:type="dxa"/>
              <w:start w:w="90" w:type="dxa"/>
              <w:bottom w:w="70" w:type="dxa"/>
              <w:end w:w="90" w:type="dxa"/>
            </w:tcMar>
            <w:vAlign w:val="center"/>
          </w:tcPr>
          <w:p>
            <w:pPr>
              <w:spacing w:after="0"/>
            </w:pPr>
            <w:r>
              <w:rPr>
                <w:rFonts w:ascii="Aptos" w:hAnsi="Aptos" w:eastAsia="Aptos"/>
                <w:sz w:val="15"/>
              </w:rPr>
              <w:t>Loan exceeds approver's delegated amount</w:t>
            </w:r>
          </w:p>
        </w:tc>
        <w:tc>
          <w:tcPr>
            <w:tcW w:type="dxa" w:w="4464"/>
            <w:shd w:fill="F7F9FC"/>
            <w:tcMar>
              <w:top w:w="70" w:type="dxa"/>
              <w:start w:w="90" w:type="dxa"/>
              <w:bottom w:w="70" w:type="dxa"/>
              <w:end w:w="90" w:type="dxa"/>
            </w:tcMar>
            <w:vAlign w:val="center"/>
          </w:tcPr>
          <w:p>
            <w:pPr>
              <w:spacing w:after="0"/>
            </w:pPr>
            <w:r>
              <w:rPr>
                <w:rFonts w:ascii="Aptos" w:hAnsi="Aptos" w:eastAsia="Aptos"/>
                <w:sz w:val="15"/>
              </w:rPr>
              <w:t>Route to higher authority; do not split or stage to avoid authority</w:t>
            </w:r>
          </w:p>
        </w:tc>
        <w:tc>
          <w:tcPr>
            <w:tcW w:type="dxa" w:w="2880"/>
            <w:shd w:fill="F7F9FC"/>
            <w:tcMar>
              <w:top w:w="70" w:type="dxa"/>
              <w:start w:w="90" w:type="dxa"/>
              <w:bottom w:w="70" w:type="dxa"/>
              <w:end w:w="90" w:type="dxa"/>
            </w:tcMar>
            <w:vAlign w:val="center"/>
          </w:tcPr>
          <w:p>
            <w:pPr>
              <w:spacing w:after="0"/>
            </w:pPr>
            <w:r>
              <w:rPr>
                <w:rFonts w:ascii="Aptos" w:hAnsi="Aptos" w:eastAsia="Aptos"/>
                <w:sz w:val="15"/>
              </w:rPr>
              <w:t>Approval log</w:t>
            </w:r>
          </w:p>
        </w:tc>
      </w:tr>
    </w:tbl>
    <w:p>
      <w:pPr>
        <w:spacing w:after="0"/>
      </w:pPr>
    </w:p>
    <w:p>
      <w:pPr>
        <w:spacing w:after="40"/>
      </w:pPr>
      <w:r>
        <w:rPr>
          <w:rFonts w:ascii="Aptos" w:hAnsi="Aptos" w:eastAsia="Aptos"/>
          <w:b/>
          <w:color w:val="17365D"/>
          <w:sz w:val="18"/>
        </w:rPr>
        <w:t>Application notes</w:t>
      </w:r>
    </w:p>
    <w:p>
      <w:pPr>
        <w:spacing w:after="46"/>
        <w:ind w:left="259" w:hanging="173"/>
      </w:pPr>
      <w:r>
        <w:rPr>
          <w:rFonts w:ascii="Aptos" w:hAnsi="Aptos" w:eastAsia="Aptos"/>
          <w:b/>
          <w:color w:val="2F5597"/>
          <w:sz w:val="18"/>
        </w:rPr>
        <w:t xml:space="preserve">• </w:t>
      </w:r>
      <w:r>
        <w:rPr>
          <w:rFonts w:ascii="Aptos" w:hAnsi="Aptos" w:eastAsia="Aptos"/>
          <w:sz w:val="18"/>
        </w:rPr>
        <w:t>Business urgency is not a compensating factor.</w:t>
      </w:r>
    </w:p>
    <w:p>
      <w:pPr>
        <w:spacing w:after="46"/>
        <w:ind w:left="259" w:hanging="173"/>
      </w:pPr>
      <w:r>
        <w:rPr>
          <w:rFonts w:ascii="Aptos" w:hAnsi="Aptos" w:eastAsia="Aptos"/>
          <w:b/>
          <w:color w:val="2F5597"/>
          <w:sz w:val="18"/>
        </w:rPr>
        <w:t xml:space="preserve">• </w:t>
      </w:r>
      <w:r>
        <w:rPr>
          <w:rFonts w:ascii="Aptos" w:hAnsi="Aptos" w:eastAsia="Aptos"/>
          <w:sz w:val="18"/>
        </w:rPr>
        <w:t>Where facts change before disbursement, LDP-013 may require re-underwriting or reapproval.</w:t>
      </w:r>
    </w:p>
    <w:sectPr w:rsidR="00FC693F" w:rsidRPr="0006063C" w:rsidSect="00034616">
      <w:headerReference w:type="default" r:id="rId9"/>
      <w:footerReference w:type="default" r:id="rId10"/>
      <w:pgSz w:w="11909" w:h="16834"/>
      <w:pgMar w:top="864" w:right="979" w:bottom="893"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20"/>
      <w:jc w:val="center"/>
    </w:pPr>
    <w:r>
      <w:rPr>
        <w:rFonts w:ascii="Aptos" w:hAnsi="Aptos" w:eastAsia="Aptos"/>
        <w:b w:val="0"/>
        <w:color w:val="595959"/>
        <w:sz w:val="10"/>
      </w:rPr>
      <w:t>Northstar Financial — Synthetic Internal Document. This document is fictional and created solely for educational and software-development purposes. It does not represent an actual financial institution, regulatory requirement, legal obligation, or financial advice.</w:t>
    </w:r>
  </w:p>
  <w:p>
    <w:pPr>
      <w:jc w:val="center"/>
    </w:pPr>
    <w:r>
      <w:rPr>
        <w:rFonts w:ascii="Aptos" w:hAnsi="Aptos" w:eastAsia="Aptos"/>
        <w:b w:val="0"/>
        <w:color w:val="595959"/>
        <w:sz w:val="12"/>
      </w:rPr>
      <w:t xml:space="preserve">Internal Use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ptos" w:hAnsi="Aptos" w:eastAsia="Aptos"/>
        <w:b/>
        <w:color w:val="17365D"/>
        <w:sz w:val="14"/>
      </w:rPr>
      <w:t>NORTHSTAR FINANCIAL  |  CRP-001  |  Credit Risk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0" w:lineRule="auto"/>
    </w:pPr>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eastAsia="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w:hAnsi="Aptos" w:eastAsia="Aptos"/>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eastAsia="Aptos"/>
      <w:b/>
      <w:bCs/>
      <w:color w:val="59595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eastAsia="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rolNote">
    <w:name w:val="Control Note"/>
    <w:pPr>
      <w:spacing w:after="80"/>
      <w:ind w:left="259"/>
    </w:pPr>
    <w:rPr>
      <w:rFonts w:ascii="Aptos" w:hAnsi="Aptos" w:eastAsia="Aptos"/>
      <w:i/>
      <w:color w:val="595959"/>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