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w:hAnsi="Aptos"/>
          <w:b/>
          <w:color w:val="17365D"/>
          <w:sz w:val="30"/>
        </w:rPr>
        <w:t>NORTHSTAR FINANCIAL</w:t>
      </w:r>
    </w:p>
    <w:p>
      <w:pPr>
        <w:spacing w:before="440"/>
        <w:jc w:val="center"/>
      </w:pPr>
      <w:r>
        <w:rPr>
          <w:rFonts w:ascii="Aptos" w:hAnsi="Aptos"/>
          <w:b/>
          <w:color w:val="17365D"/>
          <w:sz w:val="48"/>
        </w:rPr>
        <w:t>Customer Due Diligence Policy</w:t>
      </w:r>
    </w:p>
    <w:p>
      <w:pPr>
        <w:spacing w:before="160"/>
        <w:jc w:val="center"/>
      </w:pPr>
      <w:r>
        <w:rPr>
          <w:rFonts w:ascii="Aptos" w:hAnsi="Aptos"/>
          <w:b/>
          <w:color w:val="365F91"/>
          <w:sz w:val="26"/>
        </w:rPr>
        <w:t>CDD-005</w:t>
      </w:r>
    </w:p>
    <w:p>
      <w:pPr>
        <w:jc w:val="center"/>
      </w:pPr>
      <w:r>
        <w:rPr>
          <w:rFonts w:ascii="Aptos" w:hAnsi="Aptos"/>
          <w:color w:val="666666"/>
          <w:sz w:val="21"/>
        </w:rPr>
        <w:t>Version 1.8  |  Effective 1 October 2025</w:t>
      </w:r>
    </w:p>
    <w:p>
      <w:pPr>
        <w:jc w:val="center"/>
      </w:pPr>
      <w:r>
        <w:rPr>
          <w:rFonts w:ascii="Aptos" w:hAnsi="Aptos"/>
          <w:b/>
          <w:color w:val="666666"/>
          <w:sz w:val="18"/>
        </w:rPr>
        <w:t>Classification: INTERNAL — CONTROLLED</w:t>
      </w:r>
    </w:p>
    <w:p/>
    <w:p>
      <w:pPr>
        <w:ind w:left="504" w:right="504"/>
        <w:jc w:val="center"/>
      </w:pPr>
      <w:r>
        <w:rPr>
          <w:rFonts w:ascii="Aptos" w:hAnsi="Aptos"/>
          <w:i/>
          <w:color w:val="666666"/>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7"/>
              </w:rPr>
              <w:t>Field</w:t>
            </w:r>
          </w:p>
        </w:tc>
        <w:tc>
          <w:tcPr>
            <w:tcW w:type="dxa" w:w="7920"/>
            <w:shd w:fill="17365D"/>
            <w:vAlign w:val="center"/>
            <w:tcMar>
              <w:top w:w="80" w:type="dxa"/>
              <w:start w:w="90" w:type="dxa"/>
              <w:bottom w:w="80" w:type="dxa"/>
              <w:end w:w="90" w:type="dxa"/>
            </w:tcMar>
          </w:tcPr>
          <w:p>
            <w:r>
              <w:rPr>
                <w:rFonts w:ascii="Aptos" w:hAnsi="Aptos"/>
                <w:b/>
                <w:color w:val="FFFFFF"/>
                <w:sz w:val="17"/>
              </w:rPr>
              <w:t>Controlled Value</w:t>
            </w:r>
          </w:p>
        </w:tc>
      </w:tr>
      <w:tr>
        <w:tc>
          <w:tcPr>
            <w:tcW w:type="dxa" w:w="2448"/>
            <w:tcMar>
              <w:top w:w="80" w:type="dxa"/>
              <w:start w:w="90" w:type="dxa"/>
              <w:bottom w:w="80" w:type="dxa"/>
              <w:end w:w="90" w:type="dxa"/>
            </w:tcMar>
            <w:vAlign w:val="top"/>
          </w:tcPr>
          <w:p>
            <w:r>
              <w:rPr>
                <w:rFonts w:ascii="Aptos" w:hAnsi="Aptos"/>
                <w:b/>
                <w:sz w:val="17"/>
              </w:rPr>
              <w:t>Document ID</w:t>
            </w:r>
          </w:p>
        </w:tc>
        <w:tc>
          <w:tcPr>
            <w:tcW w:type="dxa" w:w="7920"/>
            <w:tcMar>
              <w:top w:w="80" w:type="dxa"/>
              <w:start w:w="90" w:type="dxa"/>
              <w:bottom w:w="80" w:type="dxa"/>
              <w:end w:w="90" w:type="dxa"/>
            </w:tcMar>
            <w:vAlign w:val="top"/>
          </w:tcPr>
          <w:p>
            <w:r>
              <w:rPr>
                <w:rFonts w:ascii="Aptos" w:hAnsi="Aptos"/>
                <w:b w:val="0"/>
                <w:sz w:val="17"/>
              </w:rPr>
              <w:t>CDD-005</w:t>
            </w:r>
          </w:p>
        </w:tc>
      </w:tr>
      <w:tr>
        <w:tc>
          <w:tcPr>
            <w:tcW w:type="dxa" w:w="2448"/>
            <w:tcMar>
              <w:top w:w="80" w:type="dxa"/>
              <w:start w:w="90" w:type="dxa"/>
              <w:bottom w:w="80" w:type="dxa"/>
              <w:end w:w="90" w:type="dxa"/>
            </w:tcMar>
            <w:vAlign w:val="top"/>
            <w:shd w:fill="F7FAFC"/>
          </w:tcPr>
          <w:p>
            <w:r>
              <w:rPr>
                <w:rFonts w:ascii="Aptos" w:hAnsi="Aptos"/>
                <w:b/>
                <w:sz w:val="17"/>
              </w:rPr>
              <w:t>Document Title</w:t>
            </w:r>
          </w:p>
        </w:tc>
        <w:tc>
          <w:tcPr>
            <w:tcW w:type="dxa" w:w="7920"/>
            <w:tcMar>
              <w:top w:w="80" w:type="dxa"/>
              <w:start w:w="90" w:type="dxa"/>
              <w:bottom w:w="80" w:type="dxa"/>
              <w:end w:w="90" w:type="dxa"/>
            </w:tcMar>
            <w:vAlign w:val="top"/>
            <w:shd w:fill="F7FAFC"/>
          </w:tcPr>
          <w:p>
            <w:r>
              <w:rPr>
                <w:rFonts w:ascii="Aptos" w:hAnsi="Aptos"/>
                <w:b w:val="0"/>
                <w:sz w:val="17"/>
              </w:rPr>
              <w:t>Customer Due Diligence Policy</w:t>
            </w:r>
          </w:p>
        </w:tc>
      </w:tr>
      <w:tr>
        <w:tc>
          <w:tcPr>
            <w:tcW w:type="dxa" w:w="2448"/>
            <w:tcMar>
              <w:top w:w="80" w:type="dxa"/>
              <w:start w:w="90" w:type="dxa"/>
              <w:bottom w:w="80" w:type="dxa"/>
              <w:end w:w="90" w:type="dxa"/>
            </w:tcMar>
            <w:vAlign w:val="top"/>
          </w:tcPr>
          <w:p>
            <w:r>
              <w:rPr>
                <w:rFonts w:ascii="Aptos" w:hAnsi="Aptos"/>
                <w:b/>
                <w:sz w:val="17"/>
              </w:rPr>
              <w:t>Version</w:t>
            </w:r>
          </w:p>
        </w:tc>
        <w:tc>
          <w:tcPr>
            <w:tcW w:type="dxa" w:w="7920"/>
            <w:tcMar>
              <w:top w:w="80" w:type="dxa"/>
              <w:start w:w="90" w:type="dxa"/>
              <w:bottom w:w="80" w:type="dxa"/>
              <w:end w:w="90" w:type="dxa"/>
            </w:tcMar>
            <w:vAlign w:val="top"/>
          </w:tcPr>
          <w:p>
            <w:r>
              <w:rPr>
                <w:rFonts w:ascii="Aptos" w:hAnsi="Aptos"/>
                <w:b w:val="0"/>
                <w:sz w:val="17"/>
              </w:rPr>
              <w:t>1.8</w:t>
            </w:r>
          </w:p>
        </w:tc>
      </w:tr>
      <w:tr>
        <w:tc>
          <w:tcPr>
            <w:tcW w:type="dxa" w:w="2448"/>
            <w:tcMar>
              <w:top w:w="80" w:type="dxa"/>
              <w:start w:w="90" w:type="dxa"/>
              <w:bottom w:w="80" w:type="dxa"/>
              <w:end w:w="90" w:type="dxa"/>
            </w:tcMar>
            <w:vAlign w:val="top"/>
            <w:shd w:fill="F7FAFC"/>
          </w:tcPr>
          <w:p>
            <w:r>
              <w:rPr>
                <w:rFonts w:ascii="Aptos" w:hAnsi="Aptos"/>
                <w:b/>
                <w:sz w:val="17"/>
              </w:rPr>
              <w:t>Policy Owner</w:t>
            </w:r>
          </w:p>
        </w:tc>
        <w:tc>
          <w:tcPr>
            <w:tcW w:type="dxa" w:w="7920"/>
            <w:tcMar>
              <w:top w:w="80" w:type="dxa"/>
              <w:start w:w="90" w:type="dxa"/>
              <w:bottom w:w="80" w:type="dxa"/>
              <w:end w:w="90" w:type="dxa"/>
            </w:tcMar>
            <w:vAlign w:val="top"/>
            <w:shd w:fill="F7FAFC"/>
          </w:tcPr>
          <w:p>
            <w:r>
              <w:rPr>
                <w:rFonts w:ascii="Aptos" w:hAnsi="Aptos"/>
                <w:b w:val="0"/>
                <w:sz w:val="17"/>
              </w:rPr>
              <w:t>Ananya Deshmukh — Head of Financial Crime Compliance</w:t>
            </w:r>
          </w:p>
        </w:tc>
      </w:tr>
      <w:tr>
        <w:tc>
          <w:tcPr>
            <w:tcW w:type="dxa" w:w="2448"/>
            <w:tcMar>
              <w:top w:w="80" w:type="dxa"/>
              <w:start w:w="90" w:type="dxa"/>
              <w:bottom w:w="80" w:type="dxa"/>
              <w:end w:w="90" w:type="dxa"/>
            </w:tcMar>
            <w:vAlign w:val="top"/>
          </w:tcPr>
          <w:p>
            <w:r>
              <w:rPr>
                <w:rFonts w:ascii="Aptos" w:hAnsi="Aptos"/>
                <w:b/>
                <w:sz w:val="17"/>
              </w:rPr>
              <w:t>Business Unit</w:t>
            </w:r>
          </w:p>
        </w:tc>
        <w:tc>
          <w:tcPr>
            <w:tcW w:type="dxa" w:w="7920"/>
            <w:tcMar>
              <w:top w:w="80" w:type="dxa"/>
              <w:start w:w="90" w:type="dxa"/>
              <w:bottom w:w="80" w:type="dxa"/>
              <w:end w:w="90" w:type="dxa"/>
            </w:tcMar>
            <w:vAlign w:val="top"/>
          </w:tcPr>
          <w:p>
            <w:r>
              <w:rPr>
                <w:rFonts w:ascii="Aptos" w:hAnsi="Aptos"/>
                <w:b w:val="0"/>
                <w:sz w:val="17"/>
              </w:rPr>
              <w:t>Compliance / KYC Operations / AML Compliance</w:t>
            </w:r>
          </w:p>
        </w:tc>
      </w:tr>
      <w:tr>
        <w:tc>
          <w:tcPr>
            <w:tcW w:type="dxa" w:w="2448"/>
            <w:tcMar>
              <w:top w:w="80" w:type="dxa"/>
              <w:start w:w="90" w:type="dxa"/>
              <w:bottom w:w="80" w:type="dxa"/>
              <w:end w:w="90" w:type="dxa"/>
            </w:tcMar>
            <w:vAlign w:val="top"/>
            <w:shd w:fill="F7FAFC"/>
          </w:tcPr>
          <w:p>
            <w:r>
              <w:rPr>
                <w:rFonts w:ascii="Aptos" w:hAnsi="Aptos"/>
                <w:b/>
                <w:sz w:val="17"/>
              </w:rPr>
              <w:t>Approving Authority</w:t>
            </w:r>
          </w:p>
        </w:tc>
        <w:tc>
          <w:tcPr>
            <w:tcW w:type="dxa" w:w="7920"/>
            <w:tcMar>
              <w:top w:w="80" w:type="dxa"/>
              <w:start w:w="90" w:type="dxa"/>
              <w:bottom w:w="80" w:type="dxa"/>
              <w:end w:w="90" w:type="dxa"/>
            </w:tcMar>
            <w:vAlign w:val="top"/>
            <w:shd w:fill="F7FAFC"/>
          </w:tcPr>
          <w:p>
            <w:r>
              <w:rPr>
                <w:rFonts w:ascii="Aptos" w:hAnsi="Aptos"/>
                <w:b w:val="0"/>
                <w:sz w:val="17"/>
              </w:rPr>
              <w:t>AML &amp; Financial Crime Committee</w:t>
            </w:r>
          </w:p>
        </w:tc>
      </w:tr>
      <w:tr>
        <w:tc>
          <w:tcPr>
            <w:tcW w:type="dxa" w:w="2448"/>
            <w:tcMar>
              <w:top w:w="80" w:type="dxa"/>
              <w:start w:w="90" w:type="dxa"/>
              <w:bottom w:w="80" w:type="dxa"/>
              <w:end w:w="90" w:type="dxa"/>
            </w:tcMar>
            <w:vAlign w:val="top"/>
          </w:tcPr>
          <w:p>
            <w:r>
              <w:rPr>
                <w:rFonts w:ascii="Aptos" w:hAnsi="Aptos"/>
                <w:b/>
                <w:sz w:val="17"/>
              </w:rPr>
              <w:t>Effective Date</w:t>
            </w:r>
          </w:p>
        </w:tc>
        <w:tc>
          <w:tcPr>
            <w:tcW w:type="dxa" w:w="7920"/>
            <w:tcMar>
              <w:top w:w="80" w:type="dxa"/>
              <w:start w:w="90" w:type="dxa"/>
              <w:bottom w:w="80" w:type="dxa"/>
              <w:end w:w="90" w:type="dxa"/>
            </w:tcMar>
            <w:vAlign w:val="top"/>
          </w:tcPr>
          <w:p>
            <w:r>
              <w:rPr>
                <w:rFonts w:ascii="Aptos" w:hAnsi="Aptos"/>
                <w:b w:val="0"/>
                <w:sz w:val="17"/>
              </w:rPr>
              <w:t>1 October 2025</w:t>
            </w:r>
          </w:p>
        </w:tc>
      </w:tr>
      <w:tr>
        <w:tc>
          <w:tcPr>
            <w:tcW w:type="dxa" w:w="2448"/>
            <w:tcMar>
              <w:top w:w="80" w:type="dxa"/>
              <w:start w:w="90" w:type="dxa"/>
              <w:bottom w:w="80" w:type="dxa"/>
              <w:end w:w="90" w:type="dxa"/>
            </w:tcMar>
            <w:vAlign w:val="top"/>
            <w:shd w:fill="F7FAFC"/>
          </w:tcPr>
          <w:p>
            <w:r>
              <w:rPr>
                <w:rFonts w:ascii="Aptos" w:hAnsi="Aptos"/>
                <w:b/>
                <w:sz w:val="17"/>
              </w:rPr>
              <w:t>Previous Version</w:t>
            </w:r>
          </w:p>
        </w:tc>
        <w:tc>
          <w:tcPr>
            <w:tcW w:type="dxa" w:w="7920"/>
            <w:tcMar>
              <w:top w:w="80" w:type="dxa"/>
              <w:start w:w="90" w:type="dxa"/>
              <w:bottom w:w="80" w:type="dxa"/>
              <w:end w:w="90" w:type="dxa"/>
            </w:tcMar>
            <w:vAlign w:val="top"/>
            <w:shd w:fill="F7FAFC"/>
          </w:tcPr>
          <w:p>
            <w:r>
              <w:rPr>
                <w:rFonts w:ascii="Aptos" w:hAnsi="Aptos"/>
                <w:b w:val="0"/>
                <w:sz w:val="17"/>
              </w:rPr>
              <w:t>1.7</w:t>
            </w:r>
          </w:p>
        </w:tc>
      </w:tr>
      <w:tr>
        <w:tc>
          <w:tcPr>
            <w:tcW w:type="dxa" w:w="2448"/>
            <w:tcMar>
              <w:top w:w="80" w:type="dxa"/>
              <w:start w:w="90" w:type="dxa"/>
              <w:bottom w:w="80" w:type="dxa"/>
              <w:end w:w="90" w:type="dxa"/>
            </w:tcMar>
            <w:vAlign w:val="top"/>
          </w:tcPr>
          <w:p>
            <w:r>
              <w:rPr>
                <w:rFonts w:ascii="Aptos" w:hAnsi="Aptos"/>
                <w:b/>
                <w:sz w:val="17"/>
              </w:rPr>
              <w:t>Review Frequency</w:t>
            </w:r>
          </w:p>
        </w:tc>
        <w:tc>
          <w:tcPr>
            <w:tcW w:type="dxa" w:w="7920"/>
            <w:tcMar>
              <w:top w:w="80" w:type="dxa"/>
              <w:start w:w="90" w:type="dxa"/>
              <w:bottom w:w="80" w:type="dxa"/>
              <w:end w:w="90" w:type="dxa"/>
            </w:tcMar>
            <w:vAlign w:val="top"/>
          </w:tcPr>
          <w:p>
            <w:r>
              <w:rPr>
                <w:rFonts w:ascii="Aptos" w:hAnsi="Aptos"/>
                <w:b w:val="0"/>
                <w:sz w:val="17"/>
              </w:rPr>
              <w:t>Annual</w:t>
            </w:r>
          </w:p>
        </w:tc>
      </w:tr>
      <w:tr>
        <w:tc>
          <w:tcPr>
            <w:tcW w:type="dxa" w:w="2448"/>
            <w:tcMar>
              <w:top w:w="80" w:type="dxa"/>
              <w:start w:w="90" w:type="dxa"/>
              <w:bottom w:w="80" w:type="dxa"/>
              <w:end w:w="90" w:type="dxa"/>
            </w:tcMar>
            <w:vAlign w:val="top"/>
            <w:shd w:fill="F7FAFC"/>
          </w:tcPr>
          <w:p>
            <w:r>
              <w:rPr>
                <w:rFonts w:ascii="Aptos" w:hAnsi="Aptos"/>
                <w:b/>
                <w:sz w:val="17"/>
              </w:rPr>
              <w:t>Classification</w:t>
            </w:r>
          </w:p>
        </w:tc>
        <w:tc>
          <w:tcPr>
            <w:tcW w:type="dxa" w:w="7920"/>
            <w:tcMar>
              <w:top w:w="80" w:type="dxa"/>
              <w:start w:w="90" w:type="dxa"/>
              <w:bottom w:w="80" w:type="dxa"/>
              <w:end w:w="90" w:type="dxa"/>
            </w:tcMar>
            <w:vAlign w:val="top"/>
            <w:shd w:fill="F7FAFC"/>
          </w:tcPr>
          <w:p>
            <w:r>
              <w:rPr>
                <w:rFonts w:ascii="Aptos" w:hAnsi="Aptos"/>
                <w:b w:val="0"/>
                <w:sz w:val="17"/>
              </w:rPr>
              <w:t>INTERNAL — CONTROLLED</w:t>
            </w:r>
          </w:p>
        </w:tc>
      </w:tr>
      <w:tr>
        <w:tc>
          <w:tcPr>
            <w:tcW w:type="dxa" w:w="2448"/>
            <w:tcMar>
              <w:top w:w="80" w:type="dxa"/>
              <w:start w:w="90" w:type="dxa"/>
              <w:bottom w:w="80" w:type="dxa"/>
              <w:end w:w="90" w:type="dxa"/>
            </w:tcMar>
            <w:vAlign w:val="top"/>
          </w:tcPr>
          <w:p>
            <w:r>
              <w:rPr>
                <w:rFonts w:ascii="Aptos" w:hAnsi="Aptos"/>
                <w:b/>
                <w:sz w:val="17"/>
              </w:rPr>
              <w:t>Status</w:t>
            </w:r>
          </w:p>
        </w:tc>
        <w:tc>
          <w:tcPr>
            <w:tcW w:type="dxa" w:w="7920"/>
            <w:tcMar>
              <w:top w:w="80" w:type="dxa"/>
              <w:start w:w="90" w:type="dxa"/>
              <w:bottom w:w="80" w:type="dxa"/>
              <w:end w:w="90" w:type="dxa"/>
            </w:tcMar>
            <w:vAlign w:val="top"/>
          </w:tcPr>
          <w:p>
            <w:r>
              <w:rPr>
                <w:rFonts w:ascii="Aptos" w:hAnsi="Aptos"/>
                <w:b w:val="0"/>
                <w:sz w:val="17"/>
              </w:rPr>
              <w:t>Approved</w:t>
            </w:r>
          </w:p>
        </w:tc>
      </w:tr>
      <w:tr>
        <w:tc>
          <w:tcPr>
            <w:tcW w:type="dxa" w:w="2448"/>
            <w:tcMar>
              <w:top w:w="80" w:type="dxa"/>
              <w:start w:w="90" w:type="dxa"/>
              <w:bottom w:w="80" w:type="dxa"/>
              <w:end w:w="90" w:type="dxa"/>
            </w:tcMar>
            <w:vAlign w:val="top"/>
            <w:shd w:fill="F7FAFC"/>
          </w:tcPr>
          <w:p>
            <w:r>
              <w:rPr>
                <w:rFonts w:ascii="Aptos" w:hAnsi="Aptos"/>
                <w:b/>
                <w:sz w:val="17"/>
              </w:rPr>
              <w:t>Supersedes</w:t>
            </w:r>
          </w:p>
        </w:tc>
        <w:tc>
          <w:tcPr>
            <w:tcW w:type="dxa" w:w="7920"/>
            <w:tcMar>
              <w:top w:w="80" w:type="dxa"/>
              <w:start w:w="90" w:type="dxa"/>
              <w:bottom w:w="80" w:type="dxa"/>
              <w:end w:w="90" w:type="dxa"/>
            </w:tcMar>
            <w:vAlign w:val="top"/>
            <w:shd w:fill="F7FAFC"/>
          </w:tcPr>
          <w:p>
            <w:r>
              <w:rPr>
                <w:rFonts w:ascii="Aptos" w:hAnsi="Aptos"/>
                <w:b w:val="0"/>
                <w:sz w:val="17"/>
              </w:rPr>
              <w:t>CDD-005 v1.7</w:t>
            </w:r>
          </w:p>
        </w:tc>
      </w:tr>
      <w:tr>
        <w:tc>
          <w:tcPr>
            <w:tcW w:type="dxa" w:w="2448"/>
            <w:tcMar>
              <w:top w:w="80" w:type="dxa"/>
              <w:start w:w="90" w:type="dxa"/>
              <w:bottom w:w="80" w:type="dxa"/>
              <w:end w:w="90" w:type="dxa"/>
            </w:tcMar>
            <w:vAlign w:val="top"/>
          </w:tcPr>
          <w:p>
            <w:r>
              <w:rPr>
                <w:rFonts w:ascii="Aptos" w:hAnsi="Aptos"/>
                <w:b/>
                <w:sz w:val="17"/>
              </w:rPr>
              <w:t>Related Documents</w:t>
            </w:r>
          </w:p>
        </w:tc>
        <w:tc>
          <w:tcPr>
            <w:tcW w:type="dxa" w:w="7920"/>
            <w:tcMar>
              <w:top w:w="80" w:type="dxa"/>
              <w:start w:w="90" w:type="dxa"/>
              <w:bottom w:w="80" w:type="dxa"/>
              <w:end w:w="90" w:type="dxa"/>
            </w:tcMar>
            <w:vAlign w:val="top"/>
          </w:tcPr>
          <w:p>
            <w:r>
              <w:rPr>
                <w:rFonts w:ascii="Aptos" w:hAnsi="Aptos"/>
                <w:b w:val="0"/>
                <w:sz w:val="17"/>
              </w:rPr>
              <w:t>KYC-004; AML-003; COP-021; KEP-022; EDD-032; CRR-033; LOP-002; LDP-013</w:t>
            </w:r>
          </w:p>
        </w:tc>
      </w:tr>
    </w:tbl>
    <w:p/>
    <w:p>
      <w:pPr>
        <w:pStyle w:val="Heading2"/>
      </w:pPr>
      <w:r>
        <w:t>Approval Record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448"/>
            <w:shd w:fill="17365D"/>
            <w:vAlign w:val="center"/>
            <w:tcMar>
              <w:top w:w="80" w:type="dxa"/>
              <w:start w:w="90" w:type="dxa"/>
              <w:bottom w:w="80" w:type="dxa"/>
              <w:end w:w="90" w:type="dxa"/>
            </w:tcMar>
          </w:tcPr>
          <w:p>
            <w:r>
              <w:rPr>
                <w:rFonts w:ascii="Aptos" w:hAnsi="Aptos"/>
                <w:b/>
                <w:color w:val="FFFFFF"/>
                <w:sz w:val="16"/>
              </w:rPr>
              <w:t>Role</w:t>
            </w:r>
          </w:p>
        </w:tc>
        <w:tc>
          <w:tcPr>
            <w:tcW w:type="dxa" w:w="4032"/>
            <w:shd w:fill="17365D"/>
            <w:vAlign w:val="center"/>
            <w:tcMar>
              <w:top w:w="80" w:type="dxa"/>
              <w:start w:w="90" w:type="dxa"/>
              <w:bottom w:w="80" w:type="dxa"/>
              <w:end w:w="90" w:type="dxa"/>
            </w:tcMar>
          </w:tcPr>
          <w:p>
            <w:r>
              <w:rPr>
                <w:rFonts w:ascii="Aptos" w:hAnsi="Aptos"/>
                <w:b/>
                <w:color w:val="FFFFFF"/>
                <w:sz w:val="16"/>
              </w:rPr>
              <w:t>Approver / Function</w:t>
            </w:r>
          </w:p>
        </w:tc>
        <w:tc>
          <w:tcPr>
            <w:tcW w:type="dxa" w:w="1728"/>
            <w:shd w:fill="17365D"/>
            <w:vAlign w:val="center"/>
            <w:tcMar>
              <w:top w:w="80" w:type="dxa"/>
              <w:start w:w="90" w:type="dxa"/>
              <w:bottom w:w="80" w:type="dxa"/>
              <w:end w:w="90" w:type="dxa"/>
            </w:tcMar>
          </w:tcPr>
          <w:p>
            <w:r>
              <w:rPr>
                <w:rFonts w:ascii="Aptos" w:hAnsi="Aptos"/>
                <w:b/>
                <w:color w:val="FFFFFF"/>
                <w:sz w:val="16"/>
              </w:rPr>
              <w:t>Approval Date</w:t>
            </w:r>
          </w:p>
        </w:tc>
        <w:tc>
          <w:tcPr>
            <w:tcW w:type="dxa" w:w="2160"/>
            <w:shd w:fill="17365D"/>
            <w:vAlign w:val="center"/>
            <w:tcMar>
              <w:top w:w="80" w:type="dxa"/>
              <w:start w:w="90" w:type="dxa"/>
              <w:bottom w:w="80" w:type="dxa"/>
              <w:end w:w="90" w:type="dxa"/>
            </w:tcMar>
          </w:tcPr>
          <w:p>
            <w:r>
              <w:rPr>
                <w:rFonts w:ascii="Aptos" w:hAnsi="Aptos"/>
                <w:b/>
                <w:color w:val="FFFFFF"/>
                <w:sz w:val="16"/>
              </w:rPr>
              <w:t>Decision</w:t>
            </w:r>
          </w:p>
        </w:tc>
      </w:tr>
      <w:tr>
        <w:tc>
          <w:tcPr>
            <w:tcW w:type="dxa" w:w="2448"/>
            <w:tcMar>
              <w:top w:w="80" w:type="dxa"/>
              <w:start w:w="90" w:type="dxa"/>
              <w:bottom w:w="80" w:type="dxa"/>
              <w:end w:w="90" w:type="dxa"/>
            </w:tcMar>
            <w:vAlign w:val="top"/>
          </w:tcPr>
          <w:p>
            <w:r>
              <w:rPr>
                <w:rFonts w:ascii="Aptos" w:hAnsi="Aptos"/>
                <w:b w:val="0"/>
                <w:sz w:val="16"/>
              </w:rPr>
              <w:t>Document Owner</w:t>
            </w:r>
          </w:p>
        </w:tc>
        <w:tc>
          <w:tcPr>
            <w:tcW w:type="dxa" w:w="4032"/>
            <w:tcMar>
              <w:top w:w="80" w:type="dxa"/>
              <w:start w:w="90" w:type="dxa"/>
              <w:bottom w:w="80" w:type="dxa"/>
              <w:end w:w="90" w:type="dxa"/>
            </w:tcMar>
            <w:vAlign w:val="top"/>
          </w:tcPr>
          <w:p>
            <w:r>
              <w:rPr>
                <w:rFonts w:ascii="Aptos" w:hAnsi="Aptos"/>
                <w:b w:val="0"/>
                <w:sz w:val="16"/>
              </w:rPr>
              <w:t>Ananya Deshmukh — Head of Financial Crime Compliance</w:t>
            </w:r>
          </w:p>
        </w:tc>
        <w:tc>
          <w:tcPr>
            <w:tcW w:type="dxa" w:w="1728"/>
            <w:tcMar>
              <w:top w:w="80" w:type="dxa"/>
              <w:start w:w="90" w:type="dxa"/>
              <w:bottom w:w="80" w:type="dxa"/>
              <w:end w:w="90" w:type="dxa"/>
            </w:tcMar>
            <w:vAlign w:val="top"/>
          </w:tcPr>
          <w:p>
            <w:r>
              <w:rPr>
                <w:rFonts w:ascii="Aptos" w:hAnsi="Aptos"/>
                <w:b w:val="0"/>
                <w:sz w:val="16"/>
              </w:rPr>
              <w:t>18 September 2025</w:t>
            </w:r>
          </w:p>
        </w:tc>
        <w:tc>
          <w:tcPr>
            <w:tcW w:type="dxa" w:w="2160"/>
            <w:tcMar>
              <w:top w:w="80" w:type="dxa"/>
              <w:start w:w="90" w:type="dxa"/>
              <w:bottom w:w="80" w:type="dxa"/>
              <w:end w:w="90" w:type="dxa"/>
            </w:tcMar>
            <w:vAlign w:val="top"/>
          </w:tcPr>
          <w:p>
            <w:r>
              <w:rPr>
                <w:rFonts w:ascii="Aptos" w:hAnsi="Aptos"/>
                <w:b w:val="0"/>
                <w:sz w:val="16"/>
              </w:rPr>
              <w:t>Approved</w:t>
            </w:r>
          </w:p>
        </w:tc>
      </w:tr>
      <w:tr>
        <w:tc>
          <w:tcPr>
            <w:tcW w:type="dxa" w:w="2448"/>
            <w:tcMar>
              <w:top w:w="80" w:type="dxa"/>
              <w:start w:w="90" w:type="dxa"/>
              <w:bottom w:w="80" w:type="dxa"/>
              <w:end w:w="90" w:type="dxa"/>
            </w:tcMar>
            <w:vAlign w:val="top"/>
            <w:shd w:fill="F7FAFC"/>
          </w:tcPr>
          <w:p>
            <w:r>
              <w:rPr>
                <w:rFonts w:ascii="Aptos" w:hAnsi="Aptos"/>
                <w:b w:val="0"/>
                <w:sz w:val="16"/>
              </w:rPr>
              <w:t>Control Function Review</w:t>
            </w:r>
          </w:p>
        </w:tc>
        <w:tc>
          <w:tcPr>
            <w:tcW w:type="dxa" w:w="4032"/>
            <w:tcMar>
              <w:top w:w="80" w:type="dxa"/>
              <w:start w:w="90" w:type="dxa"/>
              <w:bottom w:w="80" w:type="dxa"/>
              <w:end w:w="90" w:type="dxa"/>
            </w:tcMar>
            <w:vAlign w:val="top"/>
            <w:shd w:fill="F7FAFC"/>
          </w:tcPr>
          <w:p>
            <w:r>
              <w:rPr>
                <w:rFonts w:ascii="Aptos" w:hAnsi="Aptos"/>
                <w:b w:val="0"/>
                <w:sz w:val="16"/>
              </w:rPr>
              <w:t>Legal / Compliance Advisory</w:t>
            </w:r>
          </w:p>
        </w:tc>
        <w:tc>
          <w:tcPr>
            <w:tcW w:type="dxa" w:w="1728"/>
            <w:tcMar>
              <w:top w:w="80" w:type="dxa"/>
              <w:start w:w="90" w:type="dxa"/>
              <w:bottom w:w="80" w:type="dxa"/>
              <w:end w:w="90" w:type="dxa"/>
            </w:tcMar>
            <w:vAlign w:val="top"/>
            <w:shd w:fill="F7FAFC"/>
          </w:tcPr>
          <w:p>
            <w:r>
              <w:rPr>
                <w:rFonts w:ascii="Aptos" w:hAnsi="Aptos"/>
                <w:b w:val="0"/>
                <w:sz w:val="16"/>
              </w:rPr>
              <w:t>18 September 2025</w:t>
            </w:r>
          </w:p>
        </w:tc>
        <w:tc>
          <w:tcPr>
            <w:tcW w:type="dxa" w:w="2160"/>
            <w:tcMar>
              <w:top w:w="80" w:type="dxa"/>
              <w:start w:w="90" w:type="dxa"/>
              <w:bottom w:w="80" w:type="dxa"/>
              <w:end w:w="90" w:type="dxa"/>
            </w:tcMar>
            <w:vAlign w:val="top"/>
            <w:shd w:fill="F7FAFC"/>
          </w:tcPr>
          <w:p>
            <w:r>
              <w:rPr>
                <w:rFonts w:ascii="Aptos" w:hAnsi="Aptos"/>
                <w:b w:val="0"/>
                <w:sz w:val="16"/>
              </w:rPr>
              <w:t>No objection</w:t>
            </w:r>
          </w:p>
        </w:tc>
      </w:tr>
      <w:tr>
        <w:tc>
          <w:tcPr>
            <w:tcW w:type="dxa" w:w="2448"/>
            <w:tcMar>
              <w:top w:w="80" w:type="dxa"/>
              <w:start w:w="90" w:type="dxa"/>
              <w:bottom w:w="80" w:type="dxa"/>
              <w:end w:w="90" w:type="dxa"/>
            </w:tcMar>
            <w:vAlign w:val="top"/>
          </w:tcPr>
          <w:p>
            <w:r>
              <w:rPr>
                <w:rFonts w:ascii="Aptos" w:hAnsi="Aptos"/>
                <w:b w:val="0"/>
                <w:sz w:val="16"/>
              </w:rPr>
              <w:t>Approving Authority</w:t>
            </w:r>
          </w:p>
        </w:tc>
        <w:tc>
          <w:tcPr>
            <w:tcW w:type="dxa" w:w="4032"/>
            <w:tcMar>
              <w:top w:w="80" w:type="dxa"/>
              <w:start w:w="90" w:type="dxa"/>
              <w:bottom w:w="80" w:type="dxa"/>
              <w:end w:w="90" w:type="dxa"/>
            </w:tcMar>
            <w:vAlign w:val="top"/>
          </w:tcPr>
          <w:p>
            <w:r>
              <w:rPr>
                <w:rFonts w:ascii="Aptos" w:hAnsi="Aptos"/>
                <w:b w:val="0"/>
                <w:sz w:val="16"/>
              </w:rPr>
              <w:t>AML &amp; Financial Crime Committee</w:t>
            </w:r>
          </w:p>
        </w:tc>
        <w:tc>
          <w:tcPr>
            <w:tcW w:type="dxa" w:w="1728"/>
            <w:tcMar>
              <w:top w:w="80" w:type="dxa"/>
              <w:start w:w="90" w:type="dxa"/>
              <w:bottom w:w="80" w:type="dxa"/>
              <w:end w:w="90" w:type="dxa"/>
            </w:tcMar>
            <w:vAlign w:val="top"/>
          </w:tcPr>
          <w:p>
            <w:r>
              <w:rPr>
                <w:rFonts w:ascii="Aptos" w:hAnsi="Aptos"/>
                <w:b w:val="0"/>
                <w:sz w:val="16"/>
              </w:rPr>
              <w:t>18 September 2025</w:t>
            </w:r>
          </w:p>
        </w:tc>
        <w:tc>
          <w:tcPr>
            <w:tcW w:type="dxa" w:w="2160"/>
            <w:tcMar>
              <w:top w:w="80" w:type="dxa"/>
              <w:start w:w="90" w:type="dxa"/>
              <w:bottom w:w="80" w:type="dxa"/>
              <w:end w:w="90" w:type="dxa"/>
            </w:tcMar>
            <w:vAlign w:val="top"/>
          </w:tcPr>
          <w:p>
            <w:r>
              <w:rPr>
                <w:rFonts w:ascii="Aptos" w:hAnsi="Aptos"/>
                <w:b w:val="0"/>
                <w:sz w:val="16"/>
              </w:rPr>
              <w:t>Approved for controlled release</w:t>
            </w:r>
          </w:p>
        </w:tc>
      </w:tr>
    </w:tbl>
    <w:p/>
    <w:p>
      <w:pPr>
        <w:pStyle w:val="Heading2"/>
      </w:pPr>
      <w:r>
        <w:t>Revision History</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152"/>
            <w:shd w:fill="17365D"/>
            <w:vAlign w:val="center"/>
            <w:tcMar>
              <w:top w:w="80" w:type="dxa"/>
              <w:start w:w="90" w:type="dxa"/>
              <w:bottom w:w="80" w:type="dxa"/>
              <w:end w:w="90" w:type="dxa"/>
            </w:tcMar>
          </w:tcPr>
          <w:p>
            <w:r>
              <w:rPr>
                <w:rFonts w:ascii="Aptos" w:hAnsi="Aptos"/>
                <w:b/>
                <w:color w:val="FFFFFF"/>
                <w:sz w:val="16"/>
              </w:rPr>
              <w:t>Version</w:t>
            </w:r>
          </w:p>
        </w:tc>
        <w:tc>
          <w:tcPr>
            <w:tcW w:type="dxa" w:w="1728"/>
            <w:shd w:fill="17365D"/>
            <w:vAlign w:val="center"/>
            <w:tcMar>
              <w:top w:w="80" w:type="dxa"/>
              <w:start w:w="90" w:type="dxa"/>
              <w:bottom w:w="80" w:type="dxa"/>
              <w:end w:w="90" w:type="dxa"/>
            </w:tcMar>
          </w:tcPr>
          <w:p>
            <w:r>
              <w:rPr>
                <w:rFonts w:ascii="Aptos" w:hAnsi="Aptos"/>
                <w:b/>
                <w:color w:val="FFFFFF"/>
                <w:sz w:val="16"/>
              </w:rPr>
              <w:t>Effective Date</w:t>
            </w:r>
          </w:p>
        </w:tc>
        <w:tc>
          <w:tcPr>
            <w:tcW w:type="dxa" w:w="5616"/>
            <w:shd w:fill="17365D"/>
            <w:vAlign w:val="center"/>
            <w:tcMar>
              <w:top w:w="80" w:type="dxa"/>
              <w:start w:w="90" w:type="dxa"/>
              <w:bottom w:w="80" w:type="dxa"/>
              <w:end w:w="90" w:type="dxa"/>
            </w:tcMar>
          </w:tcPr>
          <w:p>
            <w:r>
              <w:rPr>
                <w:rFonts w:ascii="Aptos" w:hAnsi="Aptos"/>
                <w:b/>
                <w:color w:val="FFFFFF"/>
                <w:sz w:val="16"/>
              </w:rPr>
              <w:t>Summary of Change</w:t>
            </w:r>
          </w:p>
        </w:tc>
        <w:tc>
          <w:tcPr>
            <w:tcW w:type="dxa" w:w="2160"/>
            <w:shd w:fill="17365D"/>
            <w:vAlign w:val="center"/>
            <w:tcMar>
              <w:top w:w="80" w:type="dxa"/>
              <w:start w:w="90" w:type="dxa"/>
              <w:bottom w:w="80" w:type="dxa"/>
              <w:end w:w="90" w:type="dxa"/>
            </w:tcMar>
          </w:tcPr>
          <w:p>
            <w:r>
              <w:rPr>
                <w:rFonts w:ascii="Aptos" w:hAnsi="Aptos"/>
                <w:b/>
                <w:color w:val="FFFFFF"/>
                <w:sz w:val="16"/>
              </w:rPr>
              <w:t>Owner</w:t>
            </w:r>
          </w:p>
        </w:tc>
      </w:tr>
      <w:tr>
        <w:tc>
          <w:tcPr>
            <w:tcW w:type="dxa" w:w="1152"/>
            <w:tcMar>
              <w:top w:w="80" w:type="dxa"/>
              <w:start w:w="90" w:type="dxa"/>
              <w:bottom w:w="80" w:type="dxa"/>
              <w:end w:w="90" w:type="dxa"/>
            </w:tcMar>
            <w:vAlign w:val="top"/>
          </w:tcPr>
          <w:p>
            <w:r>
              <w:rPr>
                <w:rFonts w:ascii="Aptos" w:hAnsi="Aptos"/>
                <w:b w:val="0"/>
                <w:sz w:val="16"/>
              </w:rPr>
              <w:t>1.6</w:t>
            </w:r>
          </w:p>
        </w:tc>
        <w:tc>
          <w:tcPr>
            <w:tcW w:type="dxa" w:w="1728"/>
            <w:tcMar>
              <w:top w:w="80" w:type="dxa"/>
              <w:start w:w="90" w:type="dxa"/>
              <w:bottom w:w="80" w:type="dxa"/>
              <w:end w:w="90" w:type="dxa"/>
            </w:tcMar>
            <w:vAlign w:val="top"/>
          </w:tcPr>
          <w:p>
            <w:r>
              <w:rPr>
                <w:rFonts w:ascii="Aptos" w:hAnsi="Aptos"/>
                <w:b w:val="0"/>
                <w:sz w:val="16"/>
              </w:rPr>
              <w:t>1 Jan 2024</w:t>
            </w:r>
          </w:p>
        </w:tc>
        <w:tc>
          <w:tcPr>
            <w:tcW w:type="dxa" w:w="5616"/>
            <w:tcMar>
              <w:top w:w="80" w:type="dxa"/>
              <w:start w:w="90" w:type="dxa"/>
              <w:bottom w:w="80" w:type="dxa"/>
              <w:end w:w="90" w:type="dxa"/>
            </w:tcMar>
            <w:vAlign w:val="top"/>
          </w:tcPr>
          <w:p>
            <w:r>
              <w:rPr>
                <w:rFonts w:ascii="Aptos" w:hAnsi="Aptos"/>
                <w:b w:val="0"/>
                <w:sz w:val="16"/>
              </w:rPr>
              <w:t>Separated CDD tier from lending risk classification.</w:t>
            </w:r>
          </w:p>
        </w:tc>
        <w:tc>
          <w:tcPr>
            <w:tcW w:type="dxa" w:w="2160"/>
            <w:tcMar>
              <w:top w:w="80" w:type="dxa"/>
              <w:start w:w="90" w:type="dxa"/>
              <w:bottom w:w="80" w:type="dxa"/>
              <w:end w:w="90" w:type="dxa"/>
            </w:tcMar>
            <w:vAlign w:val="top"/>
          </w:tcPr>
          <w:p>
            <w:r>
              <w:rPr>
                <w:rFonts w:ascii="Aptos" w:hAnsi="Aptos"/>
                <w:b w:val="0"/>
                <w:sz w:val="16"/>
              </w:rPr>
              <w:t>Financial Crime Compliance</w:t>
            </w:r>
          </w:p>
        </w:tc>
      </w:tr>
      <w:tr>
        <w:tc>
          <w:tcPr>
            <w:tcW w:type="dxa" w:w="1152"/>
            <w:tcMar>
              <w:top w:w="80" w:type="dxa"/>
              <w:start w:w="90" w:type="dxa"/>
              <w:bottom w:w="80" w:type="dxa"/>
              <w:end w:w="90" w:type="dxa"/>
            </w:tcMar>
            <w:vAlign w:val="top"/>
            <w:shd w:fill="F7FAFC"/>
          </w:tcPr>
          <w:p>
            <w:r>
              <w:rPr>
                <w:rFonts w:ascii="Aptos" w:hAnsi="Aptos"/>
                <w:b w:val="0"/>
                <w:sz w:val="16"/>
              </w:rPr>
              <w:t>1.7</w:t>
            </w:r>
          </w:p>
        </w:tc>
        <w:tc>
          <w:tcPr>
            <w:tcW w:type="dxa" w:w="1728"/>
            <w:tcMar>
              <w:top w:w="80" w:type="dxa"/>
              <w:start w:w="90" w:type="dxa"/>
              <w:bottom w:w="80" w:type="dxa"/>
              <w:end w:w="90" w:type="dxa"/>
            </w:tcMar>
            <w:vAlign w:val="top"/>
            <w:shd w:fill="F7FAFC"/>
          </w:tcPr>
          <w:p>
            <w:r>
              <w:rPr>
                <w:rFonts w:ascii="Aptos" w:hAnsi="Aptos"/>
                <w:b w:val="0"/>
                <w:sz w:val="16"/>
              </w:rPr>
              <w:t>1 Feb 2025</w:t>
            </w:r>
          </w:p>
        </w:tc>
        <w:tc>
          <w:tcPr>
            <w:tcW w:type="dxa" w:w="5616"/>
            <w:tcMar>
              <w:top w:w="80" w:type="dxa"/>
              <w:start w:w="90" w:type="dxa"/>
              <w:bottom w:w="80" w:type="dxa"/>
              <w:end w:w="90" w:type="dxa"/>
            </w:tcMar>
            <w:vAlign w:val="top"/>
            <w:shd w:fill="F7FAFC"/>
          </w:tcPr>
          <w:p>
            <w:r>
              <w:rPr>
                <w:rFonts w:ascii="Aptos" w:hAnsi="Aptos"/>
                <w:b w:val="0"/>
                <w:sz w:val="16"/>
              </w:rPr>
              <w:t>Expanded beneficial-ownership and trigger-event controls.</w:t>
            </w:r>
          </w:p>
        </w:tc>
        <w:tc>
          <w:tcPr>
            <w:tcW w:type="dxa" w:w="2160"/>
            <w:tcMar>
              <w:top w:w="80" w:type="dxa"/>
              <w:start w:w="90" w:type="dxa"/>
              <w:bottom w:w="80" w:type="dxa"/>
              <w:end w:w="90" w:type="dxa"/>
            </w:tcMar>
            <w:vAlign w:val="top"/>
            <w:shd w:fill="F7FAFC"/>
          </w:tcPr>
          <w:p>
            <w:r>
              <w:rPr>
                <w:rFonts w:ascii="Aptos" w:hAnsi="Aptos"/>
                <w:b w:val="0"/>
                <w:sz w:val="16"/>
              </w:rPr>
              <w:t>Financial Crime Compliance</w:t>
            </w:r>
          </w:p>
        </w:tc>
      </w:tr>
      <w:tr>
        <w:tc>
          <w:tcPr>
            <w:tcW w:type="dxa" w:w="1152"/>
            <w:tcMar>
              <w:top w:w="80" w:type="dxa"/>
              <w:start w:w="90" w:type="dxa"/>
              <w:bottom w:w="80" w:type="dxa"/>
              <w:end w:w="90" w:type="dxa"/>
            </w:tcMar>
            <w:vAlign w:val="top"/>
          </w:tcPr>
          <w:p>
            <w:r>
              <w:rPr>
                <w:rFonts w:ascii="Aptos" w:hAnsi="Aptos"/>
                <w:b w:val="0"/>
                <w:sz w:val="16"/>
              </w:rPr>
              <w:t>1.8</w:t>
            </w:r>
          </w:p>
        </w:tc>
        <w:tc>
          <w:tcPr>
            <w:tcW w:type="dxa" w:w="1728"/>
            <w:tcMar>
              <w:top w:w="80" w:type="dxa"/>
              <w:start w:w="90" w:type="dxa"/>
              <w:bottom w:w="80" w:type="dxa"/>
              <w:end w:w="90" w:type="dxa"/>
            </w:tcMar>
            <w:vAlign w:val="top"/>
          </w:tcPr>
          <w:p>
            <w:r>
              <w:rPr>
                <w:rFonts w:ascii="Aptos" w:hAnsi="Aptos"/>
                <w:b w:val="0"/>
                <w:sz w:val="16"/>
              </w:rPr>
              <w:t>1 Oct 2025</w:t>
            </w:r>
          </w:p>
        </w:tc>
        <w:tc>
          <w:tcPr>
            <w:tcW w:type="dxa" w:w="5616"/>
            <w:tcMar>
              <w:top w:w="80" w:type="dxa"/>
              <w:start w:w="90" w:type="dxa"/>
              <w:bottom w:w="80" w:type="dxa"/>
              <w:end w:w="90" w:type="dxa"/>
            </w:tcMar>
            <w:vAlign w:val="top"/>
          </w:tcPr>
          <w:p>
            <w:r>
              <w:rPr>
                <w:rFonts w:ascii="Aptos" w:hAnsi="Aptos"/>
                <w:b w:val="0"/>
                <w:sz w:val="16"/>
              </w:rPr>
              <w:t>Aligned to KYC-004 v2.1, AML-003 v2.2 and new EDD/CRR procedures.</w:t>
            </w:r>
          </w:p>
        </w:tc>
        <w:tc>
          <w:tcPr>
            <w:tcW w:type="dxa" w:w="2160"/>
            <w:tcMar>
              <w:top w:w="80" w:type="dxa"/>
              <w:start w:w="90" w:type="dxa"/>
              <w:bottom w:w="80" w:type="dxa"/>
              <w:end w:w="90" w:type="dxa"/>
            </w:tcMar>
            <w:vAlign w:val="top"/>
          </w:tcPr>
          <w:p>
            <w:r>
              <w:rPr>
                <w:rFonts w:ascii="Aptos" w:hAnsi="Aptos"/>
                <w:b w:val="0"/>
                <w:sz w:val="16"/>
              </w:rPr>
              <w:t>Ananya Deshmukh</w:t>
            </w:r>
          </w:p>
        </w:tc>
      </w:tr>
    </w:tbl>
    <w:p/>
    <w:p>
      <w:pPr>
        <w:pStyle w:val="SmallNote"/>
      </w:pPr>
      <w:r>
        <w:t>Controlled copies are maintained in the Northstar Financial internal policy repository. Printed, exported or locally saved copies may become superseded. Users shall confirm document status before applying a threshold, approval route or transitional provision.</w:t>
      </w:r>
    </w:p>
    <w:p>
      <w:r>
        <w:br w:type="page"/>
      </w:r>
    </w:p>
    <w:p>
      <w:pPr>
        <w:pStyle w:val="Heading1"/>
      </w:pPr>
      <w:r>
        <w:t>Contents</w:t>
      </w:r>
    </w:p>
    <w:p>
      <w:pPr>
        <w:spacing w:after="24"/>
      </w:pPr>
      <w:r>
        <w:rPr>
          <w:rFonts w:ascii="Aptos" w:hAnsi="Aptos"/>
          <w:sz w:val="18"/>
        </w:rPr>
        <w:t>1. Purpose and Policy Objectives</w:t>
      </w:r>
    </w:p>
    <w:p>
      <w:pPr>
        <w:spacing w:after="24"/>
      </w:pPr>
      <w:r>
        <w:rPr>
          <w:rFonts w:ascii="Aptos" w:hAnsi="Aptos"/>
          <w:sz w:val="18"/>
        </w:rPr>
        <w:t>2. Scope and Applicability</w:t>
      </w:r>
    </w:p>
    <w:p>
      <w:pPr>
        <w:spacing w:after="24"/>
      </w:pPr>
      <w:r>
        <w:rPr>
          <w:rFonts w:ascii="Aptos" w:hAnsi="Aptos"/>
          <w:sz w:val="18"/>
        </w:rPr>
        <w:t>3. Document Hierarchy and Control Ownership</w:t>
      </w:r>
    </w:p>
    <w:p>
      <w:pPr>
        <w:spacing w:after="24"/>
      </w:pPr>
      <w:r>
        <w:rPr>
          <w:rFonts w:ascii="Aptos" w:hAnsi="Aptos"/>
          <w:sz w:val="18"/>
        </w:rPr>
        <w:t>4. Risk-Based CDD Model</w:t>
      </w:r>
    </w:p>
    <w:p>
      <w:pPr>
        <w:spacing w:after="24"/>
      </w:pPr>
      <w:r>
        <w:rPr>
          <w:rFonts w:ascii="Aptos" w:hAnsi="Aptos"/>
          <w:sz w:val="18"/>
        </w:rPr>
        <w:t>5. Standard Due Diligence</w:t>
      </w:r>
    </w:p>
    <w:p>
      <w:pPr>
        <w:spacing w:after="24"/>
      </w:pPr>
      <w:r>
        <w:rPr>
          <w:rFonts w:ascii="Aptos" w:hAnsi="Aptos"/>
          <w:sz w:val="18"/>
        </w:rPr>
        <w:t>6. Simplified Due Diligence</w:t>
      </w:r>
    </w:p>
    <w:p>
      <w:pPr>
        <w:spacing w:after="24"/>
      </w:pPr>
      <w:r>
        <w:rPr>
          <w:rFonts w:ascii="Aptos" w:hAnsi="Aptos"/>
          <w:sz w:val="18"/>
        </w:rPr>
        <w:t>7. Enhanced Due Diligence Triggers</w:t>
      </w:r>
    </w:p>
    <w:p>
      <w:pPr>
        <w:spacing w:after="24"/>
      </w:pPr>
      <w:r>
        <w:rPr>
          <w:rFonts w:ascii="Aptos" w:hAnsi="Aptos"/>
          <w:sz w:val="18"/>
        </w:rPr>
        <w:t>8. Individuals and Sole Proprietors</w:t>
      </w:r>
    </w:p>
    <w:p>
      <w:pPr>
        <w:spacing w:after="24"/>
      </w:pPr>
      <w:r>
        <w:rPr>
          <w:rFonts w:ascii="Aptos" w:hAnsi="Aptos"/>
          <w:sz w:val="18"/>
        </w:rPr>
        <w:t>9. Companies, Partnerships, Trusts and Other Arrangements</w:t>
      </w:r>
    </w:p>
    <w:p>
      <w:pPr>
        <w:spacing w:after="24"/>
      </w:pPr>
      <w:r>
        <w:rPr>
          <w:rFonts w:ascii="Aptos" w:hAnsi="Aptos"/>
          <w:sz w:val="18"/>
        </w:rPr>
        <w:t>10. Beneficial Ownership and Control</w:t>
      </w:r>
    </w:p>
    <w:p>
      <w:pPr>
        <w:spacing w:after="24"/>
      </w:pPr>
      <w:r>
        <w:rPr>
          <w:rFonts w:ascii="Aptos" w:hAnsi="Aptos"/>
          <w:sz w:val="18"/>
        </w:rPr>
        <w:t>11. Source of Funds and Source of Wealth</w:t>
      </w:r>
    </w:p>
    <w:p>
      <w:pPr>
        <w:spacing w:after="24"/>
      </w:pPr>
      <w:r>
        <w:rPr>
          <w:rFonts w:ascii="Aptos" w:hAnsi="Aptos"/>
          <w:sz w:val="18"/>
        </w:rPr>
        <w:t>12. PEP, Sanctions and Adverse Information</w:t>
      </w:r>
    </w:p>
    <w:p>
      <w:pPr>
        <w:spacing w:after="24"/>
      </w:pPr>
      <w:r>
        <w:rPr>
          <w:rFonts w:ascii="Aptos" w:hAnsi="Aptos"/>
          <w:sz w:val="18"/>
        </w:rPr>
        <w:t>13. Geography, Product, Channel and Intermediary Risk</w:t>
      </w:r>
    </w:p>
    <w:p>
      <w:pPr>
        <w:spacing w:after="24"/>
      </w:pPr>
      <w:r>
        <w:rPr>
          <w:rFonts w:ascii="Aptos" w:hAnsi="Aptos"/>
          <w:sz w:val="18"/>
        </w:rPr>
        <w:t>14. Expected Activity and Ongoing Due Diligence</w:t>
      </w:r>
    </w:p>
    <w:p>
      <w:pPr>
        <w:spacing w:after="24"/>
      </w:pPr>
      <w:r>
        <w:rPr>
          <w:rFonts w:ascii="Aptos" w:hAnsi="Aptos"/>
          <w:sz w:val="18"/>
        </w:rPr>
        <w:t>15. Periodic Review and Trigger Events</w:t>
      </w:r>
    </w:p>
    <w:p>
      <w:pPr>
        <w:spacing w:after="24"/>
      </w:pPr>
      <w:r>
        <w:rPr>
          <w:rFonts w:ascii="Aptos" w:hAnsi="Aptos"/>
          <w:sz w:val="18"/>
        </w:rPr>
        <w:t>16. Restrictions, Decline and Exit</w:t>
      </w:r>
    </w:p>
    <w:p>
      <w:pPr>
        <w:spacing w:after="24"/>
      </w:pPr>
      <w:r>
        <w:rPr>
          <w:rFonts w:ascii="Aptos" w:hAnsi="Aptos"/>
          <w:sz w:val="18"/>
        </w:rPr>
        <w:t>17. Approvals, Escalation and Exceptions</w:t>
      </w:r>
    </w:p>
    <w:p>
      <w:pPr>
        <w:spacing w:after="24"/>
      </w:pPr>
      <w:r>
        <w:rPr>
          <w:rFonts w:ascii="Aptos" w:hAnsi="Aptos"/>
          <w:sz w:val="18"/>
        </w:rPr>
        <w:t>18. Recordkeeping, Quality Assurance and Management Information</w:t>
      </w:r>
    </w:p>
    <w:p>
      <w:pPr>
        <w:spacing w:after="24"/>
      </w:pPr>
      <w:r>
        <w:rPr>
          <w:rFonts w:ascii="Aptos" w:hAnsi="Aptos"/>
          <w:sz w:val="18"/>
        </w:rPr>
        <w:t>19. CDD Minimum Evidence Matrix</w:t>
      </w:r>
    </w:p>
    <w:p>
      <w:pPr>
        <w:spacing w:after="24"/>
      </w:pPr>
      <w:r>
        <w:rPr>
          <w:rFonts w:ascii="Aptos" w:hAnsi="Aptos"/>
          <w:sz w:val="18"/>
        </w:rPr>
        <w:t>20. CDD Trigger-Event Catalogue</w:t>
      </w:r>
    </w:p>
    <w:p>
      <w:pPr>
        <w:spacing w:after="24"/>
      </w:pPr>
      <w:r>
        <w:rPr>
          <w:rFonts w:ascii="Aptos" w:hAnsi="Aptos"/>
          <w:sz w:val="18"/>
        </w:rPr>
        <w:t>21. CDD Decision Scenarios</w:t>
      </w:r>
    </w:p>
    <w:p>
      <w:pPr>
        <w:spacing w:after="24"/>
      </w:pPr>
      <w:r>
        <w:rPr>
          <w:rFonts w:ascii="Aptos" w:hAnsi="Aptos"/>
          <w:sz w:val="18"/>
        </w:rPr>
        <w:t>22. CDD RACI</w:t>
      </w:r>
      <w:r>
        <w:br/>
        <w:t>23. Evidence Standards by Common CDD Scenario</w:t>
      </w:r>
      <w:r>
        <w:br/>
        <w:t>24. Legal-Entity Ownership Red-Flag Matrix</w:t>
      </w:r>
      <w:r>
        <w:br/>
        <w:t>25. Periodic Review Quality-Control Checklist</w:t>
      </w:r>
      <w:r>
        <w:br/>
        <w:t>26. Restriction, Decline and Remediation Matrix</w:t>
      </w:r>
    </w:p>
    <w:p>
      <w:r>
        <w:br w:type="page"/>
      </w:r>
    </w:p>
    <w:p>
      <w:pPr>
        <w:pStyle w:val="Heading1"/>
        <w:keepNext/>
      </w:pPr>
      <w:r>
        <w:t>1. Purpose and Policy Objectives</w:t>
      </w:r>
    </w:p>
    <w:p>
      <w:r>
        <w:t>This Policy establishes Northstar Financial requirements for customer due diligence across lending, deposit and investment relationships. It sets the minimum information, verification, risk assessment and ongoing review needed to understand who the customer is, why the relationship is being established, who ultimately owns or controls a legal entity, and whether the expected activity is consistent with the stated purpose.</w:t>
      </w:r>
    </w:p>
    <w:p>
      <w:r>
        <w:t>CDD is a continuing control rather than a one-time onboarding step. The relationship shall be reassessed when material facts change, when transaction behaviour departs from the expected profile, when screening results change, or when a scheduled review becomes due.</w:t>
      </w:r>
    </w:p>
    <w:p>
      <w:pPr>
        <w:pStyle w:val="ControlBullet"/>
      </w:pPr>
      <w:r>
        <w:rPr>
          <w:b/>
        </w:rPr>
        <w:t xml:space="preserve">• </w:t>
      </w:r>
      <w:r>
        <w:t>Apply a risk-based approach without weakening mandatory identity and sanctions controls.</w:t>
      </w:r>
    </w:p>
    <w:p>
      <w:pPr>
        <w:pStyle w:val="ControlBullet"/>
      </w:pPr>
      <w:r>
        <w:rPr>
          <w:b/>
        </w:rPr>
        <w:t xml:space="preserve">• </w:t>
      </w:r>
      <w:r>
        <w:t>Separate operational KYC status from broader AML customer risk while maintaining traceable links between them.</w:t>
      </w:r>
    </w:p>
    <w:p>
      <w:pPr>
        <w:pStyle w:val="ControlBullet"/>
      </w:pPr>
      <w:r>
        <w:rPr>
          <w:b/>
        </w:rPr>
        <w:t xml:space="preserve">• </w:t>
      </w:r>
      <w:r>
        <w:t>Escalate uncertainty rather than treating absence of evidence as evidence of low risk.</w:t>
      </w:r>
    </w:p>
    <w:p>
      <w:pPr>
        <w:pStyle w:val="ControlBullet"/>
      </w:pPr>
      <w:r>
        <w:rPr>
          <w:b/>
        </w:rPr>
        <w:t xml:space="preserve">• </w:t>
      </w:r>
      <w:r>
        <w:t>Use documented exception or restriction status where information cannot be completed immediately.</w:t>
      </w:r>
    </w:p>
    <w:p>
      <w:pPr>
        <w:pStyle w:val="Heading1"/>
        <w:keepNext/>
      </w:pPr>
      <w:r>
        <w:t>2. Scope and Applicability</w:t>
      </w:r>
    </w:p>
    <w:p>
      <w:r>
        <w:t>The Policy applies to new and existing individual customers, sole proprietors, partnerships, companies, trusts, associations and other legal arrangements served by Northstar Financial. It applies to direct, branch, assisted-digital and remote channels and to relationships introduced through approved sourcing partners.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872"/>
            <w:shd w:fill="17365D"/>
            <w:vAlign w:val="center"/>
            <w:tcMar>
              <w:top w:w="80" w:type="dxa"/>
              <w:start w:w="90" w:type="dxa"/>
              <w:bottom w:w="80" w:type="dxa"/>
              <w:end w:w="90" w:type="dxa"/>
            </w:tcMar>
          </w:tcPr>
          <w:p>
            <w:r>
              <w:rPr>
                <w:rFonts w:ascii="Aptos" w:hAnsi="Aptos"/>
                <w:b/>
                <w:color w:val="FFFFFF"/>
                <w:sz w:val="16"/>
              </w:rPr>
              <w:t>Population</w:t>
            </w:r>
          </w:p>
        </w:tc>
        <w:tc>
          <w:tcPr>
            <w:tcW w:type="dxa" w:w="3600"/>
            <w:shd w:fill="17365D"/>
            <w:vAlign w:val="center"/>
            <w:tcMar>
              <w:top w:w="80" w:type="dxa"/>
              <w:start w:w="90" w:type="dxa"/>
              <w:bottom w:w="80" w:type="dxa"/>
              <w:end w:w="90" w:type="dxa"/>
            </w:tcMar>
          </w:tcPr>
          <w:p>
            <w:r>
              <w:rPr>
                <w:rFonts w:ascii="Aptos" w:hAnsi="Aptos"/>
                <w:b/>
                <w:color w:val="FFFFFF"/>
                <w:sz w:val="16"/>
              </w:rPr>
              <w:t>Minimum CDD posture</w:t>
            </w:r>
          </w:p>
        </w:tc>
        <w:tc>
          <w:tcPr>
            <w:tcW w:type="dxa" w:w="2160"/>
            <w:shd w:fill="17365D"/>
            <w:vAlign w:val="center"/>
            <w:tcMar>
              <w:top w:w="80" w:type="dxa"/>
              <w:start w:w="90" w:type="dxa"/>
              <w:bottom w:w="80" w:type="dxa"/>
              <w:end w:w="90" w:type="dxa"/>
            </w:tcMar>
          </w:tcPr>
          <w:p>
            <w:r>
              <w:rPr>
                <w:rFonts w:ascii="Aptos" w:hAnsi="Aptos"/>
                <w:b/>
                <w:color w:val="FFFFFF"/>
                <w:sz w:val="16"/>
              </w:rPr>
              <w:t>Typical Owner</w:t>
            </w:r>
          </w:p>
        </w:tc>
        <w:tc>
          <w:tcPr>
            <w:tcW w:type="dxa" w:w="2592"/>
            <w:shd w:fill="17365D"/>
            <w:vAlign w:val="center"/>
            <w:tcMar>
              <w:top w:w="80" w:type="dxa"/>
              <w:start w:w="90" w:type="dxa"/>
              <w:bottom w:w="80" w:type="dxa"/>
              <w:end w:w="90" w:type="dxa"/>
            </w:tcMar>
          </w:tcPr>
          <w:p>
            <w:r>
              <w:rPr>
                <w:rFonts w:ascii="Aptos" w:hAnsi="Aptos"/>
                <w:b/>
                <w:color w:val="FFFFFF"/>
                <w:sz w:val="16"/>
              </w:rPr>
              <w:t>Key Cross-Reference</w:t>
            </w:r>
          </w:p>
        </w:tc>
      </w:tr>
      <w:tr>
        <w:tc>
          <w:tcPr>
            <w:tcW w:type="dxa" w:w="1872"/>
            <w:tcMar>
              <w:top w:w="80" w:type="dxa"/>
              <w:start w:w="90" w:type="dxa"/>
              <w:bottom w:w="80" w:type="dxa"/>
              <w:end w:w="90" w:type="dxa"/>
            </w:tcMar>
            <w:vAlign w:val="top"/>
          </w:tcPr>
          <w:p>
            <w:r>
              <w:rPr>
                <w:rFonts w:ascii="Aptos" w:hAnsi="Aptos"/>
                <w:b w:val="0"/>
                <w:sz w:val="16"/>
              </w:rPr>
              <w:t>New individual</w:t>
            </w:r>
          </w:p>
        </w:tc>
        <w:tc>
          <w:tcPr>
            <w:tcW w:type="dxa" w:w="3600"/>
            <w:tcMar>
              <w:top w:w="80" w:type="dxa"/>
              <w:start w:w="90" w:type="dxa"/>
              <w:bottom w:w="80" w:type="dxa"/>
              <w:end w:w="90" w:type="dxa"/>
            </w:tcMar>
            <w:vAlign w:val="top"/>
          </w:tcPr>
          <w:p>
            <w:r>
              <w:rPr>
                <w:rFonts w:ascii="Aptos" w:hAnsi="Aptos"/>
                <w:b w:val="0"/>
                <w:sz w:val="16"/>
              </w:rPr>
              <w:t>Identity, address, purpose, occupation/income, screening, risk tier</w:t>
            </w:r>
          </w:p>
        </w:tc>
        <w:tc>
          <w:tcPr>
            <w:tcW w:type="dxa" w:w="2160"/>
            <w:tcMar>
              <w:top w:w="80" w:type="dxa"/>
              <w:start w:w="90" w:type="dxa"/>
              <w:bottom w:w="80" w:type="dxa"/>
              <w:end w:w="90" w:type="dxa"/>
            </w:tcMar>
            <w:vAlign w:val="top"/>
          </w:tcPr>
          <w:p>
            <w:r>
              <w:rPr>
                <w:rFonts w:ascii="Aptos" w:hAnsi="Aptos"/>
                <w:b w:val="0"/>
                <w:sz w:val="16"/>
              </w:rPr>
              <w:t>Customer Operations / KYC Operations</w:t>
            </w:r>
          </w:p>
        </w:tc>
        <w:tc>
          <w:tcPr>
            <w:tcW w:type="dxa" w:w="2592"/>
            <w:tcMar>
              <w:top w:w="80" w:type="dxa"/>
              <w:start w:w="90" w:type="dxa"/>
              <w:bottom w:w="80" w:type="dxa"/>
              <w:end w:w="90" w:type="dxa"/>
            </w:tcMar>
            <w:vAlign w:val="top"/>
          </w:tcPr>
          <w:p>
            <w:r>
              <w:rPr>
                <w:rFonts w:ascii="Aptos" w:hAnsi="Aptos"/>
                <w:b w:val="0"/>
                <w:sz w:val="16"/>
              </w:rPr>
              <w:t>KYC-004; COP-021</w:t>
            </w:r>
          </w:p>
        </w:tc>
      </w:tr>
      <w:tr>
        <w:tc>
          <w:tcPr>
            <w:tcW w:type="dxa" w:w="1872"/>
            <w:tcMar>
              <w:top w:w="80" w:type="dxa"/>
              <w:start w:w="90" w:type="dxa"/>
              <w:bottom w:w="80" w:type="dxa"/>
              <w:end w:w="90" w:type="dxa"/>
            </w:tcMar>
            <w:vAlign w:val="top"/>
            <w:shd w:fill="F7FAFC"/>
          </w:tcPr>
          <w:p>
            <w:r>
              <w:rPr>
                <w:rFonts w:ascii="Aptos" w:hAnsi="Aptos"/>
                <w:b w:val="0"/>
                <w:sz w:val="16"/>
              </w:rPr>
              <w:t>Legal entity</w:t>
            </w:r>
          </w:p>
        </w:tc>
        <w:tc>
          <w:tcPr>
            <w:tcW w:type="dxa" w:w="3600"/>
            <w:tcMar>
              <w:top w:w="80" w:type="dxa"/>
              <w:start w:w="90" w:type="dxa"/>
              <w:bottom w:w="80" w:type="dxa"/>
              <w:end w:w="90" w:type="dxa"/>
            </w:tcMar>
            <w:vAlign w:val="top"/>
            <w:shd w:fill="F7FAFC"/>
          </w:tcPr>
          <w:p>
            <w:r>
              <w:rPr>
                <w:rFonts w:ascii="Aptos" w:hAnsi="Aptos"/>
                <w:b w:val="0"/>
                <w:sz w:val="16"/>
              </w:rPr>
              <w:t>Entity verification, business purpose, ownership/control, screening, authorized persons</w:t>
            </w:r>
          </w:p>
        </w:tc>
        <w:tc>
          <w:tcPr>
            <w:tcW w:type="dxa" w:w="2160"/>
            <w:tcMar>
              <w:top w:w="80" w:type="dxa"/>
              <w:start w:w="90" w:type="dxa"/>
              <w:bottom w:w="80" w:type="dxa"/>
              <w:end w:w="90" w:type="dxa"/>
            </w:tcMar>
            <w:vAlign w:val="top"/>
            <w:shd w:fill="F7FAFC"/>
          </w:tcPr>
          <w:p>
            <w:r>
              <w:rPr>
                <w:rFonts w:ascii="Aptos" w:hAnsi="Aptos"/>
                <w:b w:val="0"/>
                <w:sz w:val="16"/>
              </w:rPr>
              <w:t>KYC Operations</w:t>
            </w:r>
          </w:p>
        </w:tc>
        <w:tc>
          <w:tcPr>
            <w:tcW w:type="dxa" w:w="2592"/>
            <w:tcMar>
              <w:top w:w="80" w:type="dxa"/>
              <w:start w:w="90" w:type="dxa"/>
              <w:bottom w:w="80" w:type="dxa"/>
              <w:end w:w="90" w:type="dxa"/>
            </w:tcMar>
            <w:vAlign w:val="top"/>
            <w:shd w:fill="F7FAFC"/>
          </w:tcPr>
          <w:p>
            <w:r>
              <w:rPr>
                <w:rFonts w:ascii="Aptos" w:hAnsi="Aptos"/>
                <w:b w:val="0"/>
                <w:sz w:val="16"/>
              </w:rPr>
              <w:t>KYC-004; CRR-033</w:t>
            </w:r>
          </w:p>
        </w:tc>
      </w:tr>
      <w:tr>
        <w:tc>
          <w:tcPr>
            <w:tcW w:type="dxa" w:w="1872"/>
            <w:tcMar>
              <w:top w:w="80" w:type="dxa"/>
              <w:start w:w="90" w:type="dxa"/>
              <w:bottom w:w="80" w:type="dxa"/>
              <w:end w:w="90" w:type="dxa"/>
            </w:tcMar>
            <w:vAlign w:val="top"/>
          </w:tcPr>
          <w:p>
            <w:r>
              <w:rPr>
                <w:rFonts w:ascii="Aptos" w:hAnsi="Aptos"/>
                <w:b w:val="0"/>
                <w:sz w:val="16"/>
              </w:rPr>
              <w:t>High-risk customer</w:t>
            </w:r>
          </w:p>
        </w:tc>
        <w:tc>
          <w:tcPr>
            <w:tcW w:type="dxa" w:w="3600"/>
            <w:tcMar>
              <w:top w:w="80" w:type="dxa"/>
              <w:start w:w="90" w:type="dxa"/>
              <w:bottom w:w="80" w:type="dxa"/>
              <w:end w:w="90" w:type="dxa"/>
            </w:tcMar>
            <w:vAlign w:val="top"/>
          </w:tcPr>
          <w:p>
            <w:r>
              <w:rPr>
                <w:rFonts w:ascii="Aptos" w:hAnsi="Aptos"/>
                <w:b w:val="0"/>
                <w:sz w:val="16"/>
              </w:rPr>
              <w:t>Standard CDD plus EDD and senior approval where required</w:t>
            </w:r>
          </w:p>
        </w:tc>
        <w:tc>
          <w:tcPr>
            <w:tcW w:type="dxa" w:w="2160"/>
            <w:tcMar>
              <w:top w:w="80" w:type="dxa"/>
              <w:start w:w="90" w:type="dxa"/>
              <w:bottom w:w="80" w:type="dxa"/>
              <w:end w:w="90" w:type="dxa"/>
            </w:tcMar>
            <w:vAlign w:val="top"/>
          </w:tcPr>
          <w:p>
            <w:r>
              <w:rPr>
                <w:rFonts w:ascii="Aptos" w:hAnsi="Aptos"/>
                <w:b w:val="0"/>
                <w:sz w:val="16"/>
              </w:rPr>
              <w:t>AML Compliance</w:t>
            </w:r>
          </w:p>
        </w:tc>
        <w:tc>
          <w:tcPr>
            <w:tcW w:type="dxa" w:w="2592"/>
            <w:tcMar>
              <w:top w:w="80" w:type="dxa"/>
              <w:start w:w="90" w:type="dxa"/>
              <w:bottom w:w="80" w:type="dxa"/>
              <w:end w:w="90" w:type="dxa"/>
            </w:tcMar>
            <w:vAlign w:val="top"/>
          </w:tcPr>
          <w:p>
            <w:r>
              <w:rPr>
                <w:rFonts w:ascii="Aptos" w:hAnsi="Aptos"/>
                <w:b w:val="0"/>
                <w:sz w:val="16"/>
              </w:rPr>
              <w:t>EDD-032; AML-003</w:t>
            </w:r>
          </w:p>
        </w:tc>
      </w:tr>
      <w:tr>
        <w:tc>
          <w:tcPr>
            <w:tcW w:type="dxa" w:w="1872"/>
            <w:tcMar>
              <w:top w:w="80" w:type="dxa"/>
              <w:start w:w="90" w:type="dxa"/>
              <w:bottom w:w="80" w:type="dxa"/>
              <w:end w:w="90" w:type="dxa"/>
            </w:tcMar>
            <w:vAlign w:val="top"/>
            <w:shd w:fill="F7FAFC"/>
          </w:tcPr>
          <w:p>
            <w:r>
              <w:rPr>
                <w:rFonts w:ascii="Aptos" w:hAnsi="Aptos"/>
                <w:b w:val="0"/>
                <w:sz w:val="16"/>
              </w:rPr>
              <w:t>Existing customer trigger event</w:t>
            </w:r>
          </w:p>
        </w:tc>
        <w:tc>
          <w:tcPr>
            <w:tcW w:type="dxa" w:w="3600"/>
            <w:tcMar>
              <w:top w:w="80" w:type="dxa"/>
              <w:start w:w="90" w:type="dxa"/>
              <w:bottom w:w="80" w:type="dxa"/>
              <w:end w:w="90" w:type="dxa"/>
            </w:tcMar>
            <w:vAlign w:val="top"/>
            <w:shd w:fill="F7FAFC"/>
          </w:tcPr>
          <w:p>
            <w:r>
              <w:rPr>
                <w:rFonts w:ascii="Aptos" w:hAnsi="Aptos"/>
                <w:b w:val="0"/>
                <w:sz w:val="16"/>
              </w:rPr>
              <w:t>Refresh affected facts; reassess risk and restrictions</w:t>
            </w:r>
          </w:p>
        </w:tc>
        <w:tc>
          <w:tcPr>
            <w:tcW w:type="dxa" w:w="2160"/>
            <w:tcMar>
              <w:top w:w="80" w:type="dxa"/>
              <w:start w:w="90" w:type="dxa"/>
              <w:bottom w:w="80" w:type="dxa"/>
              <w:end w:w="90" w:type="dxa"/>
            </w:tcMar>
            <w:vAlign w:val="top"/>
            <w:shd w:fill="F7FAFC"/>
          </w:tcPr>
          <w:p>
            <w:r>
              <w:rPr>
                <w:rFonts w:ascii="Aptos" w:hAnsi="Aptos"/>
                <w:b w:val="0"/>
                <w:sz w:val="16"/>
              </w:rPr>
              <w:t>KYC Operations / AML Compliance</w:t>
            </w:r>
          </w:p>
        </w:tc>
        <w:tc>
          <w:tcPr>
            <w:tcW w:type="dxa" w:w="2592"/>
            <w:tcMar>
              <w:top w:w="80" w:type="dxa"/>
              <w:start w:w="90" w:type="dxa"/>
              <w:bottom w:w="80" w:type="dxa"/>
              <w:end w:w="90" w:type="dxa"/>
            </w:tcMar>
            <w:vAlign w:val="top"/>
            <w:shd w:fill="F7FAFC"/>
          </w:tcPr>
          <w:p>
            <w:r>
              <w:rPr>
                <w:rFonts w:ascii="Aptos" w:hAnsi="Aptos"/>
                <w:b w:val="0"/>
                <w:sz w:val="16"/>
              </w:rPr>
              <w:t>KEP-022; CRR-033</w:t>
            </w:r>
          </w:p>
        </w:tc>
      </w:tr>
      <w:tr>
        <w:tc>
          <w:tcPr>
            <w:tcW w:type="dxa" w:w="1872"/>
            <w:tcMar>
              <w:top w:w="80" w:type="dxa"/>
              <w:start w:w="90" w:type="dxa"/>
              <w:bottom w:w="80" w:type="dxa"/>
              <w:end w:w="90" w:type="dxa"/>
            </w:tcMar>
            <w:vAlign w:val="top"/>
          </w:tcPr>
          <w:p>
            <w:r>
              <w:rPr>
                <w:rFonts w:ascii="Aptos" w:hAnsi="Aptos"/>
                <w:b w:val="0"/>
                <w:sz w:val="16"/>
              </w:rPr>
              <w:t>Credit-only applicant</w:t>
            </w:r>
          </w:p>
        </w:tc>
        <w:tc>
          <w:tcPr>
            <w:tcW w:type="dxa" w:w="3600"/>
            <w:tcMar>
              <w:top w:w="80" w:type="dxa"/>
              <w:start w:w="90" w:type="dxa"/>
              <w:bottom w:w="80" w:type="dxa"/>
              <w:end w:w="90" w:type="dxa"/>
            </w:tcMar>
            <w:vAlign w:val="top"/>
          </w:tcPr>
          <w:p>
            <w:r>
              <w:rPr>
                <w:rFonts w:ascii="Aptos" w:hAnsi="Aptos"/>
                <w:b w:val="0"/>
                <w:sz w:val="16"/>
              </w:rPr>
              <w:t>CDD before unrestricted disbursement; credit approval does not cure CDD hold</w:t>
            </w:r>
          </w:p>
        </w:tc>
        <w:tc>
          <w:tcPr>
            <w:tcW w:type="dxa" w:w="2160"/>
            <w:tcMar>
              <w:top w:w="80" w:type="dxa"/>
              <w:start w:w="90" w:type="dxa"/>
              <w:bottom w:w="80" w:type="dxa"/>
              <w:end w:w="90" w:type="dxa"/>
            </w:tcMar>
            <w:vAlign w:val="top"/>
          </w:tcPr>
          <w:p>
            <w:r>
              <w:rPr>
                <w:rFonts w:ascii="Aptos" w:hAnsi="Aptos"/>
                <w:b w:val="0"/>
                <w:sz w:val="16"/>
              </w:rPr>
              <w:t>Retail/SME Lending + KYC</w:t>
            </w:r>
          </w:p>
        </w:tc>
        <w:tc>
          <w:tcPr>
            <w:tcW w:type="dxa" w:w="2592"/>
            <w:tcMar>
              <w:top w:w="80" w:type="dxa"/>
              <w:start w:w="90" w:type="dxa"/>
              <w:bottom w:w="80" w:type="dxa"/>
              <w:end w:w="90" w:type="dxa"/>
            </w:tcMar>
            <w:vAlign w:val="top"/>
          </w:tcPr>
          <w:p>
            <w:r>
              <w:rPr>
                <w:rFonts w:ascii="Aptos" w:hAnsi="Aptos"/>
                <w:b w:val="0"/>
                <w:sz w:val="16"/>
              </w:rPr>
              <w:t>LOP-002; LDP-013</w:t>
            </w:r>
          </w:p>
        </w:tc>
      </w:tr>
    </w:tbl>
    <w:p/>
    <w:p>
      <w:pPr>
        <w:pStyle w:val="Heading1"/>
        <w:keepNext/>
      </w:pPr>
      <w:r>
        <w:t>3. Document Hierarchy and Control Ownership</w:t>
      </w:r>
    </w:p>
    <w:p>
      <w:r>
        <w:t>This Policy sits below the applicable Board- or committee-approved financial-crime policies and above operating procedures. KYC-004 defines identification and verification standards; AML-003 defines financial-crime governance; this Policy defines the integrated due-diligence outcome. Where a procedure is more restrictive, the procedure shall be followed unless a controlled exception is approved by the authority specified in that procedure.</w:t>
      </w:r>
    </w:p>
    <w:p>
      <w:r>
        <w:t>Credit Risk, Lending and Operations may rely on a released CDD status but shall not override a KYC, sanctions or AML restriction. A valid lending approval remains conditional until all required CDD controls are cleared.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304"/>
            <w:shd w:fill="17365D"/>
            <w:vAlign w:val="center"/>
            <w:tcMar>
              <w:top w:w="80" w:type="dxa"/>
              <w:start w:w="90" w:type="dxa"/>
              <w:bottom w:w="80" w:type="dxa"/>
              <w:end w:w="90" w:type="dxa"/>
            </w:tcMar>
          </w:tcPr>
          <w:p>
            <w:r>
              <w:rPr>
                <w:rFonts w:ascii="Aptos" w:hAnsi="Aptos"/>
                <w:b/>
                <w:color w:val="FFFFFF"/>
                <w:sz w:val="16"/>
              </w:rPr>
              <w:t>Control</w:t>
            </w:r>
          </w:p>
        </w:tc>
        <w:tc>
          <w:tcPr>
            <w:tcW w:type="dxa" w:w="2448"/>
            <w:shd w:fill="17365D"/>
            <w:vAlign w:val="center"/>
            <w:tcMar>
              <w:top w:w="80" w:type="dxa"/>
              <w:start w:w="90" w:type="dxa"/>
              <w:bottom w:w="80" w:type="dxa"/>
              <w:end w:w="90" w:type="dxa"/>
            </w:tcMar>
          </w:tcPr>
          <w:p>
            <w:r>
              <w:rPr>
                <w:rFonts w:ascii="Aptos" w:hAnsi="Aptos"/>
                <w:b/>
                <w:color w:val="FFFFFF"/>
                <w:sz w:val="16"/>
              </w:rPr>
              <w:t>Primary Owner</w:t>
            </w:r>
          </w:p>
        </w:tc>
        <w:tc>
          <w:tcPr>
            <w:tcW w:type="dxa" w:w="2448"/>
            <w:shd w:fill="17365D"/>
            <w:vAlign w:val="center"/>
            <w:tcMar>
              <w:top w:w="80" w:type="dxa"/>
              <w:start w:w="90" w:type="dxa"/>
              <w:bottom w:w="80" w:type="dxa"/>
              <w:end w:w="90" w:type="dxa"/>
            </w:tcMar>
          </w:tcPr>
          <w:p>
            <w:r>
              <w:rPr>
                <w:rFonts w:ascii="Aptos" w:hAnsi="Aptos"/>
                <w:b/>
                <w:color w:val="FFFFFF"/>
                <w:sz w:val="16"/>
              </w:rPr>
              <w:t>Cannot Be Overridden By</w:t>
            </w:r>
          </w:p>
        </w:tc>
        <w:tc>
          <w:tcPr>
            <w:tcW w:type="dxa" w:w="3024"/>
            <w:shd w:fill="17365D"/>
            <w:vAlign w:val="center"/>
            <w:tcMar>
              <w:top w:w="80" w:type="dxa"/>
              <w:start w:w="90" w:type="dxa"/>
              <w:bottom w:w="80" w:type="dxa"/>
              <w:end w:w="90" w:type="dxa"/>
            </w:tcMar>
          </w:tcPr>
          <w:p>
            <w:r>
              <w:rPr>
                <w:rFonts w:ascii="Aptos" w:hAnsi="Aptos"/>
                <w:b/>
                <w:color w:val="FFFFFF"/>
                <w:sz w:val="16"/>
              </w:rPr>
              <w:t>Escalation</w:t>
            </w:r>
          </w:p>
        </w:tc>
      </w:tr>
      <w:tr>
        <w:tc>
          <w:tcPr>
            <w:tcW w:type="dxa" w:w="2304"/>
            <w:tcMar>
              <w:top w:w="80" w:type="dxa"/>
              <w:start w:w="90" w:type="dxa"/>
              <w:bottom w:w="80" w:type="dxa"/>
              <w:end w:w="90" w:type="dxa"/>
            </w:tcMar>
            <w:vAlign w:val="top"/>
          </w:tcPr>
          <w:p>
            <w:r>
              <w:rPr>
                <w:rFonts w:ascii="Aptos" w:hAnsi="Aptos"/>
                <w:b w:val="0"/>
                <w:sz w:val="16"/>
              </w:rPr>
              <w:t>Identity verification</w:t>
            </w:r>
          </w:p>
        </w:tc>
        <w:tc>
          <w:tcPr>
            <w:tcW w:type="dxa" w:w="2448"/>
            <w:tcMar>
              <w:top w:w="80" w:type="dxa"/>
              <w:start w:w="90" w:type="dxa"/>
              <w:bottom w:w="80" w:type="dxa"/>
              <w:end w:w="90" w:type="dxa"/>
            </w:tcMar>
            <w:vAlign w:val="top"/>
          </w:tcPr>
          <w:p>
            <w:r>
              <w:rPr>
                <w:rFonts w:ascii="Aptos" w:hAnsi="Aptos"/>
                <w:b w:val="0"/>
                <w:sz w:val="16"/>
              </w:rPr>
              <w:t>KYC Operations</w:t>
            </w:r>
          </w:p>
        </w:tc>
        <w:tc>
          <w:tcPr>
            <w:tcW w:type="dxa" w:w="2448"/>
            <w:tcMar>
              <w:top w:w="80" w:type="dxa"/>
              <w:start w:w="90" w:type="dxa"/>
              <w:bottom w:w="80" w:type="dxa"/>
              <w:end w:w="90" w:type="dxa"/>
            </w:tcMar>
            <w:vAlign w:val="top"/>
          </w:tcPr>
          <w:p>
            <w:r>
              <w:rPr>
                <w:rFonts w:ascii="Aptos" w:hAnsi="Aptos"/>
                <w:b w:val="0"/>
                <w:sz w:val="16"/>
              </w:rPr>
              <w:t>Sales / Credit</w:t>
            </w:r>
          </w:p>
        </w:tc>
        <w:tc>
          <w:tcPr>
            <w:tcW w:type="dxa" w:w="3024"/>
            <w:tcMar>
              <w:top w:w="80" w:type="dxa"/>
              <w:start w:w="90" w:type="dxa"/>
              <w:bottom w:w="80" w:type="dxa"/>
              <w:end w:w="90" w:type="dxa"/>
            </w:tcMar>
            <w:vAlign w:val="top"/>
          </w:tcPr>
          <w:p>
            <w:r>
              <w:rPr>
                <w:rFonts w:ascii="Aptos" w:hAnsi="Aptos"/>
                <w:b w:val="0"/>
                <w:sz w:val="16"/>
              </w:rPr>
              <w:t>KEP-022</w:t>
            </w:r>
          </w:p>
        </w:tc>
      </w:tr>
      <w:tr>
        <w:tc>
          <w:tcPr>
            <w:tcW w:type="dxa" w:w="2304"/>
            <w:tcMar>
              <w:top w:w="80" w:type="dxa"/>
              <w:start w:w="90" w:type="dxa"/>
              <w:bottom w:w="80" w:type="dxa"/>
              <w:end w:w="90" w:type="dxa"/>
            </w:tcMar>
            <w:vAlign w:val="top"/>
            <w:shd w:fill="F7FAFC"/>
          </w:tcPr>
          <w:p>
            <w:r>
              <w:rPr>
                <w:rFonts w:ascii="Aptos" w:hAnsi="Aptos"/>
                <w:b w:val="0"/>
                <w:sz w:val="16"/>
              </w:rPr>
              <w:t>Sanctions disposition</w:t>
            </w:r>
          </w:p>
        </w:tc>
        <w:tc>
          <w:tcPr>
            <w:tcW w:type="dxa" w:w="2448"/>
            <w:tcMar>
              <w:top w:w="80" w:type="dxa"/>
              <w:start w:w="90" w:type="dxa"/>
              <w:bottom w:w="80" w:type="dxa"/>
              <w:end w:w="90" w:type="dxa"/>
            </w:tcMar>
            <w:vAlign w:val="top"/>
            <w:shd w:fill="F7FAFC"/>
          </w:tcPr>
          <w:p>
            <w:r>
              <w:rPr>
                <w:rFonts w:ascii="Aptos" w:hAnsi="Aptos"/>
                <w:b w:val="0"/>
                <w:sz w:val="16"/>
              </w:rPr>
              <w:t>AML Compliance</w:t>
            </w:r>
          </w:p>
        </w:tc>
        <w:tc>
          <w:tcPr>
            <w:tcW w:type="dxa" w:w="2448"/>
            <w:tcMar>
              <w:top w:w="80" w:type="dxa"/>
              <w:start w:w="90" w:type="dxa"/>
              <w:bottom w:w="80" w:type="dxa"/>
              <w:end w:w="90" w:type="dxa"/>
            </w:tcMar>
            <w:vAlign w:val="top"/>
            <w:shd w:fill="F7FAFC"/>
          </w:tcPr>
          <w:p>
            <w:r>
              <w:rPr>
                <w:rFonts w:ascii="Aptos" w:hAnsi="Aptos"/>
                <w:b w:val="0"/>
                <w:sz w:val="16"/>
              </w:rPr>
              <w:t>Business / Credit</w:t>
            </w:r>
          </w:p>
        </w:tc>
        <w:tc>
          <w:tcPr>
            <w:tcW w:type="dxa" w:w="3024"/>
            <w:tcMar>
              <w:top w:w="80" w:type="dxa"/>
              <w:start w:w="90" w:type="dxa"/>
              <w:bottom w:w="80" w:type="dxa"/>
              <w:end w:w="90" w:type="dxa"/>
            </w:tcMar>
            <w:vAlign w:val="top"/>
            <w:shd w:fill="F7FAFC"/>
          </w:tcPr>
          <w:p>
            <w:r>
              <w:rPr>
                <w:rFonts w:ascii="Aptos" w:hAnsi="Aptos"/>
                <w:b w:val="0"/>
                <w:sz w:val="16"/>
              </w:rPr>
              <w:t>AML-003</w:t>
            </w:r>
          </w:p>
        </w:tc>
      </w:tr>
      <w:tr>
        <w:tc>
          <w:tcPr>
            <w:tcW w:type="dxa" w:w="2304"/>
            <w:tcMar>
              <w:top w:w="80" w:type="dxa"/>
              <w:start w:w="90" w:type="dxa"/>
              <w:bottom w:w="80" w:type="dxa"/>
              <w:end w:w="90" w:type="dxa"/>
            </w:tcMar>
            <w:vAlign w:val="top"/>
          </w:tcPr>
          <w:p>
            <w:r>
              <w:rPr>
                <w:rFonts w:ascii="Aptos" w:hAnsi="Aptos"/>
                <w:b w:val="0"/>
                <w:sz w:val="16"/>
              </w:rPr>
              <w:t>CDD completeness</w:t>
            </w:r>
          </w:p>
        </w:tc>
        <w:tc>
          <w:tcPr>
            <w:tcW w:type="dxa" w:w="2448"/>
            <w:tcMar>
              <w:top w:w="80" w:type="dxa"/>
              <w:start w:w="90" w:type="dxa"/>
              <w:bottom w:w="80" w:type="dxa"/>
              <w:end w:w="90" w:type="dxa"/>
            </w:tcMar>
            <w:vAlign w:val="top"/>
          </w:tcPr>
          <w:p>
            <w:r>
              <w:rPr>
                <w:rFonts w:ascii="Aptos" w:hAnsi="Aptos"/>
                <w:b w:val="0"/>
                <w:sz w:val="16"/>
              </w:rPr>
              <w:t>KYC Operations</w:t>
            </w:r>
          </w:p>
        </w:tc>
        <w:tc>
          <w:tcPr>
            <w:tcW w:type="dxa" w:w="2448"/>
            <w:tcMar>
              <w:top w:w="80" w:type="dxa"/>
              <w:start w:w="90" w:type="dxa"/>
              <w:bottom w:w="80" w:type="dxa"/>
              <w:end w:w="90" w:type="dxa"/>
            </w:tcMar>
            <w:vAlign w:val="top"/>
          </w:tcPr>
          <w:p>
            <w:r>
              <w:rPr>
                <w:rFonts w:ascii="Aptos" w:hAnsi="Aptos"/>
                <w:b w:val="0"/>
                <w:sz w:val="16"/>
              </w:rPr>
              <w:t>Product Operations</w:t>
            </w:r>
          </w:p>
        </w:tc>
        <w:tc>
          <w:tcPr>
            <w:tcW w:type="dxa" w:w="3024"/>
            <w:tcMar>
              <w:top w:w="80" w:type="dxa"/>
              <w:start w:w="90" w:type="dxa"/>
              <w:bottom w:w="80" w:type="dxa"/>
              <w:end w:w="90" w:type="dxa"/>
            </w:tcMar>
            <w:vAlign w:val="top"/>
          </w:tcPr>
          <w:p>
            <w:r>
              <w:rPr>
                <w:rFonts w:ascii="Aptos" w:hAnsi="Aptos"/>
                <w:b w:val="0"/>
                <w:sz w:val="16"/>
              </w:rPr>
              <w:t>CDD Control Manager</w:t>
            </w:r>
          </w:p>
        </w:tc>
      </w:tr>
      <w:tr>
        <w:tc>
          <w:tcPr>
            <w:tcW w:type="dxa" w:w="2304"/>
            <w:tcMar>
              <w:top w:w="80" w:type="dxa"/>
              <w:start w:w="90" w:type="dxa"/>
              <w:bottom w:w="80" w:type="dxa"/>
              <w:end w:w="90" w:type="dxa"/>
            </w:tcMar>
            <w:vAlign w:val="top"/>
            <w:shd w:fill="F7FAFC"/>
          </w:tcPr>
          <w:p>
            <w:r>
              <w:rPr>
                <w:rFonts w:ascii="Aptos" w:hAnsi="Aptos"/>
                <w:b w:val="0"/>
                <w:sz w:val="16"/>
              </w:rPr>
              <w:t>AML customer risk</w:t>
            </w:r>
          </w:p>
        </w:tc>
        <w:tc>
          <w:tcPr>
            <w:tcW w:type="dxa" w:w="2448"/>
            <w:tcMar>
              <w:top w:w="80" w:type="dxa"/>
              <w:start w:w="90" w:type="dxa"/>
              <w:bottom w:w="80" w:type="dxa"/>
              <w:end w:w="90" w:type="dxa"/>
            </w:tcMar>
            <w:vAlign w:val="top"/>
            <w:shd w:fill="F7FAFC"/>
          </w:tcPr>
          <w:p>
            <w:r>
              <w:rPr>
                <w:rFonts w:ascii="Aptos" w:hAnsi="Aptos"/>
                <w:b w:val="0"/>
                <w:sz w:val="16"/>
              </w:rPr>
              <w:t>AML Compliance</w:t>
            </w:r>
          </w:p>
        </w:tc>
        <w:tc>
          <w:tcPr>
            <w:tcW w:type="dxa" w:w="2448"/>
            <w:tcMar>
              <w:top w:w="80" w:type="dxa"/>
              <w:start w:w="90" w:type="dxa"/>
              <w:bottom w:w="80" w:type="dxa"/>
              <w:end w:w="90" w:type="dxa"/>
            </w:tcMar>
            <w:vAlign w:val="top"/>
            <w:shd w:fill="F7FAFC"/>
          </w:tcPr>
          <w:p>
            <w:r>
              <w:rPr>
                <w:rFonts w:ascii="Aptos" w:hAnsi="Aptos"/>
                <w:b w:val="0"/>
                <w:sz w:val="16"/>
              </w:rPr>
              <w:t>KYC Operations alone</w:t>
            </w:r>
          </w:p>
        </w:tc>
        <w:tc>
          <w:tcPr>
            <w:tcW w:type="dxa" w:w="3024"/>
            <w:tcMar>
              <w:top w:w="80" w:type="dxa"/>
              <w:start w:w="90" w:type="dxa"/>
              <w:bottom w:w="80" w:type="dxa"/>
              <w:end w:w="90" w:type="dxa"/>
            </w:tcMar>
            <w:vAlign w:val="top"/>
            <w:shd w:fill="F7FAFC"/>
          </w:tcPr>
          <w:p>
            <w:r>
              <w:rPr>
                <w:rFonts w:ascii="Aptos" w:hAnsi="Aptos"/>
                <w:b w:val="0"/>
                <w:sz w:val="16"/>
              </w:rPr>
              <w:t>CRR-033</w:t>
            </w:r>
          </w:p>
        </w:tc>
      </w:tr>
      <w:tr>
        <w:tc>
          <w:tcPr>
            <w:tcW w:type="dxa" w:w="2304"/>
            <w:tcMar>
              <w:top w:w="80" w:type="dxa"/>
              <w:start w:w="90" w:type="dxa"/>
              <w:bottom w:w="80" w:type="dxa"/>
              <w:end w:w="90" w:type="dxa"/>
            </w:tcMar>
            <w:vAlign w:val="top"/>
          </w:tcPr>
          <w:p>
            <w:r>
              <w:rPr>
                <w:rFonts w:ascii="Aptos" w:hAnsi="Aptos"/>
                <w:b w:val="0"/>
                <w:sz w:val="16"/>
              </w:rPr>
              <w:t>Credit decision</w:t>
            </w:r>
          </w:p>
        </w:tc>
        <w:tc>
          <w:tcPr>
            <w:tcW w:type="dxa" w:w="2448"/>
            <w:tcMar>
              <w:top w:w="80" w:type="dxa"/>
              <w:start w:w="90" w:type="dxa"/>
              <w:bottom w:w="80" w:type="dxa"/>
              <w:end w:w="90" w:type="dxa"/>
            </w:tcMar>
            <w:vAlign w:val="top"/>
          </w:tcPr>
          <w:p>
            <w:r>
              <w:rPr>
                <w:rFonts w:ascii="Aptos" w:hAnsi="Aptos"/>
                <w:b w:val="0"/>
                <w:sz w:val="16"/>
              </w:rPr>
              <w:t>Credit Underwriting</w:t>
            </w:r>
          </w:p>
        </w:tc>
        <w:tc>
          <w:tcPr>
            <w:tcW w:type="dxa" w:w="2448"/>
            <w:tcMar>
              <w:top w:w="80" w:type="dxa"/>
              <w:start w:w="90" w:type="dxa"/>
              <w:bottom w:w="80" w:type="dxa"/>
              <w:end w:w="90" w:type="dxa"/>
            </w:tcMar>
            <w:vAlign w:val="top"/>
          </w:tcPr>
          <w:p>
            <w:r>
              <w:rPr>
                <w:rFonts w:ascii="Aptos" w:hAnsi="Aptos"/>
                <w:b w:val="0"/>
                <w:sz w:val="16"/>
              </w:rPr>
              <w:t>KYC/AML</w:t>
            </w:r>
          </w:p>
        </w:tc>
        <w:tc>
          <w:tcPr>
            <w:tcW w:type="dxa" w:w="3024"/>
            <w:tcMar>
              <w:top w:w="80" w:type="dxa"/>
              <w:start w:w="90" w:type="dxa"/>
              <w:bottom w:w="80" w:type="dxa"/>
              <w:end w:w="90" w:type="dxa"/>
            </w:tcMar>
            <w:vAlign w:val="top"/>
          </w:tcPr>
          <w:p>
            <w:r>
              <w:rPr>
                <w:rFonts w:ascii="Aptos" w:hAnsi="Aptos"/>
                <w:b w:val="0"/>
                <w:sz w:val="16"/>
              </w:rPr>
              <w:t>CRP-001 / product procedure</w:t>
            </w:r>
          </w:p>
        </w:tc>
      </w:tr>
    </w:tbl>
    <w:p/>
    <w:p>
      <w:pPr>
        <w:pStyle w:val="Heading1"/>
        <w:keepNext/>
      </w:pPr>
      <w:r>
        <w:t>4. Risk-Based CDD Model</w:t>
      </w:r>
    </w:p>
    <w:p>
      <w:r>
        <w:t>Northstar applies CDD intensity according to customer characteristics, ownership complexity, product and channel, geography, expected activity and screening results. The CDD risk tier may be Low, Medium or High for operational purposes. The AML customer-risk score is calculated separately under CRR-033 and may be higher or lower than the KYC operational tier.</w:t>
      </w:r>
    </w:p>
    <w:p>
      <w:pPr>
        <w:pStyle w:val="Heading2"/>
      </w:pPr>
      <w:r>
        <w:t>4.1 Low-risk posture</w:t>
      </w:r>
    </w:p>
    <w:p>
      <w:r>
        <w:t>Low-risk treatment is available only where identity and ownership are clear, the purpose is ordinary and understandable, expected activity is modest and consistent, and there are no material PEP, sanctions, adverse-information or high-risk geography indicators.</w:t>
      </w:r>
    </w:p>
    <w:p>
      <w:pPr>
        <w:pStyle w:val="Heading2"/>
      </w:pPr>
      <w:r>
        <w:t>4.2 Medium-risk posture</w:t>
      </w:r>
    </w:p>
    <w:p>
      <w:r>
        <w:t>Medium risk applies where one or more factors require additional evidence or more frequent review but do not, individually or collectively, require EDD. Examples include non-face-to-face onboarding with reliable digital verification, moderate ownership complexity, material cross-border activity or occupation/business sectors with elevated misuse risk.</w:t>
      </w:r>
    </w:p>
    <w:p>
      <w:pPr>
        <w:pStyle w:val="Heading2"/>
      </w:pPr>
      <w:r>
        <w:t>4.3 High-risk posture</w:t>
      </w:r>
    </w:p>
    <w:p>
      <w:r>
        <w:t>High-risk classification requires EDD under EDD-032 unless AML Compliance records a documented reason that a specialized control already addresses the risk. Confirmed PEP status, opaque ownership, material adverse information, unexplained third-party funding, or significant high-risk jurisdiction exposure will normally produce High risk.</w:t>
      </w:r>
    </w:p>
    <w:p>
      <w:pPr>
        <w:pStyle w:val="Heading1"/>
        <w:keepNext/>
      </w:pPr>
      <w:r>
        <w:t>5. Standard Due Diligence</w:t>
      </w:r>
    </w:p>
    <w:p>
      <w:r>
        <w:t>Standard Due Diligence (SDD) is the default minimum for ordinary customers. It shall establish the customer identity, relationship purpose, expected activity, source of repayment or funding where relevant, and screening outcome before unrestricted activation.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72"/>
            <w:shd w:fill="17365D"/>
            <w:vAlign w:val="center"/>
            <w:tcMar>
              <w:top w:w="80" w:type="dxa"/>
              <w:start w:w="90" w:type="dxa"/>
              <w:bottom w:w="80" w:type="dxa"/>
              <w:end w:w="90" w:type="dxa"/>
            </w:tcMar>
          </w:tcPr>
          <w:p>
            <w:r>
              <w:rPr>
                <w:rFonts w:ascii="Aptos" w:hAnsi="Aptos"/>
                <w:b/>
                <w:color w:val="FFFFFF"/>
                <w:sz w:val="16"/>
              </w:rPr>
              <w:t>Element</w:t>
            </w:r>
          </w:p>
        </w:tc>
        <w:tc>
          <w:tcPr>
            <w:tcW w:type="dxa" w:w="5328"/>
            <w:shd w:fill="17365D"/>
            <w:vAlign w:val="center"/>
            <w:tcMar>
              <w:top w:w="80" w:type="dxa"/>
              <w:start w:w="90" w:type="dxa"/>
              <w:bottom w:w="80" w:type="dxa"/>
              <w:end w:w="90" w:type="dxa"/>
            </w:tcMar>
          </w:tcPr>
          <w:p>
            <w:r>
              <w:rPr>
                <w:rFonts w:ascii="Aptos" w:hAnsi="Aptos"/>
                <w:b/>
                <w:color w:val="FFFFFF"/>
                <w:sz w:val="16"/>
              </w:rPr>
              <w:t>Required Evidence / Assessment</w:t>
            </w:r>
          </w:p>
        </w:tc>
        <w:tc>
          <w:tcPr>
            <w:tcW w:type="dxa" w:w="2880"/>
            <w:shd w:fill="17365D"/>
            <w:vAlign w:val="center"/>
            <w:tcMar>
              <w:top w:w="80" w:type="dxa"/>
              <w:start w:w="90" w:type="dxa"/>
              <w:bottom w:w="80" w:type="dxa"/>
              <w:end w:w="90" w:type="dxa"/>
            </w:tcMar>
          </w:tcPr>
          <w:p>
            <w:r>
              <w:rPr>
                <w:rFonts w:ascii="Aptos" w:hAnsi="Aptos"/>
                <w:b/>
                <w:color w:val="FFFFFF"/>
                <w:sz w:val="16"/>
              </w:rPr>
              <w:t>Minimum Outcome</w:t>
            </w:r>
          </w:p>
        </w:tc>
      </w:tr>
      <w:tr>
        <w:tc>
          <w:tcPr>
            <w:tcW w:type="dxa" w:w="1872"/>
            <w:tcMar>
              <w:top w:w="80" w:type="dxa"/>
              <w:start w:w="90" w:type="dxa"/>
              <w:bottom w:w="80" w:type="dxa"/>
              <w:end w:w="90" w:type="dxa"/>
            </w:tcMar>
            <w:vAlign w:val="top"/>
          </w:tcPr>
          <w:p>
            <w:r>
              <w:rPr>
                <w:rFonts w:ascii="Aptos" w:hAnsi="Aptos"/>
                <w:b w:val="0"/>
                <w:sz w:val="16"/>
              </w:rPr>
              <w:t>Identity</w:t>
            </w:r>
          </w:p>
        </w:tc>
        <w:tc>
          <w:tcPr>
            <w:tcW w:type="dxa" w:w="5328"/>
            <w:tcMar>
              <w:top w:w="80" w:type="dxa"/>
              <w:start w:w="90" w:type="dxa"/>
              <w:bottom w:w="80" w:type="dxa"/>
              <w:end w:w="90" w:type="dxa"/>
            </w:tcMar>
            <w:vAlign w:val="top"/>
          </w:tcPr>
          <w:p>
            <w:r>
              <w:rPr>
                <w:rFonts w:ascii="Aptos" w:hAnsi="Aptos"/>
                <w:b w:val="0"/>
                <w:sz w:val="16"/>
              </w:rPr>
              <w:t>Verified customer or entity identity using approved methods</w:t>
            </w:r>
          </w:p>
        </w:tc>
        <w:tc>
          <w:tcPr>
            <w:tcW w:type="dxa" w:w="2880"/>
            <w:tcMar>
              <w:top w:w="80" w:type="dxa"/>
              <w:start w:w="90" w:type="dxa"/>
              <w:bottom w:w="80" w:type="dxa"/>
              <w:end w:w="90" w:type="dxa"/>
            </w:tcMar>
            <w:vAlign w:val="top"/>
          </w:tcPr>
          <w:p>
            <w:r>
              <w:rPr>
                <w:rFonts w:ascii="Aptos" w:hAnsi="Aptos"/>
                <w:b w:val="0"/>
                <w:sz w:val="16"/>
              </w:rPr>
              <w:t>No unresolved material mismatch</w:t>
            </w:r>
          </w:p>
        </w:tc>
      </w:tr>
      <w:tr>
        <w:tc>
          <w:tcPr>
            <w:tcW w:type="dxa" w:w="1872"/>
            <w:tcMar>
              <w:top w:w="80" w:type="dxa"/>
              <w:start w:w="90" w:type="dxa"/>
              <w:bottom w:w="80" w:type="dxa"/>
              <w:end w:w="90" w:type="dxa"/>
            </w:tcMar>
            <w:vAlign w:val="top"/>
            <w:shd w:fill="F7FAFC"/>
          </w:tcPr>
          <w:p>
            <w:r>
              <w:rPr>
                <w:rFonts w:ascii="Aptos" w:hAnsi="Aptos"/>
                <w:b w:val="0"/>
                <w:sz w:val="16"/>
              </w:rPr>
              <w:t>Address/contact</w:t>
            </w:r>
          </w:p>
        </w:tc>
        <w:tc>
          <w:tcPr>
            <w:tcW w:type="dxa" w:w="5328"/>
            <w:tcMar>
              <w:top w:w="80" w:type="dxa"/>
              <w:start w:w="90" w:type="dxa"/>
              <w:bottom w:w="80" w:type="dxa"/>
              <w:end w:w="90" w:type="dxa"/>
            </w:tcMar>
            <w:vAlign w:val="top"/>
            <w:shd w:fill="F7FAFC"/>
          </w:tcPr>
          <w:p>
            <w:r>
              <w:rPr>
                <w:rFonts w:ascii="Aptos" w:hAnsi="Aptos"/>
                <w:b w:val="0"/>
                <w:sz w:val="16"/>
              </w:rPr>
              <w:t>Current address/contact evidence proportionate to customer type</w:t>
            </w:r>
          </w:p>
        </w:tc>
        <w:tc>
          <w:tcPr>
            <w:tcW w:type="dxa" w:w="2880"/>
            <w:tcMar>
              <w:top w:w="80" w:type="dxa"/>
              <w:start w:w="90" w:type="dxa"/>
              <w:bottom w:w="80" w:type="dxa"/>
              <w:end w:w="90" w:type="dxa"/>
            </w:tcMar>
            <w:vAlign w:val="top"/>
            <w:shd w:fill="F7FAFC"/>
          </w:tcPr>
          <w:p>
            <w:r>
              <w:rPr>
                <w:rFonts w:ascii="Aptos" w:hAnsi="Aptos"/>
                <w:b w:val="0"/>
                <w:sz w:val="16"/>
              </w:rPr>
              <w:t>Usable and internally consistent</w:t>
            </w:r>
          </w:p>
        </w:tc>
      </w:tr>
      <w:tr>
        <w:tc>
          <w:tcPr>
            <w:tcW w:type="dxa" w:w="1872"/>
            <w:tcMar>
              <w:top w:w="80" w:type="dxa"/>
              <w:start w:w="90" w:type="dxa"/>
              <w:bottom w:w="80" w:type="dxa"/>
              <w:end w:w="90" w:type="dxa"/>
            </w:tcMar>
            <w:vAlign w:val="top"/>
          </w:tcPr>
          <w:p>
            <w:r>
              <w:rPr>
                <w:rFonts w:ascii="Aptos" w:hAnsi="Aptos"/>
                <w:b w:val="0"/>
                <w:sz w:val="16"/>
              </w:rPr>
              <w:t>Purpose</w:t>
            </w:r>
          </w:p>
        </w:tc>
        <w:tc>
          <w:tcPr>
            <w:tcW w:type="dxa" w:w="5328"/>
            <w:tcMar>
              <w:top w:w="80" w:type="dxa"/>
              <w:start w:w="90" w:type="dxa"/>
              <w:bottom w:w="80" w:type="dxa"/>
              <w:end w:w="90" w:type="dxa"/>
            </w:tcMar>
            <w:vAlign w:val="top"/>
          </w:tcPr>
          <w:p>
            <w:r>
              <w:rPr>
                <w:rFonts w:ascii="Aptos" w:hAnsi="Aptos"/>
                <w:b w:val="0"/>
                <w:sz w:val="16"/>
              </w:rPr>
              <w:t>Reason for relationship and product need</w:t>
            </w:r>
          </w:p>
        </w:tc>
        <w:tc>
          <w:tcPr>
            <w:tcW w:type="dxa" w:w="2880"/>
            <w:tcMar>
              <w:top w:w="80" w:type="dxa"/>
              <w:start w:w="90" w:type="dxa"/>
              <w:bottom w:w="80" w:type="dxa"/>
              <w:end w:w="90" w:type="dxa"/>
            </w:tcMar>
            <w:vAlign w:val="top"/>
          </w:tcPr>
          <w:p>
            <w:r>
              <w:rPr>
                <w:rFonts w:ascii="Aptos" w:hAnsi="Aptos"/>
                <w:b w:val="0"/>
                <w:sz w:val="16"/>
              </w:rPr>
              <w:t>Plausible and recorded</w:t>
            </w:r>
          </w:p>
        </w:tc>
      </w:tr>
      <w:tr>
        <w:tc>
          <w:tcPr>
            <w:tcW w:type="dxa" w:w="1872"/>
            <w:tcMar>
              <w:top w:w="80" w:type="dxa"/>
              <w:start w:w="90" w:type="dxa"/>
              <w:bottom w:w="80" w:type="dxa"/>
              <w:end w:w="90" w:type="dxa"/>
            </w:tcMar>
            <w:vAlign w:val="top"/>
            <w:shd w:fill="F7FAFC"/>
          </w:tcPr>
          <w:p>
            <w:r>
              <w:rPr>
                <w:rFonts w:ascii="Aptos" w:hAnsi="Aptos"/>
                <w:b w:val="0"/>
                <w:sz w:val="16"/>
              </w:rPr>
              <w:t>Occupation/business</w:t>
            </w:r>
          </w:p>
        </w:tc>
        <w:tc>
          <w:tcPr>
            <w:tcW w:type="dxa" w:w="5328"/>
            <w:tcMar>
              <w:top w:w="80" w:type="dxa"/>
              <w:start w:w="90" w:type="dxa"/>
              <w:bottom w:w="80" w:type="dxa"/>
              <w:end w:w="90" w:type="dxa"/>
            </w:tcMar>
            <w:vAlign w:val="top"/>
            <w:shd w:fill="F7FAFC"/>
          </w:tcPr>
          <w:p>
            <w:r>
              <w:rPr>
                <w:rFonts w:ascii="Aptos" w:hAnsi="Aptos"/>
                <w:b w:val="0"/>
                <w:sz w:val="16"/>
              </w:rPr>
              <w:t>Nature of work/business and income/funding context</w:t>
            </w:r>
          </w:p>
        </w:tc>
        <w:tc>
          <w:tcPr>
            <w:tcW w:type="dxa" w:w="2880"/>
            <w:tcMar>
              <w:top w:w="80" w:type="dxa"/>
              <w:start w:w="90" w:type="dxa"/>
              <w:bottom w:w="80" w:type="dxa"/>
              <w:end w:w="90" w:type="dxa"/>
            </w:tcMar>
            <w:vAlign w:val="top"/>
            <w:shd w:fill="F7FAFC"/>
          </w:tcPr>
          <w:p>
            <w:r>
              <w:rPr>
                <w:rFonts w:ascii="Aptos" w:hAnsi="Aptos"/>
                <w:b w:val="0"/>
                <w:sz w:val="16"/>
              </w:rPr>
              <w:t>Sufficient to assess expected activity</w:t>
            </w:r>
          </w:p>
        </w:tc>
      </w:tr>
      <w:tr>
        <w:tc>
          <w:tcPr>
            <w:tcW w:type="dxa" w:w="1872"/>
            <w:tcMar>
              <w:top w:w="80" w:type="dxa"/>
              <w:start w:w="90" w:type="dxa"/>
              <w:bottom w:w="80" w:type="dxa"/>
              <w:end w:w="90" w:type="dxa"/>
            </w:tcMar>
            <w:vAlign w:val="top"/>
          </w:tcPr>
          <w:p>
            <w:r>
              <w:rPr>
                <w:rFonts w:ascii="Aptos" w:hAnsi="Aptos"/>
                <w:b w:val="0"/>
                <w:sz w:val="16"/>
              </w:rPr>
              <w:t>Ownership/control</w:t>
            </w:r>
          </w:p>
        </w:tc>
        <w:tc>
          <w:tcPr>
            <w:tcW w:type="dxa" w:w="5328"/>
            <w:tcMar>
              <w:top w:w="80" w:type="dxa"/>
              <w:start w:w="90" w:type="dxa"/>
              <w:bottom w:w="80" w:type="dxa"/>
              <w:end w:w="90" w:type="dxa"/>
            </w:tcMar>
            <w:vAlign w:val="top"/>
          </w:tcPr>
          <w:p>
            <w:r>
              <w:rPr>
                <w:rFonts w:ascii="Aptos" w:hAnsi="Aptos"/>
                <w:b w:val="0"/>
                <w:sz w:val="16"/>
              </w:rPr>
              <w:t>Applicable beneficial owners and controllers</w:t>
            </w:r>
          </w:p>
        </w:tc>
        <w:tc>
          <w:tcPr>
            <w:tcW w:type="dxa" w:w="2880"/>
            <w:tcMar>
              <w:top w:w="80" w:type="dxa"/>
              <w:start w:w="90" w:type="dxa"/>
              <w:bottom w:w="80" w:type="dxa"/>
              <w:end w:w="90" w:type="dxa"/>
            </w:tcMar>
            <w:vAlign w:val="top"/>
          </w:tcPr>
          <w:p>
            <w:r>
              <w:rPr>
                <w:rFonts w:ascii="Aptos" w:hAnsi="Aptos"/>
                <w:b w:val="0"/>
                <w:sz w:val="16"/>
              </w:rPr>
              <w:t>Standard 25% threshold; control persons identified</w:t>
            </w:r>
          </w:p>
        </w:tc>
      </w:tr>
      <w:tr>
        <w:tc>
          <w:tcPr>
            <w:tcW w:type="dxa" w:w="1872"/>
            <w:tcMar>
              <w:top w:w="80" w:type="dxa"/>
              <w:start w:w="90" w:type="dxa"/>
              <w:bottom w:w="80" w:type="dxa"/>
              <w:end w:w="90" w:type="dxa"/>
            </w:tcMar>
            <w:vAlign w:val="top"/>
            <w:shd w:fill="F7FAFC"/>
          </w:tcPr>
          <w:p>
            <w:r>
              <w:rPr>
                <w:rFonts w:ascii="Aptos" w:hAnsi="Aptos"/>
                <w:b w:val="0"/>
                <w:sz w:val="16"/>
              </w:rPr>
              <w:t>Screening</w:t>
            </w:r>
          </w:p>
        </w:tc>
        <w:tc>
          <w:tcPr>
            <w:tcW w:type="dxa" w:w="5328"/>
            <w:tcMar>
              <w:top w:w="80" w:type="dxa"/>
              <w:start w:w="90" w:type="dxa"/>
              <w:bottom w:w="80" w:type="dxa"/>
              <w:end w:w="90" w:type="dxa"/>
            </w:tcMar>
            <w:vAlign w:val="top"/>
            <w:shd w:fill="F7FAFC"/>
          </w:tcPr>
          <w:p>
            <w:r>
              <w:rPr>
                <w:rFonts w:ascii="Aptos" w:hAnsi="Aptos"/>
                <w:b w:val="0"/>
                <w:sz w:val="16"/>
              </w:rPr>
              <w:t>Sanctions, PEP and internal watchlist checks</w:t>
            </w:r>
          </w:p>
        </w:tc>
        <w:tc>
          <w:tcPr>
            <w:tcW w:type="dxa" w:w="2880"/>
            <w:tcMar>
              <w:top w:w="80" w:type="dxa"/>
              <w:start w:w="90" w:type="dxa"/>
              <w:bottom w:w="80" w:type="dxa"/>
              <w:end w:w="90" w:type="dxa"/>
            </w:tcMar>
            <w:vAlign w:val="top"/>
            <w:shd w:fill="F7FAFC"/>
          </w:tcPr>
          <w:p>
            <w:r>
              <w:rPr>
                <w:rFonts w:ascii="Aptos" w:hAnsi="Aptos"/>
                <w:b w:val="0"/>
                <w:sz w:val="16"/>
              </w:rPr>
              <w:t>All material hits dispositioned</w:t>
            </w:r>
          </w:p>
        </w:tc>
      </w:tr>
      <w:tr>
        <w:tc>
          <w:tcPr>
            <w:tcW w:type="dxa" w:w="1872"/>
            <w:tcMar>
              <w:top w:w="80" w:type="dxa"/>
              <w:start w:w="90" w:type="dxa"/>
              <w:bottom w:w="80" w:type="dxa"/>
              <w:end w:w="90" w:type="dxa"/>
            </w:tcMar>
            <w:vAlign w:val="top"/>
          </w:tcPr>
          <w:p>
            <w:r>
              <w:rPr>
                <w:rFonts w:ascii="Aptos" w:hAnsi="Aptos"/>
                <w:b w:val="0"/>
                <w:sz w:val="16"/>
              </w:rPr>
              <w:t>Expected activity</w:t>
            </w:r>
          </w:p>
        </w:tc>
        <w:tc>
          <w:tcPr>
            <w:tcW w:type="dxa" w:w="5328"/>
            <w:tcMar>
              <w:top w:w="80" w:type="dxa"/>
              <w:start w:w="90" w:type="dxa"/>
              <w:bottom w:w="80" w:type="dxa"/>
              <w:end w:w="90" w:type="dxa"/>
            </w:tcMar>
            <w:vAlign w:val="top"/>
          </w:tcPr>
          <w:p>
            <w:r>
              <w:rPr>
                <w:rFonts w:ascii="Aptos" w:hAnsi="Aptos"/>
                <w:b w:val="0"/>
                <w:sz w:val="16"/>
              </w:rPr>
              <w:t>Typical values, channels, counterparties/geographies where relevant</w:t>
            </w:r>
          </w:p>
        </w:tc>
        <w:tc>
          <w:tcPr>
            <w:tcW w:type="dxa" w:w="2880"/>
            <w:tcMar>
              <w:top w:w="80" w:type="dxa"/>
              <w:start w:w="90" w:type="dxa"/>
              <w:bottom w:w="80" w:type="dxa"/>
              <w:end w:w="90" w:type="dxa"/>
            </w:tcMar>
            <w:vAlign w:val="top"/>
          </w:tcPr>
          <w:p>
            <w:r>
              <w:rPr>
                <w:rFonts w:ascii="Aptos" w:hAnsi="Aptos"/>
                <w:b w:val="0"/>
                <w:sz w:val="16"/>
              </w:rPr>
              <w:t>Baseline recorded for ongoing review</w:t>
            </w:r>
          </w:p>
        </w:tc>
      </w:tr>
    </w:tbl>
    <w:p/>
    <w:p>
      <w:pPr>
        <w:pStyle w:val="Heading1"/>
        <w:keepNext/>
      </w:pPr>
      <w:r>
        <w:t>6. Simplified Due Diligence</w:t>
      </w:r>
    </w:p>
    <w:p>
      <w:r>
        <w:t>Simplified Due Diligence (SiDD) may reduce the amount or frequency of supplementary evidence where risk is demonstrably low. SiDD shall not remove identity verification, sanctions screening, beneficial-ownership identification where applicable, or the need to understand the relationship purpose.</w:t>
      </w:r>
    </w:p>
    <w:p>
      <w:pPr>
        <w:pStyle w:val="ControlBullet"/>
      </w:pPr>
      <w:r>
        <w:rPr>
          <w:b/>
        </w:rPr>
        <w:t xml:space="preserve">• </w:t>
      </w:r>
      <w:r>
        <w:t>SiDD requires a recorded Low-risk rationale and cannot be applied solely because the relationship value is small.</w:t>
      </w:r>
    </w:p>
    <w:p>
      <w:pPr>
        <w:pStyle w:val="ControlBullet"/>
      </w:pPr>
      <w:r>
        <w:rPr>
          <w:b/>
        </w:rPr>
        <w:t xml:space="preserve">• </w:t>
      </w:r>
      <w:r>
        <w:t>Any PEP, sanctions, ownership-opacity or material adverse-information indicator removes SiDD eligibility.</w:t>
      </w:r>
    </w:p>
    <w:p>
      <w:pPr>
        <w:pStyle w:val="ControlBullet"/>
      </w:pPr>
      <w:r>
        <w:rPr>
          <w:b/>
        </w:rPr>
        <w:t xml:space="preserve">• </w:t>
      </w:r>
      <w:r>
        <w:t>A trigger event immediately ends SiDD until the affected facts have been reviewed.</w:t>
      </w:r>
    </w:p>
    <w:p>
      <w:pPr>
        <w:pStyle w:val="ControlBullet"/>
      </w:pPr>
      <w:r>
        <w:rPr>
          <w:b/>
        </w:rPr>
        <w:t xml:space="preserve">• </w:t>
      </w:r>
      <w:r>
        <w:t>The Head of KYC Operations may suspend SiDD for a product, channel or sourcing partner where control performance deteriorates.</w:t>
      </w:r>
    </w:p>
    <w:p>
      <w:pPr>
        <w:pStyle w:val="Heading1"/>
        <w:keepNext/>
      </w:pPr>
      <w:r>
        <w:t>7. Enhanced Due Diligence Triggers</w:t>
      </w:r>
    </w:p>
    <w:p>
      <w:r>
        <w:t>EDD shall be initiated when the risk cannot be adequately understood or controlled through standard CDD. EDD-032 defines the operating steps, evidence depth and approval route.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Trigger</w:t>
            </w:r>
          </w:p>
        </w:tc>
        <w:tc>
          <w:tcPr>
            <w:tcW w:type="dxa" w:w="4752"/>
            <w:shd w:fill="17365D"/>
            <w:vAlign w:val="center"/>
            <w:tcMar>
              <w:top w:w="80" w:type="dxa"/>
              <w:start w:w="90" w:type="dxa"/>
              <w:bottom w:w="80" w:type="dxa"/>
              <w:end w:w="90" w:type="dxa"/>
            </w:tcMar>
          </w:tcPr>
          <w:p>
            <w:r>
              <w:rPr>
                <w:rFonts w:ascii="Aptos" w:hAnsi="Aptos"/>
                <w:b/>
                <w:color w:val="FFFFFF"/>
                <w:sz w:val="16"/>
              </w:rPr>
              <w:t>Default Action</w:t>
            </w:r>
          </w:p>
        </w:tc>
        <w:tc>
          <w:tcPr>
            <w:tcW w:type="dxa" w:w="2448"/>
            <w:shd w:fill="17365D"/>
            <w:vAlign w:val="center"/>
            <w:tcMar>
              <w:top w:w="80" w:type="dxa"/>
              <w:start w:w="90" w:type="dxa"/>
              <w:bottom w:w="80" w:type="dxa"/>
              <w:end w:w="90" w:type="dxa"/>
            </w:tcMar>
          </w:tcPr>
          <w:p>
            <w:r>
              <w:rPr>
                <w:rFonts w:ascii="Aptos" w:hAnsi="Aptos"/>
                <w:b/>
                <w:color w:val="FFFFFF"/>
                <w:sz w:val="16"/>
              </w:rPr>
              <w:t>Risk Floor / Approval</w:t>
            </w:r>
          </w:p>
        </w:tc>
      </w:tr>
      <w:tr>
        <w:tc>
          <w:tcPr>
            <w:tcW w:type="dxa" w:w="2880"/>
            <w:tcMar>
              <w:top w:w="80" w:type="dxa"/>
              <w:start w:w="90" w:type="dxa"/>
              <w:bottom w:w="80" w:type="dxa"/>
              <w:end w:w="90" w:type="dxa"/>
            </w:tcMar>
            <w:vAlign w:val="top"/>
          </w:tcPr>
          <w:p>
            <w:r>
              <w:rPr>
                <w:rFonts w:ascii="Aptos" w:hAnsi="Aptos"/>
                <w:b w:val="0"/>
                <w:sz w:val="16"/>
              </w:rPr>
              <w:t>Confirmed PEP / close associate</w:t>
            </w:r>
          </w:p>
        </w:tc>
        <w:tc>
          <w:tcPr>
            <w:tcW w:type="dxa" w:w="4752"/>
            <w:tcMar>
              <w:top w:w="80" w:type="dxa"/>
              <w:start w:w="90" w:type="dxa"/>
              <w:bottom w:w="80" w:type="dxa"/>
              <w:end w:w="90" w:type="dxa"/>
            </w:tcMar>
            <w:vAlign w:val="top"/>
          </w:tcPr>
          <w:p>
            <w:r>
              <w:rPr>
                <w:rFonts w:ascii="Aptos" w:hAnsi="Aptos"/>
                <w:b w:val="0"/>
                <w:sz w:val="16"/>
              </w:rPr>
              <w:t>EDD, SoW/SoF as relevant, AML approval</w:t>
            </w:r>
          </w:p>
        </w:tc>
        <w:tc>
          <w:tcPr>
            <w:tcW w:type="dxa" w:w="2448"/>
            <w:tcMar>
              <w:top w:w="80" w:type="dxa"/>
              <w:start w:w="90" w:type="dxa"/>
              <w:bottom w:w="80" w:type="dxa"/>
              <w:end w:w="90" w:type="dxa"/>
            </w:tcMar>
            <w:vAlign w:val="top"/>
          </w:tcPr>
          <w:p>
            <w:r>
              <w:rPr>
                <w:rFonts w:ascii="Aptos" w:hAnsi="Aptos"/>
                <w:b w:val="0"/>
                <w:sz w:val="16"/>
              </w:rPr>
              <w:t>High; Chief AML Officer for high-risk PEP</w:t>
            </w:r>
          </w:p>
        </w:tc>
      </w:tr>
      <w:tr>
        <w:tc>
          <w:tcPr>
            <w:tcW w:type="dxa" w:w="2880"/>
            <w:tcMar>
              <w:top w:w="80" w:type="dxa"/>
              <w:start w:w="90" w:type="dxa"/>
              <w:bottom w:w="80" w:type="dxa"/>
              <w:end w:w="90" w:type="dxa"/>
            </w:tcMar>
            <w:vAlign w:val="top"/>
            <w:shd w:fill="F7FAFC"/>
          </w:tcPr>
          <w:p>
            <w:r>
              <w:rPr>
                <w:rFonts w:ascii="Aptos" w:hAnsi="Aptos"/>
                <w:b w:val="0"/>
                <w:sz w:val="16"/>
              </w:rPr>
              <w:t>Complex or opaque ownership</w:t>
            </w:r>
          </w:p>
        </w:tc>
        <w:tc>
          <w:tcPr>
            <w:tcW w:type="dxa" w:w="4752"/>
            <w:tcMar>
              <w:top w:w="80" w:type="dxa"/>
              <w:start w:w="90" w:type="dxa"/>
              <w:bottom w:w="80" w:type="dxa"/>
              <w:end w:w="90" w:type="dxa"/>
            </w:tcMar>
            <w:vAlign w:val="top"/>
            <w:shd w:fill="F7FAFC"/>
          </w:tcPr>
          <w:p>
            <w:r>
              <w:rPr>
                <w:rFonts w:ascii="Aptos" w:hAnsi="Aptos"/>
                <w:b w:val="0"/>
                <w:sz w:val="16"/>
              </w:rPr>
              <w:t>Map control to natural persons; enhanced evidence</w:t>
            </w:r>
          </w:p>
        </w:tc>
        <w:tc>
          <w:tcPr>
            <w:tcW w:type="dxa" w:w="2448"/>
            <w:tcMar>
              <w:top w:w="80" w:type="dxa"/>
              <w:start w:w="90" w:type="dxa"/>
              <w:bottom w:w="80" w:type="dxa"/>
              <w:end w:w="90" w:type="dxa"/>
            </w:tcMar>
            <w:vAlign w:val="top"/>
            <w:shd w:fill="F7FAFC"/>
          </w:tcPr>
          <w:p>
            <w:r>
              <w:rPr>
                <w:rFonts w:ascii="Aptos" w:hAnsi="Aptos"/>
                <w:b w:val="0"/>
                <w:sz w:val="16"/>
              </w:rPr>
              <w:t>Medium or High depending facts</w:t>
            </w:r>
          </w:p>
        </w:tc>
      </w:tr>
      <w:tr>
        <w:tc>
          <w:tcPr>
            <w:tcW w:type="dxa" w:w="2880"/>
            <w:tcMar>
              <w:top w:w="80" w:type="dxa"/>
              <w:start w:w="90" w:type="dxa"/>
              <w:bottom w:w="80" w:type="dxa"/>
              <w:end w:w="90" w:type="dxa"/>
            </w:tcMar>
            <w:vAlign w:val="top"/>
          </w:tcPr>
          <w:p>
            <w:r>
              <w:rPr>
                <w:rFonts w:ascii="Aptos" w:hAnsi="Aptos"/>
                <w:b w:val="0"/>
                <w:sz w:val="16"/>
              </w:rPr>
              <w:t>High-risk jurisdiction exposure</w:t>
            </w:r>
          </w:p>
        </w:tc>
        <w:tc>
          <w:tcPr>
            <w:tcW w:type="dxa" w:w="4752"/>
            <w:tcMar>
              <w:top w:w="80" w:type="dxa"/>
              <w:start w:w="90" w:type="dxa"/>
              <w:bottom w:w="80" w:type="dxa"/>
              <w:end w:w="90" w:type="dxa"/>
            </w:tcMar>
            <w:vAlign w:val="top"/>
          </w:tcPr>
          <w:p>
            <w:r>
              <w:rPr>
                <w:rFonts w:ascii="Aptos" w:hAnsi="Aptos"/>
                <w:b w:val="0"/>
                <w:sz w:val="16"/>
              </w:rPr>
              <w:t>Purpose, counterparties, SoF/SoW, enhanced monitoring</w:t>
            </w:r>
          </w:p>
        </w:tc>
        <w:tc>
          <w:tcPr>
            <w:tcW w:type="dxa" w:w="2448"/>
            <w:tcMar>
              <w:top w:w="80" w:type="dxa"/>
              <w:start w:w="90" w:type="dxa"/>
              <w:bottom w:w="80" w:type="dxa"/>
              <w:end w:w="90" w:type="dxa"/>
            </w:tcMar>
            <w:vAlign w:val="top"/>
          </w:tcPr>
          <w:p>
            <w:r>
              <w:rPr>
                <w:rFonts w:ascii="Aptos" w:hAnsi="Aptos"/>
                <w:b w:val="0"/>
                <w:sz w:val="16"/>
              </w:rPr>
              <w:t>Normally High if material</w:t>
            </w:r>
          </w:p>
        </w:tc>
      </w:tr>
      <w:tr>
        <w:tc>
          <w:tcPr>
            <w:tcW w:type="dxa" w:w="2880"/>
            <w:tcMar>
              <w:top w:w="80" w:type="dxa"/>
              <w:start w:w="90" w:type="dxa"/>
              <w:bottom w:w="80" w:type="dxa"/>
              <w:end w:w="90" w:type="dxa"/>
            </w:tcMar>
            <w:vAlign w:val="top"/>
            <w:shd w:fill="F7FAFC"/>
          </w:tcPr>
          <w:p>
            <w:r>
              <w:rPr>
                <w:rFonts w:ascii="Aptos" w:hAnsi="Aptos"/>
                <w:b w:val="0"/>
                <w:sz w:val="16"/>
              </w:rPr>
              <w:t>Unexplained third-party funding</w:t>
            </w:r>
          </w:p>
        </w:tc>
        <w:tc>
          <w:tcPr>
            <w:tcW w:type="dxa" w:w="4752"/>
            <w:tcMar>
              <w:top w:w="80" w:type="dxa"/>
              <w:start w:w="90" w:type="dxa"/>
              <w:bottom w:w="80" w:type="dxa"/>
              <w:end w:w="90" w:type="dxa"/>
            </w:tcMar>
            <w:vAlign w:val="top"/>
            <w:shd w:fill="F7FAFC"/>
          </w:tcPr>
          <w:p>
            <w:r>
              <w:rPr>
                <w:rFonts w:ascii="Aptos" w:hAnsi="Aptos"/>
                <w:b w:val="0"/>
                <w:sz w:val="16"/>
              </w:rPr>
              <w:t>Obtain relationship and funding rationale; investigate inconsistencies</w:t>
            </w:r>
          </w:p>
        </w:tc>
        <w:tc>
          <w:tcPr>
            <w:tcW w:type="dxa" w:w="2448"/>
            <w:tcMar>
              <w:top w:w="80" w:type="dxa"/>
              <w:start w:w="90" w:type="dxa"/>
              <w:bottom w:w="80" w:type="dxa"/>
              <w:end w:w="90" w:type="dxa"/>
            </w:tcMar>
            <w:vAlign w:val="top"/>
            <w:shd w:fill="F7FAFC"/>
          </w:tcPr>
          <w:p>
            <w:r>
              <w:rPr>
                <w:rFonts w:ascii="Aptos" w:hAnsi="Aptos"/>
                <w:b w:val="0"/>
                <w:sz w:val="16"/>
              </w:rPr>
              <w:t>High when material/unresolved</w:t>
            </w:r>
          </w:p>
        </w:tc>
      </w:tr>
      <w:tr>
        <w:tc>
          <w:tcPr>
            <w:tcW w:type="dxa" w:w="2880"/>
            <w:tcMar>
              <w:top w:w="80" w:type="dxa"/>
              <w:start w:w="90" w:type="dxa"/>
              <w:bottom w:w="80" w:type="dxa"/>
              <w:end w:w="90" w:type="dxa"/>
            </w:tcMar>
            <w:vAlign w:val="top"/>
          </w:tcPr>
          <w:p>
            <w:r>
              <w:rPr>
                <w:rFonts w:ascii="Aptos" w:hAnsi="Aptos"/>
                <w:b w:val="0"/>
                <w:sz w:val="16"/>
              </w:rPr>
              <w:t>Material adverse information</w:t>
            </w:r>
          </w:p>
        </w:tc>
        <w:tc>
          <w:tcPr>
            <w:tcW w:type="dxa" w:w="4752"/>
            <w:tcMar>
              <w:top w:w="80" w:type="dxa"/>
              <w:start w:w="90" w:type="dxa"/>
              <w:bottom w:w="80" w:type="dxa"/>
              <w:end w:w="90" w:type="dxa"/>
            </w:tcMar>
            <w:vAlign w:val="top"/>
          </w:tcPr>
          <w:p>
            <w:r>
              <w:rPr>
                <w:rFonts w:ascii="Aptos" w:hAnsi="Aptos"/>
                <w:b w:val="0"/>
                <w:sz w:val="16"/>
              </w:rPr>
              <w:t>Assess credibility, recency, relevance and remediation</w:t>
            </w:r>
          </w:p>
        </w:tc>
        <w:tc>
          <w:tcPr>
            <w:tcW w:type="dxa" w:w="2448"/>
            <w:tcMar>
              <w:top w:w="80" w:type="dxa"/>
              <w:start w:w="90" w:type="dxa"/>
              <w:bottom w:w="80" w:type="dxa"/>
              <w:end w:w="90" w:type="dxa"/>
            </w:tcMar>
            <w:vAlign w:val="top"/>
          </w:tcPr>
          <w:p>
            <w:r>
              <w:rPr>
                <w:rFonts w:ascii="Aptos" w:hAnsi="Aptos"/>
                <w:b w:val="0"/>
                <w:sz w:val="16"/>
              </w:rPr>
              <w:t>High when integrity concern remains</w:t>
            </w:r>
          </w:p>
        </w:tc>
      </w:tr>
      <w:tr>
        <w:tc>
          <w:tcPr>
            <w:tcW w:type="dxa" w:w="2880"/>
            <w:tcMar>
              <w:top w:w="80" w:type="dxa"/>
              <w:start w:w="90" w:type="dxa"/>
              <w:bottom w:w="80" w:type="dxa"/>
              <w:end w:w="90" w:type="dxa"/>
            </w:tcMar>
            <w:vAlign w:val="top"/>
            <w:shd w:fill="F7FAFC"/>
          </w:tcPr>
          <w:p>
            <w:r>
              <w:rPr>
                <w:rFonts w:ascii="Aptos" w:hAnsi="Aptos"/>
                <w:b w:val="0"/>
                <w:sz w:val="16"/>
              </w:rPr>
              <w:t>Unusual activity inconsistent with profile</w:t>
            </w:r>
          </w:p>
        </w:tc>
        <w:tc>
          <w:tcPr>
            <w:tcW w:type="dxa" w:w="4752"/>
            <w:tcMar>
              <w:top w:w="80" w:type="dxa"/>
              <w:start w:w="90" w:type="dxa"/>
              <w:bottom w:w="80" w:type="dxa"/>
              <w:end w:w="90" w:type="dxa"/>
            </w:tcMar>
            <w:vAlign w:val="top"/>
            <w:shd w:fill="F7FAFC"/>
          </w:tcPr>
          <w:p>
            <w:r>
              <w:rPr>
                <w:rFonts w:ascii="Aptos" w:hAnsi="Aptos"/>
                <w:b w:val="0"/>
                <w:sz w:val="16"/>
              </w:rPr>
              <w:t>Review activity, source, counterparties and purpose</w:t>
            </w:r>
          </w:p>
        </w:tc>
        <w:tc>
          <w:tcPr>
            <w:tcW w:type="dxa" w:w="2448"/>
            <w:tcMar>
              <w:top w:w="80" w:type="dxa"/>
              <w:start w:w="90" w:type="dxa"/>
              <w:bottom w:w="80" w:type="dxa"/>
              <w:end w:w="90" w:type="dxa"/>
            </w:tcMar>
            <w:vAlign w:val="top"/>
            <w:shd w:fill="F7FAFC"/>
          </w:tcPr>
          <w:p>
            <w:r>
              <w:rPr>
                <w:rFonts w:ascii="Aptos" w:hAnsi="Aptos"/>
                <w:b w:val="0"/>
                <w:sz w:val="16"/>
              </w:rPr>
              <w:t>Risk score reassessment required</w:t>
            </w:r>
          </w:p>
        </w:tc>
      </w:tr>
    </w:tbl>
    <w:p/>
    <w:p>
      <w:pPr>
        <w:pStyle w:val="Heading1"/>
        <w:keepNext/>
      </w:pPr>
      <w:r>
        <w:t>8. Individuals and Sole Proprietors</w:t>
      </w:r>
    </w:p>
    <w:p>
      <w:r>
        <w:t>CDD for individuals shall establish identity, current address, occupation or economic activity, expected product use and the principal source of repayment or funds. Sole proprietors require both individual verification and sufficient evidence of the business activity to distinguish personal from business flows.</w:t>
      </w:r>
    </w:p>
    <w:p>
      <w:pPr>
        <w:pStyle w:val="ControlBullet"/>
      </w:pPr>
      <w:r>
        <w:rPr>
          <w:b/>
        </w:rPr>
        <w:t xml:space="preserve">• </w:t>
      </w:r>
      <w:r>
        <w:t>Where bureau or application data materially conflicts with customer declarations, the difference shall be explained before CDD release.</w:t>
      </w:r>
    </w:p>
    <w:p>
      <w:pPr>
        <w:pStyle w:val="ControlBullet"/>
      </w:pPr>
      <w:r>
        <w:rPr>
          <w:b/>
        </w:rPr>
        <w:t xml:space="preserve">• </w:t>
      </w:r>
      <w:r>
        <w:t>A mismatch in address alone is not automatically adverse; the checker shall assess recency, supporting evidence and plausibility.</w:t>
      </w:r>
    </w:p>
    <w:p>
      <w:pPr>
        <w:pStyle w:val="ControlBullet"/>
      </w:pPr>
      <w:r>
        <w:rPr>
          <w:b/>
        </w:rPr>
        <w:t xml:space="preserve">• </w:t>
      </w:r>
      <w:r>
        <w:t>Occupation descriptions such as “business”, “consultant” or “self-employed” are insufficient for elevated-risk customers without a more specific activity description.</w:t>
      </w:r>
    </w:p>
    <w:p>
      <w:pPr>
        <w:pStyle w:val="ControlBullet"/>
      </w:pPr>
      <w:r>
        <w:rPr>
          <w:b/>
        </w:rPr>
        <w:t xml:space="preserve">• </w:t>
      </w:r>
      <w:r>
        <w:t>Nominee or attorney relationships require verification of the acting person and authority, plus the underlying customer.</w:t>
      </w:r>
    </w:p>
    <w:p>
      <w:pPr>
        <w:pStyle w:val="Heading1"/>
        <w:keepNext/>
      </w:pPr>
      <w:r>
        <w:t>9. Companies, Partnerships, Trusts and Other Arrangements</w:t>
      </w:r>
    </w:p>
    <w:p>
      <w:r>
        <w:t>Legal-entity CDD shall verify existence, business activity, registered and operating address where relevant, authorized representatives, ownership and control, and the expected financial purpose of the relationship.</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160"/>
            <w:shd w:fill="17365D"/>
            <w:vAlign w:val="center"/>
            <w:tcMar>
              <w:top w:w="80" w:type="dxa"/>
              <w:start w:w="90" w:type="dxa"/>
              <w:bottom w:w="80" w:type="dxa"/>
              <w:end w:w="90" w:type="dxa"/>
            </w:tcMar>
          </w:tcPr>
          <w:p>
            <w:r>
              <w:rPr>
                <w:rFonts w:ascii="Aptos" w:hAnsi="Aptos"/>
                <w:b/>
                <w:color w:val="FFFFFF"/>
                <w:sz w:val="16"/>
              </w:rPr>
              <w:t>Entity Type</w:t>
            </w:r>
          </w:p>
        </w:tc>
        <w:tc>
          <w:tcPr>
            <w:tcW w:type="dxa" w:w="5040"/>
            <w:shd w:fill="17365D"/>
            <w:vAlign w:val="center"/>
            <w:tcMar>
              <w:top w:w="80" w:type="dxa"/>
              <w:start w:w="90" w:type="dxa"/>
              <w:bottom w:w="80" w:type="dxa"/>
              <w:end w:w="90" w:type="dxa"/>
            </w:tcMar>
          </w:tcPr>
          <w:p>
            <w:r>
              <w:rPr>
                <w:rFonts w:ascii="Aptos" w:hAnsi="Aptos"/>
                <w:b/>
                <w:color w:val="FFFFFF"/>
                <w:sz w:val="16"/>
              </w:rPr>
              <w:t>Core Evidence</w:t>
            </w:r>
          </w:p>
        </w:tc>
        <w:tc>
          <w:tcPr>
            <w:tcW w:type="dxa" w:w="2880"/>
            <w:shd w:fill="17365D"/>
            <w:vAlign w:val="center"/>
            <w:tcMar>
              <w:top w:w="80" w:type="dxa"/>
              <w:start w:w="90" w:type="dxa"/>
              <w:bottom w:w="80" w:type="dxa"/>
              <w:end w:w="90" w:type="dxa"/>
            </w:tcMar>
          </w:tcPr>
          <w:p>
            <w:r>
              <w:rPr>
                <w:rFonts w:ascii="Aptos" w:hAnsi="Aptos"/>
                <w:b/>
                <w:color w:val="FFFFFF"/>
                <w:sz w:val="16"/>
              </w:rPr>
              <w:t>Additional Focus</w:t>
            </w:r>
          </w:p>
        </w:tc>
      </w:tr>
      <w:tr>
        <w:tc>
          <w:tcPr>
            <w:tcW w:type="dxa" w:w="2160"/>
            <w:tcMar>
              <w:top w:w="80" w:type="dxa"/>
              <w:start w:w="90" w:type="dxa"/>
              <w:bottom w:w="80" w:type="dxa"/>
              <w:end w:w="90" w:type="dxa"/>
            </w:tcMar>
            <w:vAlign w:val="top"/>
          </w:tcPr>
          <w:p>
            <w:r>
              <w:rPr>
                <w:rFonts w:ascii="Aptos" w:hAnsi="Aptos"/>
                <w:b w:val="0"/>
                <w:sz w:val="16"/>
              </w:rPr>
              <w:t>Private company</w:t>
            </w:r>
          </w:p>
        </w:tc>
        <w:tc>
          <w:tcPr>
            <w:tcW w:type="dxa" w:w="5040"/>
            <w:tcMar>
              <w:top w:w="80" w:type="dxa"/>
              <w:start w:w="90" w:type="dxa"/>
              <w:bottom w:w="80" w:type="dxa"/>
              <w:end w:w="90" w:type="dxa"/>
            </w:tcMar>
            <w:vAlign w:val="top"/>
          </w:tcPr>
          <w:p>
            <w:r>
              <w:rPr>
                <w:rFonts w:ascii="Aptos" w:hAnsi="Aptos"/>
                <w:b w:val="0"/>
                <w:sz w:val="16"/>
              </w:rPr>
              <w:t>Formation/registration evidence, PAN or internal tax identifier evidence, directors, shareholding</w:t>
            </w:r>
          </w:p>
        </w:tc>
        <w:tc>
          <w:tcPr>
            <w:tcW w:type="dxa" w:w="2880"/>
            <w:tcMar>
              <w:top w:w="80" w:type="dxa"/>
              <w:start w:w="90" w:type="dxa"/>
              <w:bottom w:w="80" w:type="dxa"/>
              <w:end w:w="90" w:type="dxa"/>
            </w:tcMar>
            <w:vAlign w:val="top"/>
          </w:tcPr>
          <w:p>
            <w:r>
              <w:rPr>
                <w:rFonts w:ascii="Aptos" w:hAnsi="Aptos"/>
                <w:b w:val="0"/>
                <w:sz w:val="16"/>
              </w:rPr>
              <w:t>Controllers, operating business, related companies</w:t>
            </w:r>
          </w:p>
        </w:tc>
      </w:tr>
      <w:tr>
        <w:tc>
          <w:tcPr>
            <w:tcW w:type="dxa" w:w="2160"/>
            <w:tcMar>
              <w:top w:w="80" w:type="dxa"/>
              <w:start w:w="90" w:type="dxa"/>
              <w:bottom w:w="80" w:type="dxa"/>
              <w:end w:w="90" w:type="dxa"/>
            </w:tcMar>
            <w:vAlign w:val="top"/>
            <w:shd w:fill="F7FAFC"/>
          </w:tcPr>
          <w:p>
            <w:r>
              <w:rPr>
                <w:rFonts w:ascii="Aptos" w:hAnsi="Aptos"/>
                <w:b w:val="0"/>
                <w:sz w:val="16"/>
              </w:rPr>
              <w:t>Partnership / LLP</w:t>
            </w:r>
          </w:p>
        </w:tc>
        <w:tc>
          <w:tcPr>
            <w:tcW w:type="dxa" w:w="5040"/>
            <w:tcMar>
              <w:top w:w="80" w:type="dxa"/>
              <w:start w:w="90" w:type="dxa"/>
              <w:bottom w:w="80" w:type="dxa"/>
              <w:end w:w="90" w:type="dxa"/>
            </w:tcMar>
            <w:vAlign w:val="top"/>
            <w:shd w:fill="F7FAFC"/>
          </w:tcPr>
          <w:p>
            <w:r>
              <w:rPr>
                <w:rFonts w:ascii="Aptos" w:hAnsi="Aptos"/>
                <w:b w:val="0"/>
                <w:sz w:val="16"/>
              </w:rPr>
              <w:t>Constitution/registration, partners, authority</w:t>
            </w:r>
          </w:p>
        </w:tc>
        <w:tc>
          <w:tcPr>
            <w:tcW w:type="dxa" w:w="2880"/>
            <w:tcMar>
              <w:top w:w="80" w:type="dxa"/>
              <w:start w:w="90" w:type="dxa"/>
              <w:bottom w:w="80" w:type="dxa"/>
              <w:end w:w="90" w:type="dxa"/>
            </w:tcMar>
            <w:vAlign w:val="top"/>
            <w:shd w:fill="F7FAFC"/>
          </w:tcPr>
          <w:p>
            <w:r>
              <w:rPr>
                <w:rFonts w:ascii="Aptos" w:hAnsi="Aptos"/>
                <w:b w:val="0"/>
                <w:sz w:val="16"/>
              </w:rPr>
              <w:t>Managing partners, profit/control rights</w:t>
            </w:r>
          </w:p>
        </w:tc>
      </w:tr>
      <w:tr>
        <w:tc>
          <w:tcPr>
            <w:tcW w:type="dxa" w:w="2160"/>
            <w:tcMar>
              <w:top w:w="80" w:type="dxa"/>
              <w:start w:w="90" w:type="dxa"/>
              <w:bottom w:w="80" w:type="dxa"/>
              <w:end w:w="90" w:type="dxa"/>
            </w:tcMar>
            <w:vAlign w:val="top"/>
          </w:tcPr>
          <w:p>
            <w:r>
              <w:rPr>
                <w:rFonts w:ascii="Aptos" w:hAnsi="Aptos"/>
                <w:b w:val="0"/>
                <w:sz w:val="16"/>
              </w:rPr>
              <w:t>Trust</w:t>
            </w:r>
          </w:p>
        </w:tc>
        <w:tc>
          <w:tcPr>
            <w:tcW w:type="dxa" w:w="5040"/>
            <w:tcMar>
              <w:top w:w="80" w:type="dxa"/>
              <w:start w:w="90" w:type="dxa"/>
              <w:bottom w:w="80" w:type="dxa"/>
              <w:end w:w="90" w:type="dxa"/>
            </w:tcMar>
            <w:vAlign w:val="top"/>
          </w:tcPr>
          <w:p>
            <w:r>
              <w:rPr>
                <w:rFonts w:ascii="Aptos" w:hAnsi="Aptos"/>
                <w:b w:val="0"/>
                <w:sz w:val="16"/>
              </w:rPr>
              <w:t>Trust deed or equivalent, trustees, settlor, protector where relevant, beneficiaries/classes</w:t>
            </w:r>
          </w:p>
        </w:tc>
        <w:tc>
          <w:tcPr>
            <w:tcW w:type="dxa" w:w="2880"/>
            <w:tcMar>
              <w:top w:w="80" w:type="dxa"/>
              <w:start w:w="90" w:type="dxa"/>
              <w:bottom w:w="80" w:type="dxa"/>
              <w:end w:w="90" w:type="dxa"/>
            </w:tcMar>
            <w:vAlign w:val="top"/>
          </w:tcPr>
          <w:p>
            <w:r>
              <w:rPr>
                <w:rFonts w:ascii="Aptos" w:hAnsi="Aptos"/>
                <w:b w:val="0"/>
                <w:sz w:val="16"/>
              </w:rPr>
              <w:t>Control and source of trust assets</w:t>
            </w:r>
          </w:p>
        </w:tc>
      </w:tr>
      <w:tr>
        <w:tc>
          <w:tcPr>
            <w:tcW w:type="dxa" w:w="2160"/>
            <w:tcMar>
              <w:top w:w="80" w:type="dxa"/>
              <w:start w:w="90" w:type="dxa"/>
              <w:bottom w:w="80" w:type="dxa"/>
              <w:end w:w="90" w:type="dxa"/>
            </w:tcMar>
            <w:vAlign w:val="top"/>
            <w:shd w:fill="F7FAFC"/>
          </w:tcPr>
          <w:p>
            <w:r>
              <w:rPr>
                <w:rFonts w:ascii="Aptos" w:hAnsi="Aptos"/>
                <w:b w:val="0"/>
                <w:sz w:val="16"/>
              </w:rPr>
              <w:t>Association / society</w:t>
            </w:r>
          </w:p>
        </w:tc>
        <w:tc>
          <w:tcPr>
            <w:tcW w:type="dxa" w:w="5040"/>
            <w:tcMar>
              <w:top w:w="80" w:type="dxa"/>
              <w:start w:w="90" w:type="dxa"/>
              <w:bottom w:w="80" w:type="dxa"/>
              <w:end w:w="90" w:type="dxa"/>
            </w:tcMar>
            <w:vAlign w:val="top"/>
            <w:shd w:fill="F7FAFC"/>
          </w:tcPr>
          <w:p>
            <w:r>
              <w:rPr>
                <w:rFonts w:ascii="Aptos" w:hAnsi="Aptos"/>
                <w:b w:val="0"/>
                <w:sz w:val="16"/>
              </w:rPr>
              <w:t>Registration/constitution, office bearers, purpose</w:t>
            </w:r>
          </w:p>
        </w:tc>
        <w:tc>
          <w:tcPr>
            <w:tcW w:type="dxa" w:w="2880"/>
            <w:tcMar>
              <w:top w:w="80" w:type="dxa"/>
              <w:start w:w="90" w:type="dxa"/>
              <w:bottom w:w="80" w:type="dxa"/>
              <w:end w:w="90" w:type="dxa"/>
            </w:tcMar>
            <w:vAlign w:val="top"/>
            <w:shd w:fill="F7FAFC"/>
          </w:tcPr>
          <w:p>
            <w:r>
              <w:rPr>
                <w:rFonts w:ascii="Aptos" w:hAnsi="Aptos"/>
                <w:b w:val="0"/>
                <w:sz w:val="16"/>
              </w:rPr>
              <w:t>Funding sources and authorized signatories</w:t>
            </w:r>
          </w:p>
        </w:tc>
      </w:tr>
      <w:tr>
        <w:tc>
          <w:tcPr>
            <w:tcW w:type="dxa" w:w="2160"/>
            <w:tcMar>
              <w:top w:w="80" w:type="dxa"/>
              <w:start w:w="90" w:type="dxa"/>
              <w:bottom w:w="80" w:type="dxa"/>
              <w:end w:w="90" w:type="dxa"/>
            </w:tcMar>
            <w:vAlign w:val="top"/>
          </w:tcPr>
          <w:p>
            <w:r>
              <w:rPr>
                <w:rFonts w:ascii="Aptos" w:hAnsi="Aptos"/>
                <w:b w:val="0"/>
                <w:sz w:val="16"/>
              </w:rPr>
              <w:t>Layered holding structure</w:t>
            </w:r>
          </w:p>
        </w:tc>
        <w:tc>
          <w:tcPr>
            <w:tcW w:type="dxa" w:w="5040"/>
            <w:tcMar>
              <w:top w:w="80" w:type="dxa"/>
              <w:start w:w="90" w:type="dxa"/>
              <w:bottom w:w="80" w:type="dxa"/>
              <w:end w:w="90" w:type="dxa"/>
            </w:tcMar>
            <w:vAlign w:val="top"/>
          </w:tcPr>
          <w:p>
            <w:r>
              <w:rPr>
                <w:rFonts w:ascii="Aptos" w:hAnsi="Aptos"/>
                <w:b w:val="0"/>
                <w:sz w:val="16"/>
              </w:rPr>
              <w:t>Entity documents at relevant layers</w:t>
            </w:r>
          </w:p>
        </w:tc>
        <w:tc>
          <w:tcPr>
            <w:tcW w:type="dxa" w:w="2880"/>
            <w:tcMar>
              <w:top w:w="80" w:type="dxa"/>
              <w:start w:w="90" w:type="dxa"/>
              <w:bottom w:w="80" w:type="dxa"/>
              <w:end w:w="90" w:type="dxa"/>
            </w:tcMar>
            <w:vAlign w:val="top"/>
          </w:tcPr>
          <w:p>
            <w:r>
              <w:rPr>
                <w:rFonts w:ascii="Aptos" w:hAnsi="Aptos"/>
                <w:b w:val="0"/>
                <w:sz w:val="16"/>
              </w:rPr>
              <w:t>Trace ownership/control to natural persons; EDD if opacity remains</w:t>
            </w:r>
          </w:p>
        </w:tc>
      </w:tr>
    </w:tbl>
    <w:p/>
    <w:p>
      <w:pPr>
        <w:pStyle w:val="Heading1"/>
        <w:keepNext/>
      </w:pPr>
      <w:r>
        <w:t>10. Beneficial Ownership and Control</w:t>
      </w:r>
    </w:p>
    <w:p>
      <w:r>
        <w:t>Northstar uses 25% ownership or equivalent control as the standard internal beneficial-ownership threshold. For High-risk or materially layered structures, information shall ordinarily be collected down to 10% ownership or equivalent control where available and meaningful. The 10% level is an enhanced-information threshold, not a general declaration that every 10% holder is a beneficial owner.</w:t>
      </w:r>
    </w:p>
    <w:p>
      <w:pPr>
        <w:pStyle w:val="ControlBullet"/>
      </w:pPr>
      <w:r>
        <w:rPr>
          <w:b/>
        </w:rPr>
        <w:t xml:space="preserve">• </w:t>
      </w:r>
      <w:r>
        <w:t>Control through voting rights, contractual rights, family arrangements or management influence shall be considered even when ownership is below 25%.</w:t>
      </w:r>
    </w:p>
    <w:p>
      <w:pPr>
        <w:pStyle w:val="ControlBullet"/>
      </w:pPr>
      <w:r>
        <w:rPr>
          <w:b/>
        </w:rPr>
        <w:t xml:space="preserve">• </w:t>
      </w:r>
      <w:r>
        <w:t>Where no natural person meets the ownership threshold, the controlling natural person(s) and senior managing official shall be recorded with rationale.</w:t>
      </w:r>
    </w:p>
    <w:p>
      <w:pPr>
        <w:pStyle w:val="ControlBullet"/>
      </w:pPr>
      <w:r>
        <w:rPr>
          <w:b/>
        </w:rPr>
        <w:t xml:space="preserve">• </w:t>
      </w:r>
      <w:r>
        <w:t>Ownership charts must show intermediate entities and jurisdictions, not only the final natural-person names.</w:t>
      </w:r>
    </w:p>
    <w:p>
      <w:pPr>
        <w:pStyle w:val="ControlBullet"/>
      </w:pPr>
      <w:r>
        <w:rPr>
          <w:b/>
        </w:rPr>
        <w:t xml:space="preserve">• </w:t>
      </w:r>
      <w:r>
        <w:t>Unverified bearer-like, nominee or unexplained fiduciary arrangements require EDD and may require restriction or decline.</w:t>
      </w:r>
    </w:p>
    <w:p>
      <w:pPr>
        <w:pStyle w:val="Heading1"/>
        <w:keepNext/>
      </w:pPr>
      <w:r>
        <w:t>11. Source of Funds and Source of Wealth</w:t>
      </w:r>
    </w:p>
    <w:p>
      <w:r>
        <w:t>Source of Funds (SoF) explains the origin of money used for a transaction or relationship. Source of Wealth (SoW) explains how a customer accumulated overall wealth. The depth of evidence shall reflect risk, value, complexity and plausibility rather than a fixed evidence checklist.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016"/>
            <w:shd w:fill="17365D"/>
            <w:vAlign w:val="center"/>
            <w:tcMar>
              <w:top w:w="80" w:type="dxa"/>
              <w:start w:w="90" w:type="dxa"/>
              <w:bottom w:w="80" w:type="dxa"/>
              <w:end w:w="90" w:type="dxa"/>
            </w:tcMar>
          </w:tcPr>
          <w:p>
            <w:r>
              <w:rPr>
                <w:rFonts w:ascii="Aptos" w:hAnsi="Aptos"/>
                <w:b/>
                <w:color w:val="FFFFFF"/>
                <w:sz w:val="16"/>
              </w:rPr>
              <w:t>Context</w:t>
            </w:r>
          </w:p>
        </w:tc>
        <w:tc>
          <w:tcPr>
            <w:tcW w:type="dxa" w:w="4176"/>
            <w:shd w:fill="17365D"/>
            <w:vAlign w:val="center"/>
            <w:tcMar>
              <w:top w:w="80" w:type="dxa"/>
              <w:start w:w="90" w:type="dxa"/>
              <w:bottom w:w="80" w:type="dxa"/>
              <w:end w:w="90" w:type="dxa"/>
            </w:tcMar>
          </w:tcPr>
          <w:p>
            <w:r>
              <w:rPr>
                <w:rFonts w:ascii="Aptos" w:hAnsi="Aptos"/>
                <w:b/>
                <w:color w:val="FFFFFF"/>
                <w:sz w:val="16"/>
              </w:rPr>
              <w:t>Typical SoF Evidence</w:t>
            </w:r>
          </w:p>
        </w:tc>
        <w:tc>
          <w:tcPr>
            <w:tcW w:type="dxa" w:w="4176"/>
            <w:shd w:fill="17365D"/>
            <w:vAlign w:val="center"/>
            <w:tcMar>
              <w:top w:w="80" w:type="dxa"/>
              <w:start w:w="90" w:type="dxa"/>
              <w:bottom w:w="80" w:type="dxa"/>
              <w:end w:w="90" w:type="dxa"/>
            </w:tcMar>
          </w:tcPr>
          <w:p>
            <w:r>
              <w:rPr>
                <w:rFonts w:ascii="Aptos" w:hAnsi="Aptos"/>
                <w:b/>
                <w:color w:val="FFFFFF"/>
                <w:sz w:val="16"/>
              </w:rPr>
              <w:t>Typical SoW Evidence</w:t>
            </w:r>
          </w:p>
        </w:tc>
      </w:tr>
      <w:tr>
        <w:tc>
          <w:tcPr>
            <w:tcW w:type="dxa" w:w="2016"/>
            <w:tcMar>
              <w:top w:w="80" w:type="dxa"/>
              <w:start w:w="90" w:type="dxa"/>
              <w:bottom w:w="80" w:type="dxa"/>
              <w:end w:w="90" w:type="dxa"/>
            </w:tcMar>
            <w:vAlign w:val="top"/>
          </w:tcPr>
          <w:p>
            <w:r>
              <w:rPr>
                <w:rFonts w:ascii="Aptos" w:hAnsi="Aptos"/>
                <w:b w:val="0"/>
                <w:sz w:val="16"/>
              </w:rPr>
              <w:t>Salaried customer</w:t>
            </w:r>
          </w:p>
        </w:tc>
        <w:tc>
          <w:tcPr>
            <w:tcW w:type="dxa" w:w="4176"/>
            <w:tcMar>
              <w:top w:w="80" w:type="dxa"/>
              <w:start w:w="90" w:type="dxa"/>
              <w:bottom w:w="80" w:type="dxa"/>
              <w:end w:w="90" w:type="dxa"/>
            </w:tcMar>
            <w:vAlign w:val="top"/>
          </w:tcPr>
          <w:p>
            <w:r>
              <w:rPr>
                <w:rFonts w:ascii="Aptos" w:hAnsi="Aptos"/>
                <w:b w:val="0"/>
                <w:sz w:val="16"/>
              </w:rPr>
              <w:t>Salary credits, employer confirmation, savings history</w:t>
            </w:r>
          </w:p>
        </w:tc>
        <w:tc>
          <w:tcPr>
            <w:tcW w:type="dxa" w:w="4176"/>
            <w:tcMar>
              <w:top w:w="80" w:type="dxa"/>
              <w:start w:w="90" w:type="dxa"/>
              <w:bottom w:w="80" w:type="dxa"/>
              <w:end w:w="90" w:type="dxa"/>
            </w:tcMar>
            <w:vAlign w:val="top"/>
          </w:tcPr>
          <w:p>
            <w:r>
              <w:rPr>
                <w:rFonts w:ascii="Aptos" w:hAnsi="Aptos"/>
                <w:b w:val="0"/>
                <w:sz w:val="16"/>
              </w:rPr>
              <w:t>Employment history, accumulated savings/investments</w:t>
            </w:r>
          </w:p>
        </w:tc>
      </w:tr>
      <w:tr>
        <w:tc>
          <w:tcPr>
            <w:tcW w:type="dxa" w:w="2016"/>
            <w:tcMar>
              <w:top w:w="80" w:type="dxa"/>
              <w:start w:w="90" w:type="dxa"/>
              <w:bottom w:w="80" w:type="dxa"/>
              <w:end w:w="90" w:type="dxa"/>
            </w:tcMar>
            <w:vAlign w:val="top"/>
            <w:shd w:fill="F7FAFC"/>
          </w:tcPr>
          <w:p>
            <w:r>
              <w:rPr>
                <w:rFonts w:ascii="Aptos" w:hAnsi="Aptos"/>
                <w:b w:val="0"/>
                <w:sz w:val="16"/>
              </w:rPr>
              <w:t>Business owner</w:t>
            </w:r>
          </w:p>
        </w:tc>
        <w:tc>
          <w:tcPr>
            <w:tcW w:type="dxa" w:w="4176"/>
            <w:tcMar>
              <w:top w:w="80" w:type="dxa"/>
              <w:start w:w="90" w:type="dxa"/>
              <w:bottom w:w="80" w:type="dxa"/>
              <w:end w:w="90" w:type="dxa"/>
            </w:tcMar>
            <w:vAlign w:val="top"/>
            <w:shd w:fill="F7FAFC"/>
          </w:tcPr>
          <w:p>
            <w:r>
              <w:rPr>
                <w:rFonts w:ascii="Aptos" w:hAnsi="Aptos"/>
                <w:b w:val="0"/>
                <w:sz w:val="16"/>
              </w:rPr>
              <w:t>Business receipts, sale invoices, bank statements</w:t>
            </w:r>
          </w:p>
        </w:tc>
        <w:tc>
          <w:tcPr>
            <w:tcW w:type="dxa" w:w="4176"/>
            <w:tcMar>
              <w:top w:w="80" w:type="dxa"/>
              <w:start w:w="90" w:type="dxa"/>
              <w:bottom w:w="80" w:type="dxa"/>
              <w:end w:w="90" w:type="dxa"/>
            </w:tcMar>
            <w:vAlign w:val="top"/>
            <w:shd w:fill="F7FAFC"/>
          </w:tcPr>
          <w:p>
            <w:r>
              <w:rPr>
                <w:rFonts w:ascii="Aptos" w:hAnsi="Aptos"/>
                <w:b w:val="0"/>
                <w:sz w:val="16"/>
              </w:rPr>
              <w:t>Business ownership, dividends, retained earnings, sale of business/assets</w:t>
            </w:r>
          </w:p>
        </w:tc>
      </w:tr>
      <w:tr>
        <w:tc>
          <w:tcPr>
            <w:tcW w:type="dxa" w:w="2016"/>
            <w:tcMar>
              <w:top w:w="80" w:type="dxa"/>
              <w:start w:w="90" w:type="dxa"/>
              <w:bottom w:w="80" w:type="dxa"/>
              <w:end w:w="90" w:type="dxa"/>
            </w:tcMar>
            <w:vAlign w:val="top"/>
          </w:tcPr>
          <w:p>
            <w:r>
              <w:rPr>
                <w:rFonts w:ascii="Aptos" w:hAnsi="Aptos"/>
                <w:b w:val="0"/>
                <w:sz w:val="16"/>
              </w:rPr>
              <w:t>Property transaction</w:t>
            </w:r>
          </w:p>
        </w:tc>
        <w:tc>
          <w:tcPr>
            <w:tcW w:type="dxa" w:w="4176"/>
            <w:tcMar>
              <w:top w:w="80" w:type="dxa"/>
              <w:start w:w="90" w:type="dxa"/>
              <w:bottom w:w="80" w:type="dxa"/>
              <w:end w:w="90" w:type="dxa"/>
            </w:tcMar>
            <w:vAlign w:val="top"/>
          </w:tcPr>
          <w:p>
            <w:r>
              <w:rPr>
                <w:rFonts w:ascii="Aptos" w:hAnsi="Aptos"/>
                <w:b w:val="0"/>
                <w:sz w:val="16"/>
              </w:rPr>
              <w:t>Sale agreement, bank credit, financing documents</w:t>
            </w:r>
          </w:p>
        </w:tc>
        <w:tc>
          <w:tcPr>
            <w:tcW w:type="dxa" w:w="4176"/>
            <w:tcMar>
              <w:top w:w="80" w:type="dxa"/>
              <w:start w:w="90" w:type="dxa"/>
              <w:bottom w:w="80" w:type="dxa"/>
              <w:end w:w="90" w:type="dxa"/>
            </w:tcMar>
            <w:vAlign w:val="top"/>
          </w:tcPr>
          <w:p>
            <w:r>
              <w:rPr>
                <w:rFonts w:ascii="Aptos" w:hAnsi="Aptos"/>
                <w:b w:val="0"/>
                <w:sz w:val="16"/>
              </w:rPr>
              <w:t>Property ownership/history and broader assets where relevant</w:t>
            </w:r>
          </w:p>
        </w:tc>
      </w:tr>
      <w:tr>
        <w:tc>
          <w:tcPr>
            <w:tcW w:type="dxa" w:w="2016"/>
            <w:tcMar>
              <w:top w:w="80" w:type="dxa"/>
              <w:start w:w="90" w:type="dxa"/>
              <w:bottom w:w="80" w:type="dxa"/>
              <w:end w:w="90" w:type="dxa"/>
            </w:tcMar>
            <w:vAlign w:val="top"/>
            <w:shd w:fill="F7FAFC"/>
          </w:tcPr>
          <w:p>
            <w:r>
              <w:rPr>
                <w:rFonts w:ascii="Aptos" w:hAnsi="Aptos"/>
                <w:b w:val="0"/>
                <w:sz w:val="16"/>
              </w:rPr>
              <w:t>Inheritance/gift</w:t>
            </w:r>
          </w:p>
        </w:tc>
        <w:tc>
          <w:tcPr>
            <w:tcW w:type="dxa" w:w="4176"/>
            <w:tcMar>
              <w:top w:w="80" w:type="dxa"/>
              <w:start w:w="90" w:type="dxa"/>
              <w:bottom w:w="80" w:type="dxa"/>
              <w:end w:w="90" w:type="dxa"/>
            </w:tcMar>
            <w:vAlign w:val="top"/>
            <w:shd w:fill="F7FAFC"/>
          </w:tcPr>
          <w:p>
            <w:r>
              <w:rPr>
                <w:rFonts w:ascii="Aptos" w:hAnsi="Aptos"/>
                <w:b w:val="0"/>
                <w:sz w:val="16"/>
              </w:rPr>
              <w:t>Probate/inheritance evidence or donor evidence and relationship</w:t>
            </w:r>
          </w:p>
        </w:tc>
        <w:tc>
          <w:tcPr>
            <w:tcW w:type="dxa" w:w="4176"/>
            <w:tcMar>
              <w:top w:w="80" w:type="dxa"/>
              <w:start w:w="90" w:type="dxa"/>
              <w:bottom w:w="80" w:type="dxa"/>
              <w:end w:w="90" w:type="dxa"/>
            </w:tcMar>
            <w:vAlign w:val="top"/>
            <w:shd w:fill="F7FAFC"/>
          </w:tcPr>
          <w:p>
            <w:r>
              <w:rPr>
                <w:rFonts w:ascii="Aptos" w:hAnsi="Aptos"/>
                <w:b w:val="0"/>
                <w:sz w:val="16"/>
              </w:rPr>
              <w:t>Origin of inherited/gifted wealth for high-risk cases</w:t>
            </w:r>
          </w:p>
        </w:tc>
      </w:tr>
      <w:tr>
        <w:tc>
          <w:tcPr>
            <w:tcW w:type="dxa" w:w="2016"/>
            <w:tcMar>
              <w:top w:w="80" w:type="dxa"/>
              <w:start w:w="90" w:type="dxa"/>
              <w:bottom w:w="80" w:type="dxa"/>
              <w:end w:w="90" w:type="dxa"/>
            </w:tcMar>
            <w:vAlign w:val="top"/>
          </w:tcPr>
          <w:p>
            <w:r>
              <w:rPr>
                <w:rFonts w:ascii="Aptos" w:hAnsi="Aptos"/>
                <w:b w:val="0"/>
                <w:sz w:val="16"/>
              </w:rPr>
              <w:t>Investment proceeds</w:t>
            </w:r>
          </w:p>
        </w:tc>
        <w:tc>
          <w:tcPr>
            <w:tcW w:type="dxa" w:w="4176"/>
            <w:tcMar>
              <w:top w:w="80" w:type="dxa"/>
              <w:start w:w="90" w:type="dxa"/>
              <w:bottom w:w="80" w:type="dxa"/>
              <w:end w:w="90" w:type="dxa"/>
            </w:tcMar>
            <w:vAlign w:val="top"/>
          </w:tcPr>
          <w:p>
            <w:r>
              <w:rPr>
                <w:rFonts w:ascii="Aptos" w:hAnsi="Aptos"/>
                <w:b w:val="0"/>
                <w:sz w:val="16"/>
              </w:rPr>
              <w:t>Broker/custodian statement, redemption/settlement trail</w:t>
            </w:r>
          </w:p>
        </w:tc>
        <w:tc>
          <w:tcPr>
            <w:tcW w:type="dxa" w:w="4176"/>
            <w:tcMar>
              <w:top w:w="80" w:type="dxa"/>
              <w:start w:w="90" w:type="dxa"/>
              <w:bottom w:w="80" w:type="dxa"/>
              <w:end w:w="90" w:type="dxa"/>
            </w:tcMar>
            <w:vAlign w:val="top"/>
          </w:tcPr>
          <w:p>
            <w:r>
              <w:rPr>
                <w:rFonts w:ascii="Aptos" w:hAnsi="Aptos"/>
                <w:b w:val="0"/>
                <w:sz w:val="16"/>
              </w:rPr>
              <w:t>Investment portfolio history and funding source</w:t>
            </w:r>
          </w:p>
        </w:tc>
      </w:tr>
    </w:tbl>
    <w:p/>
    <w:p>
      <w:pPr>
        <w:pStyle w:val="Heading1"/>
        <w:keepNext/>
      </w:pPr>
      <w:r>
        <w:t>12. PEP, Sanctions and Adverse Information</w:t>
      </w:r>
    </w:p>
    <w:p>
      <w:r>
        <w:t>Potential PEP and sanctions matches shall be dispositioned under KYC-004, KEP-022 and AML-003. KYC Operations may clear obvious false positives within delegated criteria; confirmed or credible potential matches shall be referred to AML Compliance.</w:t>
      </w:r>
    </w:p>
    <w:p>
      <w:pPr>
        <w:pStyle w:val="ControlBullet"/>
      </w:pPr>
      <w:r>
        <w:rPr>
          <w:b/>
        </w:rPr>
        <w:t xml:space="preserve">• </w:t>
      </w:r>
      <w:r>
        <w:t>A confirmed PEP does not automatically require exit; it requires risk assessment, appropriate senior approval and enhanced ongoing monitoring.</w:t>
      </w:r>
    </w:p>
    <w:p>
      <w:pPr>
        <w:pStyle w:val="ControlBullet"/>
      </w:pPr>
      <w:r>
        <w:rPr>
          <w:b/>
        </w:rPr>
        <w:t xml:space="preserve">• </w:t>
      </w:r>
      <w:r>
        <w:t>A sanctions restriction cannot be waived by lending or operations authority.</w:t>
      </w:r>
    </w:p>
    <w:p>
      <w:pPr>
        <w:pStyle w:val="ControlBullet"/>
      </w:pPr>
      <w:r>
        <w:rPr>
          <w:b/>
        </w:rPr>
        <w:t xml:space="preserve">• </w:t>
      </w:r>
      <w:r>
        <w:t>Adverse information must be assessed for source reliability, subject match, recency, severity and relevance to financial crime or integrity risk.</w:t>
      </w:r>
    </w:p>
    <w:p>
      <w:pPr>
        <w:pStyle w:val="ControlBullet"/>
      </w:pPr>
      <w:r>
        <w:rPr>
          <w:b/>
        </w:rPr>
        <w:t xml:space="preserve">• </w:t>
      </w:r>
      <w:r>
        <w:t>Where uncertainty is material, the relationship shall remain restricted until the specialist decision is recorded.</w:t>
      </w:r>
    </w:p>
    <w:p>
      <w:pPr>
        <w:pStyle w:val="Heading1"/>
        <w:keepNext/>
      </w:pPr>
      <w:r>
        <w:t>13. Geography, Product, Channel and Intermediary Risk</w:t>
      </w:r>
    </w:p>
    <w:p>
      <w:r>
        <w:t>CDD shall consider where the customer is located, where funds originate or are sent, how the relationship is opened, the product features, and whether an intermediary or sourcing partner is involved. Geographic or channel risk is not determined from nationality alone.</w:t>
      </w:r>
    </w:p>
    <w:p>
      <w:pPr>
        <w:pStyle w:val="ControlBullet"/>
      </w:pPr>
      <w:r>
        <w:rPr>
          <w:b/>
        </w:rPr>
        <w:t xml:space="preserve">• </w:t>
      </w:r>
      <w:r>
        <w:t>Non-face-to-face onboarding may be Medium risk where approved digital verification and device controls are effective.</w:t>
      </w:r>
    </w:p>
    <w:p>
      <w:pPr>
        <w:pStyle w:val="ControlBullet"/>
      </w:pPr>
      <w:r>
        <w:rPr>
          <w:b/>
        </w:rPr>
        <w:t xml:space="preserve">• </w:t>
      </w:r>
      <w:r>
        <w:t>Introduced business shall retain Northstar accountability for CDD; third-party checks may be relied on only under an approved arrangement.</w:t>
      </w:r>
    </w:p>
    <w:p>
      <w:pPr>
        <w:pStyle w:val="ControlBullet"/>
      </w:pPr>
      <w:r>
        <w:rPr>
          <w:b/>
        </w:rPr>
        <w:t xml:space="preserve">• </w:t>
      </w:r>
      <w:r>
        <w:t>Material cross-border activity requires expected geographies and business rationale sufficient for monitoring.</w:t>
      </w:r>
    </w:p>
    <w:p>
      <w:pPr>
        <w:pStyle w:val="ControlBullet"/>
      </w:pPr>
      <w:r>
        <w:rPr>
          <w:b/>
        </w:rPr>
        <w:t xml:space="preserve">• </w:t>
      </w:r>
      <w:r>
        <w:t>Products permitting rapid movement, third-party settlement or high liquidity may increase AML risk even when credit risk is low.</w:t>
      </w:r>
    </w:p>
    <w:p>
      <w:pPr>
        <w:pStyle w:val="Heading1"/>
        <w:keepNext/>
      </w:pPr>
      <w:r>
        <w:t>14. Expected Activity and Ongoing Due Diligence</w:t>
      </w:r>
    </w:p>
    <w:p>
      <w:r>
        <w:t>The expected-activity profile shall be specific enough to support later monitoring. It may include typical monthly values, frequency, channels, counterparties, cash use, cross-border activity and purpose. Monitoring systems or analysts may identify activity that is unusual but explainable; such activity shall not be treated as suspicious solely because it exceeds a profile estimate.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024"/>
            <w:shd w:fill="17365D"/>
            <w:vAlign w:val="center"/>
            <w:tcMar>
              <w:top w:w="80" w:type="dxa"/>
              <w:start w:w="90" w:type="dxa"/>
              <w:bottom w:w="80" w:type="dxa"/>
              <w:end w:w="90" w:type="dxa"/>
            </w:tcMar>
          </w:tcPr>
          <w:p>
            <w:r>
              <w:rPr>
                <w:rFonts w:ascii="Aptos" w:hAnsi="Aptos"/>
                <w:b/>
                <w:color w:val="FFFFFF"/>
                <w:sz w:val="16"/>
              </w:rPr>
              <w:t>Change</w:t>
            </w:r>
          </w:p>
        </w:tc>
        <w:tc>
          <w:tcPr>
            <w:tcW w:type="dxa" w:w="4464"/>
            <w:shd w:fill="17365D"/>
            <w:vAlign w:val="center"/>
            <w:tcMar>
              <w:top w:w="80" w:type="dxa"/>
              <w:start w:w="90" w:type="dxa"/>
              <w:bottom w:w="80" w:type="dxa"/>
              <w:end w:w="90" w:type="dxa"/>
            </w:tcMar>
          </w:tcPr>
          <w:p>
            <w:r>
              <w:rPr>
                <w:rFonts w:ascii="Aptos" w:hAnsi="Aptos"/>
                <w:b/>
                <w:color w:val="FFFFFF"/>
                <w:sz w:val="16"/>
              </w:rPr>
              <w:t>CDD Response</w:t>
            </w:r>
          </w:p>
        </w:tc>
        <w:tc>
          <w:tcPr>
            <w:tcW w:type="dxa" w:w="2592"/>
            <w:shd w:fill="17365D"/>
            <w:vAlign w:val="center"/>
            <w:tcMar>
              <w:top w:w="80" w:type="dxa"/>
              <w:start w:w="90" w:type="dxa"/>
              <w:bottom w:w="80" w:type="dxa"/>
              <w:end w:w="90" w:type="dxa"/>
            </w:tcMar>
          </w:tcPr>
          <w:p>
            <w:r>
              <w:rPr>
                <w:rFonts w:ascii="Aptos" w:hAnsi="Aptos"/>
                <w:b/>
                <w:color w:val="FFFFFF"/>
                <w:sz w:val="16"/>
              </w:rPr>
              <w:t>Possible Risk Response</w:t>
            </w:r>
          </w:p>
        </w:tc>
      </w:tr>
      <w:tr>
        <w:tc>
          <w:tcPr>
            <w:tcW w:type="dxa" w:w="3024"/>
            <w:tcMar>
              <w:top w:w="80" w:type="dxa"/>
              <w:start w:w="90" w:type="dxa"/>
              <w:bottom w:w="80" w:type="dxa"/>
              <w:end w:w="90" w:type="dxa"/>
            </w:tcMar>
            <w:vAlign w:val="top"/>
          </w:tcPr>
          <w:p>
            <w:r>
              <w:rPr>
                <w:rFonts w:ascii="Aptos" w:hAnsi="Aptos"/>
                <w:b w:val="0"/>
                <w:sz w:val="16"/>
              </w:rPr>
              <w:t>Material increase in transaction value</w:t>
            </w:r>
          </w:p>
        </w:tc>
        <w:tc>
          <w:tcPr>
            <w:tcW w:type="dxa" w:w="4464"/>
            <w:tcMar>
              <w:top w:w="80" w:type="dxa"/>
              <w:start w:w="90" w:type="dxa"/>
              <w:bottom w:w="80" w:type="dxa"/>
              <w:end w:w="90" w:type="dxa"/>
            </w:tcMar>
            <w:vAlign w:val="top"/>
          </w:tcPr>
          <w:p>
            <w:r>
              <w:rPr>
                <w:rFonts w:ascii="Aptos" w:hAnsi="Aptos"/>
                <w:b w:val="0"/>
                <w:sz w:val="16"/>
              </w:rPr>
              <w:t>Obtain rationale and updated SoF where needed</w:t>
            </w:r>
          </w:p>
        </w:tc>
        <w:tc>
          <w:tcPr>
            <w:tcW w:type="dxa" w:w="2592"/>
            <w:tcMar>
              <w:top w:w="80" w:type="dxa"/>
              <w:start w:w="90" w:type="dxa"/>
              <w:bottom w:w="80" w:type="dxa"/>
              <w:end w:w="90" w:type="dxa"/>
            </w:tcMar>
            <w:vAlign w:val="top"/>
          </w:tcPr>
          <w:p>
            <w:r>
              <w:rPr>
                <w:rFonts w:ascii="Aptos" w:hAnsi="Aptos"/>
                <w:b w:val="0"/>
                <w:sz w:val="16"/>
              </w:rPr>
              <w:t>CRR-033 rescore</w:t>
            </w:r>
          </w:p>
        </w:tc>
      </w:tr>
      <w:tr>
        <w:tc>
          <w:tcPr>
            <w:tcW w:type="dxa" w:w="3024"/>
            <w:tcMar>
              <w:top w:w="80" w:type="dxa"/>
              <w:start w:w="90" w:type="dxa"/>
              <w:bottom w:w="80" w:type="dxa"/>
              <w:end w:w="90" w:type="dxa"/>
            </w:tcMar>
            <w:vAlign w:val="top"/>
            <w:shd w:fill="F7FAFC"/>
          </w:tcPr>
          <w:p>
            <w:r>
              <w:rPr>
                <w:rFonts w:ascii="Aptos" w:hAnsi="Aptos"/>
                <w:b w:val="0"/>
                <w:sz w:val="16"/>
              </w:rPr>
              <w:t>New foreign counterparties/geographies</w:t>
            </w:r>
          </w:p>
        </w:tc>
        <w:tc>
          <w:tcPr>
            <w:tcW w:type="dxa" w:w="4464"/>
            <w:tcMar>
              <w:top w:w="80" w:type="dxa"/>
              <w:start w:w="90" w:type="dxa"/>
              <w:bottom w:w="80" w:type="dxa"/>
              <w:end w:w="90" w:type="dxa"/>
            </w:tcMar>
            <w:vAlign w:val="top"/>
            <w:shd w:fill="F7FAFC"/>
          </w:tcPr>
          <w:p>
            <w:r>
              <w:rPr>
                <w:rFonts w:ascii="Aptos" w:hAnsi="Aptos"/>
                <w:b w:val="0"/>
                <w:sz w:val="16"/>
              </w:rPr>
              <w:t>Understand purpose and relationship</w:t>
            </w:r>
          </w:p>
        </w:tc>
        <w:tc>
          <w:tcPr>
            <w:tcW w:type="dxa" w:w="2592"/>
            <w:tcMar>
              <w:top w:w="80" w:type="dxa"/>
              <w:start w:w="90" w:type="dxa"/>
              <w:bottom w:w="80" w:type="dxa"/>
              <w:end w:w="90" w:type="dxa"/>
            </w:tcMar>
            <w:vAlign w:val="top"/>
            <w:shd w:fill="F7FAFC"/>
          </w:tcPr>
          <w:p>
            <w:r>
              <w:rPr>
                <w:rFonts w:ascii="Aptos" w:hAnsi="Aptos"/>
                <w:b w:val="0"/>
                <w:sz w:val="16"/>
              </w:rPr>
              <w:t>Geography factor update / EDD</w:t>
            </w:r>
          </w:p>
        </w:tc>
      </w:tr>
      <w:tr>
        <w:tc>
          <w:tcPr>
            <w:tcW w:type="dxa" w:w="3024"/>
            <w:tcMar>
              <w:top w:w="80" w:type="dxa"/>
              <w:start w:w="90" w:type="dxa"/>
              <w:bottom w:w="80" w:type="dxa"/>
              <w:end w:w="90" w:type="dxa"/>
            </w:tcMar>
            <w:vAlign w:val="top"/>
          </w:tcPr>
          <w:p>
            <w:r>
              <w:rPr>
                <w:rFonts w:ascii="Aptos" w:hAnsi="Aptos"/>
                <w:b w:val="0"/>
                <w:sz w:val="16"/>
              </w:rPr>
              <w:t>New beneficial owner/controller</w:t>
            </w:r>
          </w:p>
        </w:tc>
        <w:tc>
          <w:tcPr>
            <w:tcW w:type="dxa" w:w="4464"/>
            <w:tcMar>
              <w:top w:w="80" w:type="dxa"/>
              <w:start w:w="90" w:type="dxa"/>
              <w:bottom w:w="80" w:type="dxa"/>
              <w:end w:w="90" w:type="dxa"/>
            </w:tcMar>
            <w:vAlign w:val="top"/>
          </w:tcPr>
          <w:p>
            <w:r>
              <w:rPr>
                <w:rFonts w:ascii="Aptos" w:hAnsi="Aptos"/>
                <w:b w:val="0"/>
                <w:sz w:val="16"/>
              </w:rPr>
              <w:t>Verify person and ownership change</w:t>
            </w:r>
          </w:p>
        </w:tc>
        <w:tc>
          <w:tcPr>
            <w:tcW w:type="dxa" w:w="2592"/>
            <w:tcMar>
              <w:top w:w="80" w:type="dxa"/>
              <w:start w:w="90" w:type="dxa"/>
              <w:bottom w:w="80" w:type="dxa"/>
              <w:end w:w="90" w:type="dxa"/>
            </w:tcMar>
            <w:vAlign w:val="top"/>
          </w:tcPr>
          <w:p>
            <w:r>
              <w:rPr>
                <w:rFonts w:ascii="Aptos" w:hAnsi="Aptos"/>
                <w:b w:val="0"/>
                <w:sz w:val="16"/>
              </w:rPr>
              <w:t>Full trigger-event review</w:t>
            </w:r>
          </w:p>
        </w:tc>
      </w:tr>
      <w:tr>
        <w:tc>
          <w:tcPr>
            <w:tcW w:type="dxa" w:w="3024"/>
            <w:tcMar>
              <w:top w:w="80" w:type="dxa"/>
              <w:start w:w="90" w:type="dxa"/>
              <w:bottom w:w="80" w:type="dxa"/>
              <w:end w:w="90" w:type="dxa"/>
            </w:tcMar>
            <w:vAlign w:val="top"/>
            <w:shd w:fill="F7FAFC"/>
          </w:tcPr>
          <w:p>
            <w:r>
              <w:rPr>
                <w:rFonts w:ascii="Aptos" w:hAnsi="Aptos"/>
                <w:b w:val="0"/>
                <w:sz w:val="16"/>
              </w:rPr>
              <w:t>Sudden third-party transfers</w:t>
            </w:r>
          </w:p>
        </w:tc>
        <w:tc>
          <w:tcPr>
            <w:tcW w:type="dxa" w:w="4464"/>
            <w:tcMar>
              <w:top w:w="80" w:type="dxa"/>
              <w:start w:w="90" w:type="dxa"/>
              <w:bottom w:w="80" w:type="dxa"/>
              <w:end w:w="90" w:type="dxa"/>
            </w:tcMar>
            <w:vAlign w:val="top"/>
            <w:shd w:fill="F7FAFC"/>
          </w:tcPr>
          <w:p>
            <w:r>
              <w:rPr>
                <w:rFonts w:ascii="Aptos" w:hAnsi="Aptos"/>
                <w:b w:val="0"/>
                <w:sz w:val="16"/>
              </w:rPr>
              <w:t>Clarify counterparties and source/purpose</w:t>
            </w:r>
          </w:p>
        </w:tc>
        <w:tc>
          <w:tcPr>
            <w:tcW w:type="dxa" w:w="2592"/>
            <w:tcMar>
              <w:top w:w="80" w:type="dxa"/>
              <w:start w:w="90" w:type="dxa"/>
              <w:bottom w:w="80" w:type="dxa"/>
              <w:end w:w="90" w:type="dxa"/>
            </w:tcMar>
            <w:vAlign w:val="top"/>
            <w:shd w:fill="F7FAFC"/>
          </w:tcPr>
          <w:p>
            <w:r>
              <w:rPr>
                <w:rFonts w:ascii="Aptos" w:hAnsi="Aptos"/>
                <w:b w:val="0"/>
                <w:sz w:val="16"/>
              </w:rPr>
              <w:t>AML alert / EDD if unexplained</w:t>
            </w:r>
          </w:p>
        </w:tc>
      </w:tr>
      <w:tr>
        <w:tc>
          <w:tcPr>
            <w:tcW w:type="dxa" w:w="3024"/>
            <w:tcMar>
              <w:top w:w="80" w:type="dxa"/>
              <w:start w:w="90" w:type="dxa"/>
              <w:bottom w:w="80" w:type="dxa"/>
              <w:end w:w="90" w:type="dxa"/>
            </w:tcMar>
            <w:vAlign w:val="top"/>
          </w:tcPr>
          <w:p>
            <w:r>
              <w:rPr>
                <w:rFonts w:ascii="Aptos" w:hAnsi="Aptos"/>
                <w:b w:val="0"/>
                <w:sz w:val="16"/>
              </w:rPr>
              <w:t>Change from salaried to business income</w:t>
            </w:r>
          </w:p>
        </w:tc>
        <w:tc>
          <w:tcPr>
            <w:tcW w:type="dxa" w:w="4464"/>
            <w:tcMar>
              <w:top w:w="80" w:type="dxa"/>
              <w:start w:w="90" w:type="dxa"/>
              <w:bottom w:w="80" w:type="dxa"/>
              <w:end w:w="90" w:type="dxa"/>
            </w:tcMar>
            <w:vAlign w:val="top"/>
          </w:tcPr>
          <w:p>
            <w:r>
              <w:rPr>
                <w:rFonts w:ascii="Aptos" w:hAnsi="Aptos"/>
                <w:b w:val="0"/>
                <w:sz w:val="16"/>
              </w:rPr>
              <w:t>Update occupation/business evidence</w:t>
            </w:r>
          </w:p>
        </w:tc>
        <w:tc>
          <w:tcPr>
            <w:tcW w:type="dxa" w:w="2592"/>
            <w:tcMar>
              <w:top w:w="80" w:type="dxa"/>
              <w:start w:w="90" w:type="dxa"/>
              <w:bottom w:w="80" w:type="dxa"/>
              <w:end w:w="90" w:type="dxa"/>
            </w:tcMar>
            <w:vAlign w:val="top"/>
          </w:tcPr>
          <w:p>
            <w:r>
              <w:rPr>
                <w:rFonts w:ascii="Aptos" w:hAnsi="Aptos"/>
                <w:b w:val="0"/>
                <w:sz w:val="16"/>
              </w:rPr>
              <w:t>Expected-activity and risk update</w:t>
            </w:r>
          </w:p>
        </w:tc>
      </w:tr>
    </w:tbl>
    <w:p/>
    <w:p>
      <w:pPr>
        <w:pStyle w:val="Heading1"/>
        <w:keepNext/>
      </w:pPr>
      <w:r>
        <w:t>15. Periodic Review and Trigger Events</w:t>
      </w:r>
    </w:p>
    <w:p>
      <w:r>
        <w:t>Scheduled CDD review frequencies are 60 months for Low, 36 months for Medium and 12 months for High risk unless a more restrictive control applies. Trigger events override the scheduled cycle.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80"/>
            <w:shd w:fill="17365D"/>
            <w:vAlign w:val="center"/>
            <w:tcMar>
              <w:top w:w="80" w:type="dxa"/>
              <w:start w:w="90" w:type="dxa"/>
              <w:bottom w:w="80" w:type="dxa"/>
              <w:end w:w="90" w:type="dxa"/>
            </w:tcMar>
          </w:tcPr>
          <w:p>
            <w:r>
              <w:rPr>
                <w:rFonts w:ascii="Aptos" w:hAnsi="Aptos"/>
                <w:b/>
                <w:color w:val="FFFFFF"/>
                <w:sz w:val="16"/>
              </w:rPr>
              <w:t>Trigger Event</w:t>
            </w:r>
          </w:p>
        </w:tc>
        <w:tc>
          <w:tcPr>
            <w:tcW w:type="dxa" w:w="4320"/>
            <w:shd w:fill="17365D"/>
            <w:vAlign w:val="center"/>
            <w:tcMar>
              <w:top w:w="80" w:type="dxa"/>
              <w:start w:w="90" w:type="dxa"/>
              <w:bottom w:w="80" w:type="dxa"/>
              <w:end w:w="90" w:type="dxa"/>
            </w:tcMar>
          </w:tcPr>
          <w:p>
            <w:r>
              <w:rPr>
                <w:rFonts w:ascii="Aptos" w:hAnsi="Aptos"/>
                <w:b/>
                <w:color w:val="FFFFFF"/>
                <w:sz w:val="16"/>
              </w:rPr>
              <w:t>Minimum Review Scope</w:t>
            </w:r>
          </w:p>
        </w:tc>
        <w:tc>
          <w:tcPr>
            <w:tcW w:type="dxa" w:w="2880"/>
            <w:shd w:fill="17365D"/>
            <w:vAlign w:val="center"/>
            <w:tcMar>
              <w:top w:w="80" w:type="dxa"/>
              <w:start w:w="90" w:type="dxa"/>
              <w:bottom w:w="80" w:type="dxa"/>
              <w:end w:w="90" w:type="dxa"/>
            </w:tcMar>
          </w:tcPr>
          <w:p>
            <w:r>
              <w:rPr>
                <w:rFonts w:ascii="Aptos" w:hAnsi="Aptos"/>
                <w:b/>
                <w:color w:val="FFFFFF"/>
                <w:sz w:val="16"/>
              </w:rPr>
              <w:t>Timing Expectation</w:t>
            </w:r>
          </w:p>
        </w:tc>
      </w:tr>
      <w:tr>
        <w:tc>
          <w:tcPr>
            <w:tcW w:type="dxa" w:w="2880"/>
            <w:tcMar>
              <w:top w:w="80" w:type="dxa"/>
              <w:start w:w="90" w:type="dxa"/>
              <w:bottom w:w="80" w:type="dxa"/>
              <w:end w:w="90" w:type="dxa"/>
            </w:tcMar>
            <w:vAlign w:val="top"/>
          </w:tcPr>
          <w:p>
            <w:r>
              <w:rPr>
                <w:rFonts w:ascii="Aptos" w:hAnsi="Aptos"/>
                <w:b w:val="0"/>
                <w:sz w:val="16"/>
              </w:rPr>
              <w:t>PEP status change</w:t>
            </w:r>
          </w:p>
        </w:tc>
        <w:tc>
          <w:tcPr>
            <w:tcW w:type="dxa" w:w="4320"/>
            <w:tcMar>
              <w:top w:w="80" w:type="dxa"/>
              <w:start w:w="90" w:type="dxa"/>
              <w:bottom w:w="80" w:type="dxa"/>
              <w:end w:w="90" w:type="dxa"/>
            </w:tcMar>
            <w:vAlign w:val="top"/>
          </w:tcPr>
          <w:p>
            <w:r>
              <w:rPr>
                <w:rFonts w:ascii="Aptos" w:hAnsi="Aptos"/>
                <w:b w:val="0"/>
                <w:sz w:val="16"/>
              </w:rPr>
              <w:t>PEP confirmation, SoW/SoF as relevant, risk/approval</w:t>
            </w:r>
          </w:p>
        </w:tc>
        <w:tc>
          <w:tcPr>
            <w:tcW w:type="dxa" w:w="2880"/>
            <w:tcMar>
              <w:top w:w="80" w:type="dxa"/>
              <w:start w:w="90" w:type="dxa"/>
              <w:bottom w:w="80" w:type="dxa"/>
              <w:end w:w="90" w:type="dxa"/>
            </w:tcMar>
            <w:vAlign w:val="top"/>
          </w:tcPr>
          <w:p>
            <w:r>
              <w:rPr>
                <w:rFonts w:ascii="Aptos" w:hAnsi="Aptos"/>
                <w:b w:val="0"/>
                <w:sz w:val="16"/>
              </w:rPr>
              <w:t>Prompt; formal review within 30 days</w:t>
            </w:r>
          </w:p>
        </w:tc>
      </w:tr>
      <w:tr>
        <w:tc>
          <w:tcPr>
            <w:tcW w:type="dxa" w:w="2880"/>
            <w:tcMar>
              <w:top w:w="80" w:type="dxa"/>
              <w:start w:w="90" w:type="dxa"/>
              <w:bottom w:w="80" w:type="dxa"/>
              <w:end w:w="90" w:type="dxa"/>
            </w:tcMar>
            <w:vAlign w:val="top"/>
            <w:shd w:fill="F7FAFC"/>
          </w:tcPr>
          <w:p>
            <w:r>
              <w:rPr>
                <w:rFonts w:ascii="Aptos" w:hAnsi="Aptos"/>
                <w:b w:val="0"/>
                <w:sz w:val="16"/>
              </w:rPr>
              <w:t>Ownership/control change</w:t>
            </w:r>
          </w:p>
        </w:tc>
        <w:tc>
          <w:tcPr>
            <w:tcW w:type="dxa" w:w="4320"/>
            <w:tcMar>
              <w:top w:w="80" w:type="dxa"/>
              <w:start w:w="90" w:type="dxa"/>
              <w:bottom w:w="80" w:type="dxa"/>
              <w:end w:w="90" w:type="dxa"/>
            </w:tcMar>
            <w:vAlign w:val="top"/>
            <w:shd w:fill="F7FAFC"/>
          </w:tcPr>
          <w:p>
            <w:r>
              <w:rPr>
                <w:rFonts w:ascii="Aptos" w:hAnsi="Aptos"/>
                <w:b w:val="0"/>
                <w:sz w:val="16"/>
              </w:rPr>
              <w:t>Entity and affected ownership chain</w:t>
            </w:r>
          </w:p>
        </w:tc>
        <w:tc>
          <w:tcPr>
            <w:tcW w:type="dxa" w:w="2880"/>
            <w:tcMar>
              <w:top w:w="80" w:type="dxa"/>
              <w:start w:w="90" w:type="dxa"/>
              <w:bottom w:w="80" w:type="dxa"/>
              <w:end w:w="90" w:type="dxa"/>
            </w:tcMar>
            <w:vAlign w:val="top"/>
            <w:shd w:fill="F7FAFC"/>
          </w:tcPr>
          <w:p>
            <w:r>
              <w:rPr>
                <w:rFonts w:ascii="Aptos" w:hAnsi="Aptos"/>
                <w:b w:val="0"/>
                <w:sz w:val="16"/>
              </w:rPr>
              <w:t>Before material transaction where practicable</w:t>
            </w:r>
          </w:p>
        </w:tc>
      </w:tr>
      <w:tr>
        <w:tc>
          <w:tcPr>
            <w:tcW w:type="dxa" w:w="2880"/>
            <w:tcMar>
              <w:top w:w="80" w:type="dxa"/>
              <w:start w:w="90" w:type="dxa"/>
              <w:bottom w:w="80" w:type="dxa"/>
              <w:end w:w="90" w:type="dxa"/>
            </w:tcMar>
            <w:vAlign w:val="top"/>
          </w:tcPr>
          <w:p>
            <w:r>
              <w:rPr>
                <w:rFonts w:ascii="Aptos" w:hAnsi="Aptos"/>
                <w:b w:val="0"/>
                <w:sz w:val="16"/>
              </w:rPr>
              <w:t>Sanctions/watchlist hit</w:t>
            </w:r>
          </w:p>
        </w:tc>
        <w:tc>
          <w:tcPr>
            <w:tcW w:type="dxa" w:w="4320"/>
            <w:tcMar>
              <w:top w:w="80" w:type="dxa"/>
              <w:start w:w="90" w:type="dxa"/>
              <w:bottom w:w="80" w:type="dxa"/>
              <w:end w:w="90" w:type="dxa"/>
            </w:tcMar>
            <w:vAlign w:val="top"/>
          </w:tcPr>
          <w:p>
            <w:r>
              <w:rPr>
                <w:rFonts w:ascii="Aptos" w:hAnsi="Aptos"/>
                <w:b w:val="0"/>
                <w:sz w:val="16"/>
              </w:rPr>
              <w:t>Specialist disposition</w:t>
            </w:r>
          </w:p>
        </w:tc>
        <w:tc>
          <w:tcPr>
            <w:tcW w:type="dxa" w:w="2880"/>
            <w:tcMar>
              <w:top w:w="80" w:type="dxa"/>
              <w:start w:w="90" w:type="dxa"/>
              <w:bottom w:w="80" w:type="dxa"/>
              <w:end w:w="90" w:type="dxa"/>
            </w:tcMar>
            <w:vAlign w:val="top"/>
          </w:tcPr>
          <w:p>
            <w:r>
              <w:rPr>
                <w:rFonts w:ascii="Aptos" w:hAnsi="Aptos"/>
                <w:b w:val="0"/>
                <w:sz w:val="16"/>
              </w:rPr>
              <w:t>Immediate restriction pending disposition</w:t>
            </w:r>
          </w:p>
        </w:tc>
      </w:tr>
      <w:tr>
        <w:tc>
          <w:tcPr>
            <w:tcW w:type="dxa" w:w="2880"/>
            <w:tcMar>
              <w:top w:w="80" w:type="dxa"/>
              <w:start w:w="90" w:type="dxa"/>
              <w:bottom w:w="80" w:type="dxa"/>
              <w:end w:w="90" w:type="dxa"/>
            </w:tcMar>
            <w:vAlign w:val="top"/>
            <w:shd w:fill="F7FAFC"/>
          </w:tcPr>
          <w:p>
            <w:r>
              <w:rPr>
                <w:rFonts w:ascii="Aptos" w:hAnsi="Aptos"/>
                <w:b w:val="0"/>
                <w:sz w:val="16"/>
              </w:rPr>
              <w:t>Material adverse information</w:t>
            </w:r>
          </w:p>
        </w:tc>
        <w:tc>
          <w:tcPr>
            <w:tcW w:type="dxa" w:w="4320"/>
            <w:tcMar>
              <w:top w:w="80" w:type="dxa"/>
              <w:start w:w="90" w:type="dxa"/>
              <w:bottom w:w="80" w:type="dxa"/>
              <w:end w:w="90" w:type="dxa"/>
            </w:tcMar>
            <w:vAlign w:val="top"/>
            <w:shd w:fill="F7FAFC"/>
          </w:tcPr>
          <w:p>
            <w:r>
              <w:rPr>
                <w:rFonts w:ascii="Aptos" w:hAnsi="Aptos"/>
                <w:b w:val="0"/>
                <w:sz w:val="16"/>
              </w:rPr>
              <w:t>Identity match, credibility, relevance, remediation</w:t>
            </w:r>
          </w:p>
        </w:tc>
        <w:tc>
          <w:tcPr>
            <w:tcW w:type="dxa" w:w="2880"/>
            <w:tcMar>
              <w:top w:w="80" w:type="dxa"/>
              <w:start w:w="90" w:type="dxa"/>
              <w:bottom w:w="80" w:type="dxa"/>
              <w:end w:w="90" w:type="dxa"/>
            </w:tcMar>
            <w:vAlign w:val="top"/>
            <w:shd w:fill="F7FAFC"/>
          </w:tcPr>
          <w:p>
            <w:r>
              <w:rPr>
                <w:rFonts w:ascii="Aptos" w:hAnsi="Aptos"/>
                <w:b w:val="0"/>
                <w:sz w:val="16"/>
              </w:rPr>
              <w:t>Prompt risk reassessment</w:t>
            </w:r>
          </w:p>
        </w:tc>
      </w:tr>
      <w:tr>
        <w:tc>
          <w:tcPr>
            <w:tcW w:type="dxa" w:w="2880"/>
            <w:tcMar>
              <w:top w:w="80" w:type="dxa"/>
              <w:start w:w="90" w:type="dxa"/>
              <w:bottom w:w="80" w:type="dxa"/>
              <w:end w:w="90" w:type="dxa"/>
            </w:tcMar>
            <w:vAlign w:val="top"/>
          </w:tcPr>
          <w:p>
            <w:r>
              <w:rPr>
                <w:rFonts w:ascii="Aptos" w:hAnsi="Aptos"/>
                <w:b w:val="0"/>
                <w:sz w:val="16"/>
              </w:rPr>
              <w:t>Dormancy then significant activity</w:t>
            </w:r>
          </w:p>
        </w:tc>
        <w:tc>
          <w:tcPr>
            <w:tcW w:type="dxa" w:w="4320"/>
            <w:tcMar>
              <w:top w:w="80" w:type="dxa"/>
              <w:start w:w="90" w:type="dxa"/>
              <w:bottom w:w="80" w:type="dxa"/>
              <w:end w:w="90" w:type="dxa"/>
            </w:tcMar>
            <w:vAlign w:val="top"/>
          </w:tcPr>
          <w:p>
            <w:r>
              <w:rPr>
                <w:rFonts w:ascii="Aptos" w:hAnsi="Aptos"/>
                <w:b w:val="0"/>
                <w:sz w:val="16"/>
              </w:rPr>
              <w:t>Identity/contact currency, purpose, expected activity</w:t>
            </w:r>
          </w:p>
        </w:tc>
        <w:tc>
          <w:tcPr>
            <w:tcW w:type="dxa" w:w="2880"/>
            <w:tcMar>
              <w:top w:w="80" w:type="dxa"/>
              <w:start w:w="90" w:type="dxa"/>
              <w:bottom w:w="80" w:type="dxa"/>
              <w:end w:w="90" w:type="dxa"/>
            </w:tcMar>
            <w:vAlign w:val="top"/>
          </w:tcPr>
          <w:p>
            <w:r>
              <w:rPr>
                <w:rFonts w:ascii="Aptos" w:hAnsi="Aptos"/>
                <w:b w:val="0"/>
                <w:sz w:val="16"/>
              </w:rPr>
              <w:t>Before unrestricted continuation if material</w:t>
            </w:r>
          </w:p>
        </w:tc>
      </w:tr>
      <w:tr>
        <w:tc>
          <w:tcPr>
            <w:tcW w:type="dxa" w:w="2880"/>
            <w:tcMar>
              <w:top w:w="80" w:type="dxa"/>
              <w:start w:w="90" w:type="dxa"/>
              <w:bottom w:w="80" w:type="dxa"/>
              <w:end w:w="90" w:type="dxa"/>
            </w:tcMar>
            <w:vAlign w:val="top"/>
            <w:shd w:fill="F7FAFC"/>
          </w:tcPr>
          <w:p>
            <w:r>
              <w:rPr>
                <w:rFonts w:ascii="Aptos" w:hAnsi="Aptos"/>
                <w:b w:val="0"/>
                <w:sz w:val="16"/>
              </w:rPr>
              <w:t>Repeated monitoring alerts</w:t>
            </w:r>
          </w:p>
        </w:tc>
        <w:tc>
          <w:tcPr>
            <w:tcW w:type="dxa" w:w="4320"/>
            <w:tcMar>
              <w:top w:w="80" w:type="dxa"/>
              <w:start w:w="90" w:type="dxa"/>
              <w:bottom w:w="80" w:type="dxa"/>
              <w:end w:w="90" w:type="dxa"/>
            </w:tcMar>
            <w:vAlign w:val="top"/>
            <w:shd w:fill="F7FAFC"/>
          </w:tcPr>
          <w:p>
            <w:r>
              <w:rPr>
                <w:rFonts w:ascii="Aptos" w:hAnsi="Aptos"/>
                <w:b w:val="0"/>
                <w:sz w:val="16"/>
              </w:rPr>
              <w:t>Profile, SoF/SoW, customer risk and EDD need</w:t>
            </w:r>
          </w:p>
        </w:tc>
        <w:tc>
          <w:tcPr>
            <w:tcW w:type="dxa" w:w="2880"/>
            <w:tcMar>
              <w:top w:w="80" w:type="dxa"/>
              <w:start w:w="90" w:type="dxa"/>
              <w:bottom w:w="80" w:type="dxa"/>
              <w:end w:w="90" w:type="dxa"/>
            </w:tcMar>
            <w:vAlign w:val="top"/>
            <w:shd w:fill="F7FAFC"/>
          </w:tcPr>
          <w:p>
            <w:r>
              <w:rPr>
                <w:rFonts w:ascii="Aptos" w:hAnsi="Aptos"/>
                <w:b w:val="0"/>
                <w:sz w:val="16"/>
              </w:rPr>
              <w:t>At case escalation</w:t>
            </w:r>
          </w:p>
        </w:tc>
      </w:tr>
    </w:tbl>
    <w:p/>
    <w:p>
      <w:pPr>
        <w:pStyle w:val="Heading1"/>
        <w:keepNext/>
      </w:pPr>
      <w:r>
        <w:t>16. Restrictions, Decline and Exit</w:t>
      </w:r>
    </w:p>
    <w:p>
      <w:r>
        <w:t>Where CDD cannot be completed to an acceptable standard, Northstar may restrict transaction capability, withhold disbursement, decline onboarding or initiate controlled exit. Restrictions shall be proportionate to the unresolved risk and shall not be removed merely because commercial urgency exists.</w:t>
      </w:r>
    </w:p>
    <w:p>
      <w:pPr>
        <w:pStyle w:val="ControlBullet"/>
      </w:pPr>
      <w:r>
        <w:rPr>
          <w:b/>
        </w:rPr>
        <w:t xml:space="preserve">• </w:t>
      </w:r>
      <w:r>
        <w:t>Restricted-KYC status may permit customer record creation but not unrestricted lending disbursement.</w:t>
      </w:r>
    </w:p>
    <w:p>
      <w:pPr>
        <w:pStyle w:val="ControlBullet"/>
      </w:pPr>
      <w:r>
        <w:rPr>
          <w:b/>
        </w:rPr>
        <w:t xml:space="preserve">• </w:t>
      </w:r>
      <w:r>
        <w:t>A decline reason shall be recorded at an appropriate level without disclosing sensitive monitoring logic to the customer.</w:t>
      </w:r>
    </w:p>
    <w:p>
      <w:pPr>
        <w:pStyle w:val="ControlBullet"/>
      </w:pPr>
      <w:r>
        <w:rPr>
          <w:b/>
        </w:rPr>
        <w:t xml:space="preserve">• </w:t>
      </w:r>
      <w:r>
        <w:t>Exit decisions involving AML suspicion, sanctions or PEP risk shall be coordinated with AML Compliance and Legal where applicable.</w:t>
      </w:r>
    </w:p>
    <w:p>
      <w:pPr>
        <w:pStyle w:val="ControlBullet"/>
      </w:pPr>
      <w:r>
        <w:rPr>
          <w:b/>
        </w:rPr>
        <w:t xml:space="preserve">• </w:t>
      </w:r>
      <w:r>
        <w:t>Where remediation remains possible, the owner shall specify evidence required, due date and escalation if overdue.</w:t>
      </w:r>
    </w:p>
    <w:p>
      <w:pPr>
        <w:pStyle w:val="Heading1"/>
        <w:keepNext/>
      </w:pPr>
      <w:r>
        <w:t>17. Approvals, Escalation and Exceptions</w:t>
      </w:r>
    </w:p>
    <w:p>
      <w:r>
        <w:t>CDD exceptions are limited. Missing mandatory identity, unresolved sanctions matches, inability to establish material beneficial ownership, or unapproved High-risk acceptance cannot be cured through a business exception. Other procedural gaps may be accepted temporarily only where the approving authority is explicit and the residual risk is documented.</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12"/>
            <w:shd w:fill="17365D"/>
            <w:vAlign w:val="center"/>
            <w:tcMar>
              <w:top w:w="80" w:type="dxa"/>
              <w:start w:w="90" w:type="dxa"/>
              <w:bottom w:w="80" w:type="dxa"/>
              <w:end w:w="90" w:type="dxa"/>
            </w:tcMar>
          </w:tcPr>
          <w:p>
            <w:r>
              <w:rPr>
                <w:rFonts w:ascii="Aptos" w:hAnsi="Aptos"/>
                <w:b/>
                <w:color w:val="FFFFFF"/>
                <w:sz w:val="16"/>
              </w:rPr>
              <w:t>Matter</w:t>
            </w:r>
          </w:p>
        </w:tc>
        <w:tc>
          <w:tcPr>
            <w:tcW w:type="dxa" w:w="3456"/>
            <w:shd w:fill="17365D"/>
            <w:vAlign w:val="center"/>
            <w:tcMar>
              <w:top w:w="80" w:type="dxa"/>
              <w:start w:w="90" w:type="dxa"/>
              <w:bottom w:w="80" w:type="dxa"/>
              <w:end w:w="90" w:type="dxa"/>
            </w:tcMar>
          </w:tcPr>
          <w:p>
            <w:r>
              <w:rPr>
                <w:rFonts w:ascii="Aptos" w:hAnsi="Aptos"/>
                <w:b/>
                <w:color w:val="FFFFFF"/>
                <w:sz w:val="16"/>
              </w:rPr>
              <w:t>Minimum Decision Authority</w:t>
            </w:r>
          </w:p>
        </w:tc>
        <w:tc>
          <w:tcPr>
            <w:tcW w:type="dxa" w:w="3312"/>
            <w:shd w:fill="17365D"/>
            <w:vAlign w:val="center"/>
            <w:tcMar>
              <w:top w:w="80" w:type="dxa"/>
              <w:start w:w="90" w:type="dxa"/>
              <w:bottom w:w="80" w:type="dxa"/>
              <w:end w:w="90" w:type="dxa"/>
            </w:tcMar>
          </w:tcPr>
          <w:p>
            <w:r>
              <w:rPr>
                <w:rFonts w:ascii="Aptos" w:hAnsi="Aptos"/>
                <w:b/>
                <w:color w:val="FFFFFF"/>
                <w:sz w:val="16"/>
              </w:rPr>
              <w:t>Conditions</w:t>
            </w:r>
          </w:p>
        </w:tc>
      </w:tr>
      <w:tr>
        <w:tc>
          <w:tcPr>
            <w:tcW w:type="dxa" w:w="3312"/>
            <w:tcMar>
              <w:top w:w="80" w:type="dxa"/>
              <w:start w:w="90" w:type="dxa"/>
              <w:bottom w:w="80" w:type="dxa"/>
              <w:end w:w="90" w:type="dxa"/>
            </w:tcMar>
            <w:vAlign w:val="top"/>
          </w:tcPr>
          <w:p>
            <w:r>
              <w:rPr>
                <w:rFonts w:ascii="Aptos" w:hAnsi="Aptos"/>
                <w:b w:val="0"/>
                <w:sz w:val="16"/>
              </w:rPr>
              <w:t>Low/Medium CDD release</w:t>
            </w:r>
          </w:p>
        </w:tc>
        <w:tc>
          <w:tcPr>
            <w:tcW w:type="dxa" w:w="3456"/>
            <w:tcMar>
              <w:top w:w="80" w:type="dxa"/>
              <w:start w:w="90" w:type="dxa"/>
              <w:bottom w:w="80" w:type="dxa"/>
              <w:end w:w="90" w:type="dxa"/>
            </w:tcMar>
            <w:vAlign w:val="top"/>
          </w:tcPr>
          <w:p>
            <w:r>
              <w:rPr>
                <w:rFonts w:ascii="Aptos" w:hAnsi="Aptos"/>
                <w:b w:val="0"/>
                <w:sz w:val="16"/>
              </w:rPr>
              <w:t>KYC checker within delegated authority</w:t>
            </w:r>
          </w:p>
        </w:tc>
        <w:tc>
          <w:tcPr>
            <w:tcW w:type="dxa" w:w="3312"/>
            <w:tcMar>
              <w:top w:w="80" w:type="dxa"/>
              <w:start w:w="90" w:type="dxa"/>
              <w:bottom w:w="80" w:type="dxa"/>
              <w:end w:w="90" w:type="dxa"/>
            </w:tcMar>
            <w:vAlign w:val="top"/>
          </w:tcPr>
          <w:p>
            <w:r>
              <w:rPr>
                <w:rFonts w:ascii="Aptos" w:hAnsi="Aptos"/>
                <w:b w:val="0"/>
                <w:sz w:val="16"/>
              </w:rPr>
              <w:t>All mandatory controls complete</w:t>
            </w:r>
          </w:p>
        </w:tc>
      </w:tr>
      <w:tr>
        <w:tc>
          <w:tcPr>
            <w:tcW w:type="dxa" w:w="3312"/>
            <w:tcMar>
              <w:top w:w="80" w:type="dxa"/>
              <w:start w:w="90" w:type="dxa"/>
              <w:bottom w:w="80" w:type="dxa"/>
              <w:end w:w="90" w:type="dxa"/>
            </w:tcMar>
            <w:vAlign w:val="top"/>
            <w:shd w:fill="F7FAFC"/>
          </w:tcPr>
          <w:p>
            <w:r>
              <w:rPr>
                <w:rFonts w:ascii="Aptos" w:hAnsi="Aptos"/>
                <w:b w:val="0"/>
                <w:sz w:val="16"/>
              </w:rPr>
              <w:t>High-risk CDD / EDD acceptance</w:t>
            </w:r>
          </w:p>
        </w:tc>
        <w:tc>
          <w:tcPr>
            <w:tcW w:type="dxa" w:w="3456"/>
            <w:tcMar>
              <w:top w:w="80" w:type="dxa"/>
              <w:start w:w="90" w:type="dxa"/>
              <w:bottom w:w="80" w:type="dxa"/>
              <w:end w:w="90" w:type="dxa"/>
            </w:tcMar>
            <w:vAlign w:val="top"/>
            <w:shd w:fill="F7FAFC"/>
          </w:tcPr>
          <w:p>
            <w:r>
              <w:rPr>
                <w:rFonts w:ascii="Aptos" w:hAnsi="Aptos"/>
                <w:b w:val="0"/>
                <w:sz w:val="16"/>
              </w:rPr>
              <w:t>AML Compliance delegated senior officer</w:t>
            </w:r>
          </w:p>
        </w:tc>
        <w:tc>
          <w:tcPr>
            <w:tcW w:type="dxa" w:w="3312"/>
            <w:tcMar>
              <w:top w:w="80" w:type="dxa"/>
              <w:start w:w="90" w:type="dxa"/>
              <w:bottom w:w="80" w:type="dxa"/>
              <w:end w:w="90" w:type="dxa"/>
            </w:tcMar>
            <w:vAlign w:val="top"/>
            <w:shd w:fill="F7FAFC"/>
          </w:tcPr>
          <w:p>
            <w:r>
              <w:rPr>
                <w:rFonts w:ascii="Aptos" w:hAnsi="Aptos"/>
                <w:b w:val="0"/>
                <w:sz w:val="16"/>
              </w:rPr>
              <w:t>EDD complete; CRR-033 risk recorded</w:t>
            </w:r>
          </w:p>
        </w:tc>
      </w:tr>
      <w:tr>
        <w:tc>
          <w:tcPr>
            <w:tcW w:type="dxa" w:w="3312"/>
            <w:tcMar>
              <w:top w:w="80" w:type="dxa"/>
              <w:start w:w="90" w:type="dxa"/>
              <w:bottom w:w="80" w:type="dxa"/>
              <w:end w:w="90" w:type="dxa"/>
            </w:tcMar>
            <w:vAlign w:val="top"/>
          </w:tcPr>
          <w:p>
            <w:r>
              <w:rPr>
                <w:rFonts w:ascii="Aptos" w:hAnsi="Aptos"/>
                <w:b w:val="0"/>
                <w:sz w:val="16"/>
              </w:rPr>
              <w:t>High-risk confirmed PEP</w:t>
            </w:r>
          </w:p>
        </w:tc>
        <w:tc>
          <w:tcPr>
            <w:tcW w:type="dxa" w:w="3456"/>
            <w:tcMar>
              <w:top w:w="80" w:type="dxa"/>
              <w:start w:w="90" w:type="dxa"/>
              <w:bottom w:w="80" w:type="dxa"/>
              <w:end w:w="90" w:type="dxa"/>
            </w:tcMar>
            <w:vAlign w:val="top"/>
          </w:tcPr>
          <w:p>
            <w:r>
              <w:rPr>
                <w:rFonts w:ascii="Aptos" w:hAnsi="Aptos"/>
                <w:b w:val="0"/>
                <w:sz w:val="16"/>
              </w:rPr>
              <w:t>Chief AML Officer</w:t>
            </w:r>
          </w:p>
        </w:tc>
        <w:tc>
          <w:tcPr>
            <w:tcW w:type="dxa" w:w="3312"/>
            <w:tcMar>
              <w:top w:w="80" w:type="dxa"/>
              <w:start w:w="90" w:type="dxa"/>
              <w:bottom w:w="80" w:type="dxa"/>
              <w:end w:w="90" w:type="dxa"/>
            </w:tcMar>
            <w:vAlign w:val="top"/>
          </w:tcPr>
          <w:p>
            <w:r>
              <w:rPr>
                <w:rFonts w:ascii="Aptos" w:hAnsi="Aptos"/>
                <w:b w:val="0"/>
                <w:sz w:val="16"/>
              </w:rPr>
              <w:t>Business acknowledgement and enhanced monitoring</w:t>
            </w:r>
          </w:p>
        </w:tc>
      </w:tr>
      <w:tr>
        <w:tc>
          <w:tcPr>
            <w:tcW w:type="dxa" w:w="3312"/>
            <w:tcMar>
              <w:top w:w="80" w:type="dxa"/>
              <w:start w:w="90" w:type="dxa"/>
              <w:bottom w:w="80" w:type="dxa"/>
              <w:end w:w="90" w:type="dxa"/>
            </w:tcMar>
            <w:vAlign w:val="top"/>
            <w:shd w:fill="F7FAFC"/>
          </w:tcPr>
          <w:p>
            <w:r>
              <w:rPr>
                <w:rFonts w:ascii="Aptos" w:hAnsi="Aptos"/>
                <w:b w:val="0"/>
                <w:sz w:val="16"/>
              </w:rPr>
              <w:t>Temporary non-material evidence gap</w:t>
            </w:r>
          </w:p>
        </w:tc>
        <w:tc>
          <w:tcPr>
            <w:tcW w:type="dxa" w:w="3456"/>
            <w:tcMar>
              <w:top w:w="80" w:type="dxa"/>
              <w:start w:w="90" w:type="dxa"/>
              <w:bottom w:w="80" w:type="dxa"/>
              <w:end w:w="90" w:type="dxa"/>
            </w:tcMar>
            <w:vAlign w:val="top"/>
            <w:shd w:fill="F7FAFC"/>
          </w:tcPr>
          <w:p>
            <w:r>
              <w:rPr>
                <w:rFonts w:ascii="Aptos" w:hAnsi="Aptos"/>
                <w:b w:val="0"/>
                <w:sz w:val="16"/>
              </w:rPr>
              <w:t>Head/Manager KYC Operations per procedure</w:t>
            </w:r>
          </w:p>
        </w:tc>
        <w:tc>
          <w:tcPr>
            <w:tcW w:type="dxa" w:w="3312"/>
            <w:tcMar>
              <w:top w:w="80" w:type="dxa"/>
              <w:start w:w="90" w:type="dxa"/>
              <w:bottom w:w="80" w:type="dxa"/>
              <w:end w:w="90" w:type="dxa"/>
            </w:tcMar>
            <w:vAlign w:val="top"/>
            <w:shd w:fill="F7FAFC"/>
          </w:tcPr>
          <w:p>
            <w:r>
              <w:rPr>
                <w:rFonts w:ascii="Aptos" w:hAnsi="Aptos"/>
                <w:b w:val="0"/>
                <w:sz w:val="16"/>
              </w:rPr>
              <w:t>No sanctions/identity/ownership uncertainty; due date set</w:t>
            </w:r>
          </w:p>
        </w:tc>
      </w:tr>
      <w:tr>
        <w:tc>
          <w:tcPr>
            <w:tcW w:type="dxa" w:w="3312"/>
            <w:tcMar>
              <w:top w:w="80" w:type="dxa"/>
              <w:start w:w="90" w:type="dxa"/>
              <w:bottom w:w="80" w:type="dxa"/>
              <w:end w:w="90" w:type="dxa"/>
            </w:tcMar>
            <w:vAlign w:val="top"/>
          </w:tcPr>
          <w:p>
            <w:r>
              <w:rPr>
                <w:rFonts w:ascii="Aptos" w:hAnsi="Aptos"/>
                <w:b w:val="0"/>
                <w:sz w:val="16"/>
              </w:rPr>
              <w:t>Material unresolved ownership</w:t>
            </w:r>
          </w:p>
        </w:tc>
        <w:tc>
          <w:tcPr>
            <w:tcW w:type="dxa" w:w="3456"/>
            <w:tcMar>
              <w:top w:w="80" w:type="dxa"/>
              <w:start w:w="90" w:type="dxa"/>
              <w:bottom w:w="80" w:type="dxa"/>
              <w:end w:w="90" w:type="dxa"/>
            </w:tcMar>
            <w:vAlign w:val="top"/>
          </w:tcPr>
          <w:p>
            <w:r>
              <w:rPr>
                <w:rFonts w:ascii="Aptos" w:hAnsi="Aptos"/>
                <w:b w:val="0"/>
                <w:sz w:val="16"/>
              </w:rPr>
              <w:t>Chief AML Officer / Chief Compliance Officer</w:t>
            </w:r>
          </w:p>
        </w:tc>
        <w:tc>
          <w:tcPr>
            <w:tcW w:type="dxa" w:w="3312"/>
            <w:tcMar>
              <w:top w:w="80" w:type="dxa"/>
              <w:start w:w="90" w:type="dxa"/>
              <w:bottom w:w="80" w:type="dxa"/>
              <w:end w:w="90" w:type="dxa"/>
            </w:tcMar>
            <w:vAlign w:val="top"/>
          </w:tcPr>
          <w:p>
            <w:r>
              <w:rPr>
                <w:rFonts w:ascii="Aptos" w:hAnsi="Aptos"/>
                <w:b w:val="0"/>
                <w:sz w:val="16"/>
              </w:rPr>
              <w:t>Normally restrict or decline; no routine exception</w:t>
            </w:r>
          </w:p>
        </w:tc>
      </w:tr>
    </w:tbl>
    <w:p/>
    <w:p>
      <w:pPr>
        <w:pStyle w:val="Heading1"/>
        <w:keepNext/>
      </w:pPr>
      <w:r>
        <w:t>18. Recordkeeping, Quality Assurance and Management Information</w:t>
      </w:r>
    </w:p>
    <w:p>
      <w:r>
        <w:t>CDD records shall preserve the facts, evidence, judgments, versioned risk assessment, approvals and restrictions that supported the decision at the time. Later updates shall not overwrite the historical basis for a prior decision.</w:t>
      </w:r>
    </w:p>
    <w:p>
      <w:pPr>
        <w:pStyle w:val="ControlBullet"/>
      </w:pPr>
      <w:r>
        <w:rPr>
          <w:b/>
        </w:rPr>
        <w:t xml:space="preserve">• </w:t>
      </w:r>
      <w:r>
        <w:t>Quality Assurance shall sample onboarding, periodic review, beneficial-ownership, PEP and EDD cases using risk-based sampling.</w:t>
      </w:r>
    </w:p>
    <w:p>
      <w:pPr>
        <w:pStyle w:val="ControlBullet"/>
      </w:pPr>
      <w:r>
        <w:rPr>
          <w:b/>
        </w:rPr>
        <w:t xml:space="preserve">• </w:t>
      </w:r>
      <w:r>
        <w:t>Management information shall distinguish overdue reviews, restricted cases, EDD backlog, high-risk customers, PEPs, unresolved ownership cases and repeat defects.</w:t>
      </w:r>
    </w:p>
    <w:p>
      <w:pPr>
        <w:pStyle w:val="ControlBullet"/>
      </w:pPr>
      <w:r>
        <w:rPr>
          <w:b/>
        </w:rPr>
        <w:t xml:space="preserve">• </w:t>
      </w:r>
      <w:r>
        <w:t>Material control failures shall be escalated under the Compliance Breach Procedure when effective and, until then, through the Chief Compliance Officer governance route.</w:t>
      </w:r>
    </w:p>
    <w:p>
      <w:pPr>
        <w:pStyle w:val="ControlBullet"/>
      </w:pPr>
      <w:r>
        <w:rPr>
          <w:b/>
        </w:rPr>
        <w:t xml:space="preserve">• </w:t>
      </w:r>
      <w:r>
        <w:t>Records shall be retained in accordance with the applicable internal retention schedule and litigation/investigation holds.</w:t>
      </w:r>
    </w:p>
    <w:p>
      <w:r>
        <w:br w:type="page"/>
      </w:r>
    </w:p>
    <w:p>
      <w:pPr>
        <w:pStyle w:val="Heading1"/>
      </w:pPr>
      <w:r>
        <w:t>Appendix A — CDD Minimum Evidence Matrix</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016"/>
            <w:shd w:fill="17365D"/>
            <w:vAlign w:val="center"/>
            <w:tcMar>
              <w:top w:w="80" w:type="dxa"/>
              <w:start w:w="90" w:type="dxa"/>
              <w:bottom w:w="80" w:type="dxa"/>
              <w:end w:w="90" w:type="dxa"/>
            </w:tcMar>
          </w:tcPr>
          <w:p>
            <w:r>
              <w:rPr>
                <w:rFonts w:ascii="Aptos" w:hAnsi="Aptos"/>
                <w:b/>
                <w:color w:val="FFFFFF"/>
                <w:sz w:val="16"/>
              </w:rPr>
              <w:t>Customer Type</w:t>
            </w:r>
          </w:p>
        </w:tc>
        <w:tc>
          <w:tcPr>
            <w:tcW w:type="dxa" w:w="2880"/>
            <w:shd w:fill="17365D"/>
            <w:vAlign w:val="center"/>
            <w:tcMar>
              <w:top w:w="80" w:type="dxa"/>
              <w:start w:w="90" w:type="dxa"/>
              <w:bottom w:w="80" w:type="dxa"/>
              <w:end w:w="90" w:type="dxa"/>
            </w:tcMar>
          </w:tcPr>
          <w:p>
            <w:r>
              <w:rPr>
                <w:rFonts w:ascii="Aptos" w:hAnsi="Aptos"/>
                <w:b/>
                <w:color w:val="FFFFFF"/>
                <w:sz w:val="16"/>
              </w:rPr>
              <w:t>Identity / Existence</w:t>
            </w:r>
          </w:p>
        </w:tc>
        <w:tc>
          <w:tcPr>
            <w:tcW w:type="dxa" w:w="2880"/>
            <w:shd w:fill="17365D"/>
            <w:vAlign w:val="center"/>
            <w:tcMar>
              <w:top w:w="80" w:type="dxa"/>
              <w:start w:w="90" w:type="dxa"/>
              <w:bottom w:w="80" w:type="dxa"/>
              <w:end w:w="90" w:type="dxa"/>
            </w:tcMar>
          </w:tcPr>
          <w:p>
            <w:r>
              <w:rPr>
                <w:rFonts w:ascii="Aptos" w:hAnsi="Aptos"/>
                <w:b/>
                <w:color w:val="FFFFFF"/>
                <w:sz w:val="16"/>
              </w:rPr>
              <w:t>Ownership / Control</w:t>
            </w:r>
          </w:p>
        </w:tc>
        <w:tc>
          <w:tcPr>
            <w:tcW w:type="dxa" w:w="2880"/>
            <w:shd w:fill="17365D"/>
            <w:vAlign w:val="center"/>
            <w:tcMar>
              <w:top w:w="80" w:type="dxa"/>
              <w:start w:w="90" w:type="dxa"/>
              <w:bottom w:w="80" w:type="dxa"/>
              <w:end w:w="90" w:type="dxa"/>
            </w:tcMar>
          </w:tcPr>
          <w:p>
            <w:r>
              <w:rPr>
                <w:rFonts w:ascii="Aptos" w:hAnsi="Aptos"/>
                <w:b/>
                <w:color w:val="FFFFFF"/>
                <w:sz w:val="16"/>
              </w:rPr>
              <w:t>Purpose / Activity</w:t>
            </w:r>
          </w:p>
        </w:tc>
        <w:tc>
          <w:tcPr>
            <w:tcW w:type="dxa" w:w="2448"/>
            <w:shd w:fill="17365D"/>
            <w:vAlign w:val="center"/>
            <w:tcMar>
              <w:top w:w="80" w:type="dxa"/>
              <w:start w:w="90" w:type="dxa"/>
              <w:bottom w:w="80" w:type="dxa"/>
              <w:end w:w="90" w:type="dxa"/>
            </w:tcMar>
          </w:tcPr>
          <w:p>
            <w:r>
              <w:rPr>
                <w:rFonts w:ascii="Aptos" w:hAnsi="Aptos"/>
                <w:b/>
                <w:color w:val="FFFFFF"/>
                <w:sz w:val="16"/>
              </w:rPr>
              <w:t>Screening / Risk</w:t>
            </w:r>
          </w:p>
        </w:tc>
      </w:tr>
      <w:tr>
        <w:tc>
          <w:tcPr>
            <w:tcW w:type="dxa" w:w="2016"/>
            <w:tcMar>
              <w:top w:w="80" w:type="dxa"/>
              <w:start w:w="90" w:type="dxa"/>
              <w:bottom w:w="80" w:type="dxa"/>
              <w:end w:w="90" w:type="dxa"/>
            </w:tcMar>
            <w:vAlign w:val="top"/>
          </w:tcPr>
          <w:p>
            <w:r>
              <w:rPr>
                <w:rFonts w:ascii="Aptos" w:hAnsi="Aptos"/>
                <w:b w:val="0"/>
                <w:sz w:val="16"/>
              </w:rPr>
              <w:t>Individual</w:t>
            </w:r>
          </w:p>
        </w:tc>
        <w:tc>
          <w:tcPr>
            <w:tcW w:type="dxa" w:w="2880"/>
            <w:tcMar>
              <w:top w:w="80" w:type="dxa"/>
              <w:start w:w="90" w:type="dxa"/>
              <w:bottom w:w="80" w:type="dxa"/>
              <w:end w:w="90" w:type="dxa"/>
            </w:tcMar>
            <w:vAlign w:val="top"/>
          </w:tcPr>
          <w:p>
            <w:r>
              <w:rPr>
                <w:rFonts w:ascii="Aptos" w:hAnsi="Aptos"/>
                <w:b w:val="0"/>
                <w:sz w:val="16"/>
              </w:rPr>
              <w:t>Approved identity + address/contact evidence</w:t>
            </w:r>
          </w:p>
        </w:tc>
        <w:tc>
          <w:tcPr>
            <w:tcW w:type="dxa" w:w="2880"/>
            <w:tcMar>
              <w:top w:w="80" w:type="dxa"/>
              <w:start w:w="90" w:type="dxa"/>
              <w:bottom w:w="80" w:type="dxa"/>
              <w:end w:w="90" w:type="dxa"/>
            </w:tcMar>
            <w:vAlign w:val="top"/>
          </w:tcPr>
          <w:p>
            <w:r>
              <w:rPr>
                <w:rFonts w:ascii="Aptos" w:hAnsi="Aptos"/>
                <w:b w:val="0"/>
                <w:sz w:val="16"/>
              </w:rPr>
              <w:t>N/A unless acting arrangement</w:t>
            </w:r>
          </w:p>
        </w:tc>
        <w:tc>
          <w:tcPr>
            <w:tcW w:type="dxa" w:w="2880"/>
            <w:tcMar>
              <w:top w:w="80" w:type="dxa"/>
              <w:start w:w="90" w:type="dxa"/>
              <w:bottom w:w="80" w:type="dxa"/>
              <w:end w:w="90" w:type="dxa"/>
            </w:tcMar>
            <w:vAlign w:val="top"/>
          </w:tcPr>
          <w:p>
            <w:r>
              <w:rPr>
                <w:rFonts w:ascii="Aptos" w:hAnsi="Aptos"/>
                <w:b w:val="0"/>
                <w:sz w:val="16"/>
              </w:rPr>
              <w:t>Occupation/income and product purpose</w:t>
            </w:r>
          </w:p>
        </w:tc>
        <w:tc>
          <w:tcPr>
            <w:tcW w:type="dxa" w:w="2448"/>
            <w:tcMar>
              <w:top w:w="80" w:type="dxa"/>
              <w:start w:w="90" w:type="dxa"/>
              <w:bottom w:w="80" w:type="dxa"/>
              <w:end w:w="90" w:type="dxa"/>
            </w:tcMar>
            <w:vAlign w:val="top"/>
          </w:tcPr>
          <w:p>
            <w:r>
              <w:rPr>
                <w:rFonts w:ascii="Aptos" w:hAnsi="Aptos"/>
                <w:b w:val="0"/>
                <w:sz w:val="16"/>
              </w:rPr>
              <w:t>Sanctions/PEP/watchlist + CDD tier</w:t>
            </w:r>
          </w:p>
        </w:tc>
      </w:tr>
      <w:tr>
        <w:tc>
          <w:tcPr>
            <w:tcW w:type="dxa" w:w="2016"/>
            <w:tcMar>
              <w:top w:w="80" w:type="dxa"/>
              <w:start w:w="90" w:type="dxa"/>
              <w:bottom w:w="80" w:type="dxa"/>
              <w:end w:w="90" w:type="dxa"/>
            </w:tcMar>
            <w:vAlign w:val="top"/>
            <w:shd w:fill="F7FAFC"/>
          </w:tcPr>
          <w:p>
            <w:r>
              <w:rPr>
                <w:rFonts w:ascii="Aptos" w:hAnsi="Aptos"/>
                <w:b w:val="0"/>
                <w:sz w:val="16"/>
              </w:rPr>
              <w:t>Sole proprietor</w:t>
            </w:r>
          </w:p>
        </w:tc>
        <w:tc>
          <w:tcPr>
            <w:tcW w:type="dxa" w:w="2880"/>
            <w:tcMar>
              <w:top w:w="80" w:type="dxa"/>
              <w:start w:w="90" w:type="dxa"/>
              <w:bottom w:w="80" w:type="dxa"/>
              <w:end w:w="90" w:type="dxa"/>
            </w:tcMar>
            <w:vAlign w:val="top"/>
            <w:shd w:fill="F7FAFC"/>
          </w:tcPr>
          <w:p>
            <w:r>
              <w:rPr>
                <w:rFonts w:ascii="Aptos" w:hAnsi="Aptos"/>
                <w:b w:val="0"/>
                <w:sz w:val="16"/>
              </w:rPr>
              <w:t>Individual + business evidence</w:t>
            </w:r>
          </w:p>
        </w:tc>
        <w:tc>
          <w:tcPr>
            <w:tcW w:type="dxa" w:w="2880"/>
            <w:tcMar>
              <w:top w:w="80" w:type="dxa"/>
              <w:start w:w="90" w:type="dxa"/>
              <w:bottom w:w="80" w:type="dxa"/>
              <w:end w:w="90" w:type="dxa"/>
            </w:tcMar>
            <w:vAlign w:val="top"/>
            <w:shd w:fill="F7FAFC"/>
          </w:tcPr>
          <w:p>
            <w:r>
              <w:rPr>
                <w:rFonts w:ascii="Aptos" w:hAnsi="Aptos"/>
                <w:b w:val="0"/>
                <w:sz w:val="16"/>
              </w:rPr>
              <w:t>Individual owner; authorized users</w:t>
            </w:r>
          </w:p>
        </w:tc>
        <w:tc>
          <w:tcPr>
            <w:tcW w:type="dxa" w:w="2880"/>
            <w:tcMar>
              <w:top w:w="80" w:type="dxa"/>
              <w:start w:w="90" w:type="dxa"/>
              <w:bottom w:w="80" w:type="dxa"/>
              <w:end w:w="90" w:type="dxa"/>
            </w:tcMar>
            <w:vAlign w:val="top"/>
            <w:shd w:fill="F7FAFC"/>
          </w:tcPr>
          <w:p>
            <w:r>
              <w:rPr>
                <w:rFonts w:ascii="Aptos" w:hAnsi="Aptos"/>
                <w:b w:val="0"/>
                <w:sz w:val="16"/>
              </w:rPr>
              <w:t>Business activity, expected receipts/payments</w:t>
            </w:r>
          </w:p>
        </w:tc>
        <w:tc>
          <w:tcPr>
            <w:tcW w:type="dxa" w:w="2448"/>
            <w:tcMar>
              <w:top w:w="80" w:type="dxa"/>
              <w:start w:w="90" w:type="dxa"/>
              <w:bottom w:w="80" w:type="dxa"/>
              <w:end w:w="90" w:type="dxa"/>
            </w:tcMar>
            <w:vAlign w:val="top"/>
            <w:shd w:fill="F7FAFC"/>
          </w:tcPr>
          <w:p>
            <w:r>
              <w:rPr>
                <w:rFonts w:ascii="Aptos" w:hAnsi="Aptos"/>
                <w:b w:val="0"/>
                <w:sz w:val="16"/>
              </w:rPr>
              <w:t>Customer + relevant business names</w:t>
            </w:r>
          </w:p>
        </w:tc>
      </w:tr>
      <w:tr>
        <w:tc>
          <w:tcPr>
            <w:tcW w:type="dxa" w:w="2016"/>
            <w:tcMar>
              <w:top w:w="80" w:type="dxa"/>
              <w:start w:w="90" w:type="dxa"/>
              <w:bottom w:w="80" w:type="dxa"/>
              <w:end w:w="90" w:type="dxa"/>
            </w:tcMar>
            <w:vAlign w:val="top"/>
          </w:tcPr>
          <w:p>
            <w:r>
              <w:rPr>
                <w:rFonts w:ascii="Aptos" w:hAnsi="Aptos"/>
                <w:b w:val="0"/>
                <w:sz w:val="16"/>
              </w:rPr>
              <w:t>Company</w:t>
            </w:r>
          </w:p>
        </w:tc>
        <w:tc>
          <w:tcPr>
            <w:tcW w:type="dxa" w:w="2880"/>
            <w:tcMar>
              <w:top w:w="80" w:type="dxa"/>
              <w:start w:w="90" w:type="dxa"/>
              <w:bottom w:w="80" w:type="dxa"/>
              <w:end w:w="90" w:type="dxa"/>
            </w:tcMar>
            <w:vAlign w:val="top"/>
          </w:tcPr>
          <w:p>
            <w:r>
              <w:rPr>
                <w:rFonts w:ascii="Aptos" w:hAnsi="Aptos"/>
                <w:b w:val="0"/>
                <w:sz w:val="16"/>
              </w:rPr>
              <w:t>Formation/registration + address</w:t>
            </w:r>
          </w:p>
        </w:tc>
        <w:tc>
          <w:tcPr>
            <w:tcW w:type="dxa" w:w="2880"/>
            <w:tcMar>
              <w:top w:w="80" w:type="dxa"/>
              <w:start w:w="90" w:type="dxa"/>
              <w:bottom w:w="80" w:type="dxa"/>
              <w:end w:w="90" w:type="dxa"/>
            </w:tcMar>
            <w:vAlign w:val="top"/>
          </w:tcPr>
          <w:p>
            <w:r>
              <w:rPr>
                <w:rFonts w:ascii="Aptos" w:hAnsi="Aptos"/>
                <w:b w:val="0"/>
                <w:sz w:val="16"/>
              </w:rPr>
              <w:t>25% ownership/control; enhanced 10% information if High/complex</w:t>
            </w:r>
          </w:p>
        </w:tc>
        <w:tc>
          <w:tcPr>
            <w:tcW w:type="dxa" w:w="2880"/>
            <w:tcMar>
              <w:top w:w="80" w:type="dxa"/>
              <w:start w:w="90" w:type="dxa"/>
              <w:bottom w:w="80" w:type="dxa"/>
              <w:end w:w="90" w:type="dxa"/>
            </w:tcMar>
            <w:vAlign w:val="top"/>
          </w:tcPr>
          <w:p>
            <w:r>
              <w:rPr>
                <w:rFonts w:ascii="Aptos" w:hAnsi="Aptos"/>
                <w:b w:val="0"/>
                <w:sz w:val="16"/>
              </w:rPr>
              <w:t>Business model, products, expected flows</w:t>
            </w:r>
          </w:p>
        </w:tc>
        <w:tc>
          <w:tcPr>
            <w:tcW w:type="dxa" w:w="2448"/>
            <w:tcMar>
              <w:top w:w="80" w:type="dxa"/>
              <w:start w:w="90" w:type="dxa"/>
              <w:bottom w:w="80" w:type="dxa"/>
              <w:end w:w="90" w:type="dxa"/>
            </w:tcMar>
            <w:vAlign w:val="top"/>
          </w:tcPr>
          <w:p>
            <w:r>
              <w:rPr>
                <w:rFonts w:ascii="Aptos" w:hAnsi="Aptos"/>
                <w:b w:val="0"/>
                <w:sz w:val="16"/>
              </w:rPr>
              <w:t>Entity, directors/controllers/BOs</w:t>
            </w:r>
          </w:p>
        </w:tc>
      </w:tr>
      <w:tr>
        <w:tc>
          <w:tcPr>
            <w:tcW w:type="dxa" w:w="2016"/>
            <w:tcMar>
              <w:top w:w="80" w:type="dxa"/>
              <w:start w:w="90" w:type="dxa"/>
              <w:bottom w:w="80" w:type="dxa"/>
              <w:end w:w="90" w:type="dxa"/>
            </w:tcMar>
            <w:vAlign w:val="top"/>
            <w:shd w:fill="F7FAFC"/>
          </w:tcPr>
          <w:p>
            <w:r>
              <w:rPr>
                <w:rFonts w:ascii="Aptos" w:hAnsi="Aptos"/>
                <w:b w:val="0"/>
                <w:sz w:val="16"/>
              </w:rPr>
              <w:t>Partnership/LLP</w:t>
            </w:r>
          </w:p>
        </w:tc>
        <w:tc>
          <w:tcPr>
            <w:tcW w:type="dxa" w:w="2880"/>
            <w:tcMar>
              <w:top w:w="80" w:type="dxa"/>
              <w:start w:w="90" w:type="dxa"/>
              <w:bottom w:w="80" w:type="dxa"/>
              <w:end w:w="90" w:type="dxa"/>
            </w:tcMar>
            <w:vAlign w:val="top"/>
            <w:shd w:fill="F7FAFC"/>
          </w:tcPr>
          <w:p>
            <w:r>
              <w:rPr>
                <w:rFonts w:ascii="Aptos" w:hAnsi="Aptos"/>
                <w:b w:val="0"/>
                <w:sz w:val="16"/>
              </w:rPr>
              <w:t>Registration/constitution</w:t>
            </w:r>
          </w:p>
        </w:tc>
        <w:tc>
          <w:tcPr>
            <w:tcW w:type="dxa" w:w="2880"/>
            <w:tcMar>
              <w:top w:w="80" w:type="dxa"/>
              <w:start w:w="90" w:type="dxa"/>
              <w:bottom w:w="80" w:type="dxa"/>
              <w:end w:w="90" w:type="dxa"/>
            </w:tcMar>
            <w:vAlign w:val="top"/>
            <w:shd w:fill="F7FAFC"/>
          </w:tcPr>
          <w:p>
            <w:r>
              <w:rPr>
                <w:rFonts w:ascii="Aptos" w:hAnsi="Aptos"/>
                <w:b w:val="0"/>
                <w:sz w:val="16"/>
              </w:rPr>
              <w:t>Partners/control rights</w:t>
            </w:r>
          </w:p>
        </w:tc>
        <w:tc>
          <w:tcPr>
            <w:tcW w:type="dxa" w:w="2880"/>
            <w:tcMar>
              <w:top w:w="80" w:type="dxa"/>
              <w:start w:w="90" w:type="dxa"/>
              <w:bottom w:w="80" w:type="dxa"/>
              <w:end w:w="90" w:type="dxa"/>
            </w:tcMar>
            <w:vAlign w:val="top"/>
            <w:shd w:fill="F7FAFC"/>
          </w:tcPr>
          <w:p>
            <w:r>
              <w:rPr>
                <w:rFonts w:ascii="Aptos" w:hAnsi="Aptos"/>
                <w:b w:val="0"/>
                <w:sz w:val="16"/>
              </w:rPr>
              <w:t>Business purpose and funding</w:t>
            </w:r>
          </w:p>
        </w:tc>
        <w:tc>
          <w:tcPr>
            <w:tcW w:type="dxa" w:w="2448"/>
            <w:tcMar>
              <w:top w:w="80" w:type="dxa"/>
              <w:start w:w="90" w:type="dxa"/>
              <w:bottom w:w="80" w:type="dxa"/>
              <w:end w:w="90" w:type="dxa"/>
            </w:tcMar>
            <w:vAlign w:val="top"/>
            <w:shd w:fill="F7FAFC"/>
          </w:tcPr>
          <w:p>
            <w:r>
              <w:rPr>
                <w:rFonts w:ascii="Aptos" w:hAnsi="Aptos"/>
                <w:b w:val="0"/>
                <w:sz w:val="16"/>
              </w:rPr>
              <w:t>Entity + key partners</w:t>
            </w:r>
          </w:p>
        </w:tc>
      </w:tr>
      <w:tr>
        <w:tc>
          <w:tcPr>
            <w:tcW w:type="dxa" w:w="2016"/>
            <w:tcMar>
              <w:top w:w="80" w:type="dxa"/>
              <w:start w:w="90" w:type="dxa"/>
              <w:bottom w:w="80" w:type="dxa"/>
              <w:end w:w="90" w:type="dxa"/>
            </w:tcMar>
            <w:vAlign w:val="top"/>
          </w:tcPr>
          <w:p>
            <w:r>
              <w:rPr>
                <w:rFonts w:ascii="Aptos" w:hAnsi="Aptos"/>
                <w:b w:val="0"/>
                <w:sz w:val="16"/>
              </w:rPr>
              <w:t>Trust</w:t>
            </w:r>
          </w:p>
        </w:tc>
        <w:tc>
          <w:tcPr>
            <w:tcW w:type="dxa" w:w="2880"/>
            <w:tcMar>
              <w:top w:w="80" w:type="dxa"/>
              <w:start w:w="90" w:type="dxa"/>
              <w:bottom w:w="80" w:type="dxa"/>
              <w:end w:w="90" w:type="dxa"/>
            </w:tcMar>
            <w:vAlign w:val="top"/>
          </w:tcPr>
          <w:p>
            <w:r>
              <w:rPr>
                <w:rFonts w:ascii="Aptos" w:hAnsi="Aptos"/>
                <w:b w:val="0"/>
                <w:sz w:val="16"/>
              </w:rPr>
              <w:t>Trust instrument + trustee evidence</w:t>
            </w:r>
          </w:p>
        </w:tc>
        <w:tc>
          <w:tcPr>
            <w:tcW w:type="dxa" w:w="2880"/>
            <w:tcMar>
              <w:top w:w="80" w:type="dxa"/>
              <w:start w:w="90" w:type="dxa"/>
              <w:bottom w:w="80" w:type="dxa"/>
              <w:end w:w="90" w:type="dxa"/>
            </w:tcMar>
            <w:vAlign w:val="top"/>
          </w:tcPr>
          <w:p>
            <w:r>
              <w:rPr>
                <w:rFonts w:ascii="Aptos" w:hAnsi="Aptos"/>
                <w:b w:val="0"/>
                <w:sz w:val="16"/>
              </w:rPr>
              <w:t>Settlor/trustees/protector/beneficiaries as relevant</w:t>
            </w:r>
          </w:p>
        </w:tc>
        <w:tc>
          <w:tcPr>
            <w:tcW w:type="dxa" w:w="2880"/>
            <w:tcMar>
              <w:top w:w="80" w:type="dxa"/>
              <w:start w:w="90" w:type="dxa"/>
              <w:bottom w:w="80" w:type="dxa"/>
              <w:end w:w="90" w:type="dxa"/>
            </w:tcMar>
            <w:vAlign w:val="top"/>
          </w:tcPr>
          <w:p>
            <w:r>
              <w:rPr>
                <w:rFonts w:ascii="Aptos" w:hAnsi="Aptos"/>
                <w:b w:val="0"/>
                <w:sz w:val="16"/>
              </w:rPr>
              <w:t>Trust purpose and asset source</w:t>
            </w:r>
          </w:p>
        </w:tc>
        <w:tc>
          <w:tcPr>
            <w:tcW w:type="dxa" w:w="2448"/>
            <w:tcMar>
              <w:top w:w="80" w:type="dxa"/>
              <w:start w:w="90" w:type="dxa"/>
              <w:bottom w:w="80" w:type="dxa"/>
              <w:end w:w="90" w:type="dxa"/>
            </w:tcMar>
            <w:vAlign w:val="top"/>
          </w:tcPr>
          <w:p>
            <w:r>
              <w:rPr>
                <w:rFonts w:ascii="Aptos" w:hAnsi="Aptos"/>
                <w:b w:val="0"/>
                <w:sz w:val="16"/>
              </w:rPr>
              <w:t>Arrangement + relevant persons</w:t>
            </w:r>
          </w:p>
        </w:tc>
      </w:tr>
    </w:tbl>
    <w:p/>
    <w:p>
      <w:r>
        <w:br w:type="page"/>
      </w:r>
    </w:p>
    <w:p>
      <w:pPr>
        <w:pStyle w:val="Heading1"/>
      </w:pPr>
      <w:r>
        <w:t>Appendix B — CDD Trigger-Event Catalogue</w:t>
      </w:r>
    </w:p>
    <w:p>
      <w:pPr>
        <w:pStyle w:val="ControlBullet"/>
      </w:pPr>
      <w:r>
        <w:rPr>
          <w:b/>
        </w:rPr>
        <w:t xml:space="preserve">• </w:t>
      </w:r>
      <w:r>
        <w:t>Change in legal name, identity particulars or address with inconsistent evidence.</w:t>
      </w:r>
    </w:p>
    <w:p>
      <w:pPr>
        <w:pStyle w:val="ControlBullet"/>
      </w:pPr>
      <w:r>
        <w:rPr>
          <w:b/>
        </w:rPr>
        <w:t xml:space="preserve">• </w:t>
      </w:r>
      <w:r>
        <w:t>Change in ownership, directors, trustees, partners, authorized signatories or control rights.</w:t>
      </w:r>
    </w:p>
    <w:p>
      <w:pPr>
        <w:pStyle w:val="ControlBullet"/>
      </w:pPr>
      <w:r>
        <w:rPr>
          <w:b/>
        </w:rPr>
        <w:t xml:space="preserve">• </w:t>
      </w:r>
      <w:r>
        <w:t>New PEP or sanctions potential match, or material change in adverse information.</w:t>
      </w:r>
    </w:p>
    <w:p>
      <w:pPr>
        <w:pStyle w:val="ControlBullet"/>
      </w:pPr>
      <w:r>
        <w:rPr>
          <w:b/>
        </w:rPr>
        <w:t xml:space="preserve">• </w:t>
      </w:r>
      <w:r>
        <w:t>Material change in product use, transaction volumes, geographies, counterparties, cash intensity or third-party flows.</w:t>
      </w:r>
    </w:p>
    <w:p>
      <w:pPr>
        <w:pStyle w:val="ControlBullet"/>
      </w:pPr>
      <w:r>
        <w:rPr>
          <w:b/>
        </w:rPr>
        <w:t xml:space="preserve">• </w:t>
      </w:r>
      <w:r>
        <w:t>Dormancy followed by material activity, repeated monitoring alerts or unexplained rapid movement of funds.</w:t>
      </w:r>
    </w:p>
    <w:p>
      <w:pPr>
        <w:pStyle w:val="ControlBullet"/>
      </w:pPr>
      <w:r>
        <w:rPr>
          <w:b/>
        </w:rPr>
        <w:t xml:space="preserve">• </w:t>
      </w:r>
      <w:r>
        <w:t>New credit information suggesting undisclosed obligations or inconsistent economic profile where relevant to CDD.</w:t>
      </w:r>
    </w:p>
    <w:p>
      <w:pPr>
        <w:pStyle w:val="ControlBullet"/>
      </w:pPr>
      <w:r>
        <w:rPr>
          <w:b/>
        </w:rPr>
        <w:t xml:space="preserve">• </w:t>
      </w:r>
      <w:r>
        <w:t>Returned communication, suspected identity misuse, document tampering or fraud referral.</w:t>
      </w:r>
    </w:p>
    <w:p>
      <w:r>
        <w:br w:type="page"/>
      </w:r>
    </w:p>
    <w:p>
      <w:pPr>
        <w:pStyle w:val="Heading1"/>
      </w:pPr>
      <w:r>
        <w:t>Appendix C — CDD Decision Scenarios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168"/>
            <w:shd w:fill="17365D"/>
            <w:vAlign w:val="center"/>
            <w:tcMar>
              <w:top w:w="80" w:type="dxa"/>
              <w:start w:w="90" w:type="dxa"/>
              <w:bottom w:w="80" w:type="dxa"/>
              <w:end w:w="90" w:type="dxa"/>
            </w:tcMar>
          </w:tcPr>
          <w:p>
            <w:r>
              <w:rPr>
                <w:rFonts w:ascii="Aptos" w:hAnsi="Aptos"/>
                <w:b/>
                <w:color w:val="FFFFFF"/>
                <w:sz w:val="16"/>
              </w:rPr>
              <w:t>Scenario</w:t>
            </w:r>
          </w:p>
        </w:tc>
        <w:tc>
          <w:tcPr>
            <w:tcW w:type="dxa" w:w="2016"/>
            <w:shd w:fill="17365D"/>
            <w:vAlign w:val="center"/>
            <w:tcMar>
              <w:top w:w="80" w:type="dxa"/>
              <w:start w:w="90" w:type="dxa"/>
              <w:bottom w:w="80" w:type="dxa"/>
              <w:end w:w="90" w:type="dxa"/>
            </w:tcMar>
          </w:tcPr>
          <w:p>
            <w:r>
              <w:rPr>
                <w:rFonts w:ascii="Aptos" w:hAnsi="Aptos"/>
                <w:b/>
                <w:color w:val="FFFFFF"/>
                <w:sz w:val="16"/>
              </w:rPr>
              <w:t>Initial View</w:t>
            </w:r>
          </w:p>
        </w:tc>
        <w:tc>
          <w:tcPr>
            <w:tcW w:type="dxa" w:w="3744"/>
            <w:shd w:fill="17365D"/>
            <w:vAlign w:val="center"/>
            <w:tcMar>
              <w:top w:w="80" w:type="dxa"/>
              <w:start w:w="90" w:type="dxa"/>
              <w:bottom w:w="80" w:type="dxa"/>
              <w:end w:w="90" w:type="dxa"/>
            </w:tcMar>
          </w:tcPr>
          <w:p>
            <w:r>
              <w:rPr>
                <w:rFonts w:ascii="Aptos" w:hAnsi="Aptos"/>
                <w:b/>
                <w:color w:val="FFFFFF"/>
                <w:sz w:val="16"/>
              </w:rPr>
              <w:t>Required Action</w:t>
            </w:r>
          </w:p>
        </w:tc>
        <w:tc>
          <w:tcPr>
            <w:tcW w:type="dxa" w:w="1872"/>
            <w:shd w:fill="17365D"/>
            <w:vAlign w:val="center"/>
            <w:tcMar>
              <w:top w:w="80" w:type="dxa"/>
              <w:start w:w="90" w:type="dxa"/>
              <w:bottom w:w="80" w:type="dxa"/>
              <w:end w:w="90" w:type="dxa"/>
            </w:tcMar>
          </w:tcPr>
          <w:p>
            <w:r>
              <w:rPr>
                <w:rFonts w:ascii="Aptos" w:hAnsi="Aptos"/>
                <w:b/>
                <w:color w:val="FFFFFF"/>
                <w:sz w:val="16"/>
              </w:rPr>
              <w:t>Likely Outcome</w:t>
            </w:r>
          </w:p>
        </w:tc>
      </w:tr>
      <w:tr>
        <w:tc>
          <w:tcPr>
            <w:tcW w:type="dxa" w:w="3168"/>
            <w:tcMar>
              <w:top w:w="80" w:type="dxa"/>
              <w:start w:w="90" w:type="dxa"/>
              <w:bottom w:w="80" w:type="dxa"/>
              <w:end w:w="90" w:type="dxa"/>
            </w:tcMar>
            <w:vAlign w:val="top"/>
          </w:tcPr>
          <w:p>
            <w:r>
              <w:rPr>
                <w:rFonts w:ascii="Aptos" w:hAnsi="Aptos"/>
                <w:b w:val="0"/>
                <w:sz w:val="16"/>
              </w:rPr>
              <w:t>Strong income; poor credit history</w:t>
            </w:r>
          </w:p>
        </w:tc>
        <w:tc>
          <w:tcPr>
            <w:tcW w:type="dxa" w:w="2016"/>
            <w:tcMar>
              <w:top w:w="80" w:type="dxa"/>
              <w:start w:w="90" w:type="dxa"/>
              <w:bottom w:w="80" w:type="dxa"/>
              <w:end w:w="90" w:type="dxa"/>
            </w:tcMar>
            <w:vAlign w:val="top"/>
          </w:tcPr>
          <w:p>
            <w:r>
              <w:rPr>
                <w:rFonts w:ascii="Aptos" w:hAnsi="Aptos"/>
                <w:b w:val="0"/>
                <w:sz w:val="16"/>
              </w:rPr>
              <w:t>Credit issue, not automatically CDD High</w:t>
            </w:r>
          </w:p>
        </w:tc>
        <w:tc>
          <w:tcPr>
            <w:tcW w:type="dxa" w:w="3744"/>
            <w:tcMar>
              <w:top w:w="80" w:type="dxa"/>
              <w:start w:w="90" w:type="dxa"/>
              <w:bottom w:w="80" w:type="dxa"/>
              <w:end w:w="90" w:type="dxa"/>
            </w:tcMar>
            <w:vAlign w:val="top"/>
          </w:tcPr>
          <w:p>
            <w:r>
              <w:rPr>
                <w:rFonts w:ascii="Aptos" w:hAnsi="Aptos"/>
                <w:b w:val="0"/>
                <w:sz w:val="16"/>
              </w:rPr>
              <w:t>CDD remains based on identity/AML facts; credit handled separately</w:t>
            </w:r>
          </w:p>
        </w:tc>
        <w:tc>
          <w:tcPr>
            <w:tcW w:type="dxa" w:w="1872"/>
            <w:tcMar>
              <w:top w:w="80" w:type="dxa"/>
              <w:start w:w="90" w:type="dxa"/>
              <w:bottom w:w="80" w:type="dxa"/>
              <w:end w:w="90" w:type="dxa"/>
            </w:tcMar>
            <w:vAlign w:val="top"/>
          </w:tcPr>
          <w:p>
            <w:r>
              <w:rPr>
                <w:rFonts w:ascii="Aptos" w:hAnsi="Aptos"/>
                <w:b w:val="0"/>
                <w:sz w:val="16"/>
              </w:rPr>
              <w:t>CDD may clear while credit declines</w:t>
            </w:r>
          </w:p>
        </w:tc>
      </w:tr>
      <w:tr>
        <w:tc>
          <w:tcPr>
            <w:tcW w:type="dxa" w:w="3168"/>
            <w:tcMar>
              <w:top w:w="80" w:type="dxa"/>
              <w:start w:w="90" w:type="dxa"/>
              <w:bottom w:w="80" w:type="dxa"/>
              <w:end w:w="90" w:type="dxa"/>
            </w:tcMar>
            <w:vAlign w:val="top"/>
            <w:shd w:fill="F7FAFC"/>
          </w:tcPr>
          <w:p>
            <w:r>
              <w:rPr>
                <w:rFonts w:ascii="Aptos" w:hAnsi="Aptos"/>
                <w:b w:val="0"/>
                <w:sz w:val="16"/>
              </w:rPr>
              <w:t>High score; unstable income</w:t>
            </w:r>
          </w:p>
        </w:tc>
        <w:tc>
          <w:tcPr>
            <w:tcW w:type="dxa" w:w="2016"/>
            <w:tcMar>
              <w:top w:w="80" w:type="dxa"/>
              <w:start w:w="90" w:type="dxa"/>
              <w:bottom w:w="80" w:type="dxa"/>
              <w:end w:w="90" w:type="dxa"/>
            </w:tcMar>
            <w:vAlign w:val="top"/>
            <w:shd w:fill="F7FAFC"/>
          </w:tcPr>
          <w:p>
            <w:r>
              <w:rPr>
                <w:rFonts w:ascii="Aptos" w:hAnsi="Aptos"/>
                <w:b w:val="0"/>
                <w:sz w:val="16"/>
              </w:rPr>
              <w:t>Affordability/credit issue</w:t>
            </w:r>
          </w:p>
        </w:tc>
        <w:tc>
          <w:tcPr>
            <w:tcW w:type="dxa" w:w="3744"/>
            <w:tcMar>
              <w:top w:w="80" w:type="dxa"/>
              <w:start w:w="90" w:type="dxa"/>
              <w:bottom w:w="80" w:type="dxa"/>
              <w:end w:w="90" w:type="dxa"/>
            </w:tcMar>
            <w:vAlign w:val="top"/>
            <w:shd w:fill="F7FAFC"/>
          </w:tcPr>
          <w:p>
            <w:r>
              <w:rPr>
                <w:rFonts w:ascii="Aptos" w:hAnsi="Aptos"/>
                <w:b w:val="0"/>
                <w:sz w:val="16"/>
              </w:rPr>
              <w:t>Update occupation/income facts if inconsistency affects profile</w:t>
            </w:r>
          </w:p>
        </w:tc>
        <w:tc>
          <w:tcPr>
            <w:tcW w:type="dxa" w:w="1872"/>
            <w:tcMar>
              <w:top w:w="80" w:type="dxa"/>
              <w:start w:w="90" w:type="dxa"/>
              <w:bottom w:w="80" w:type="dxa"/>
              <w:end w:w="90" w:type="dxa"/>
            </w:tcMar>
            <w:vAlign w:val="top"/>
            <w:shd w:fill="F7FAFC"/>
          </w:tcPr>
          <w:p>
            <w:r>
              <w:rPr>
                <w:rFonts w:ascii="Aptos" w:hAnsi="Aptos"/>
                <w:b w:val="0"/>
                <w:sz w:val="16"/>
              </w:rPr>
              <w:t>CDD may remain Low/Medium</w:t>
            </w:r>
          </w:p>
        </w:tc>
      </w:tr>
      <w:tr>
        <w:tc>
          <w:tcPr>
            <w:tcW w:type="dxa" w:w="3168"/>
            <w:tcMar>
              <w:top w:w="80" w:type="dxa"/>
              <w:start w:w="90" w:type="dxa"/>
              <w:bottom w:w="80" w:type="dxa"/>
              <w:end w:w="90" w:type="dxa"/>
            </w:tcMar>
            <w:vAlign w:val="top"/>
          </w:tcPr>
          <w:p>
            <w:r>
              <w:rPr>
                <w:rFonts w:ascii="Aptos" w:hAnsi="Aptos"/>
                <w:b w:val="0"/>
                <w:sz w:val="16"/>
              </w:rPr>
              <w:t>Address differs across documents</w:t>
            </w:r>
          </w:p>
        </w:tc>
        <w:tc>
          <w:tcPr>
            <w:tcW w:type="dxa" w:w="2016"/>
            <w:tcMar>
              <w:top w:w="80" w:type="dxa"/>
              <w:start w:w="90" w:type="dxa"/>
              <w:bottom w:w="80" w:type="dxa"/>
              <w:end w:w="90" w:type="dxa"/>
            </w:tcMar>
            <w:vAlign w:val="top"/>
          </w:tcPr>
          <w:p>
            <w:r>
              <w:rPr>
                <w:rFonts w:ascii="Aptos" w:hAnsi="Aptos"/>
                <w:b w:val="0"/>
                <w:sz w:val="16"/>
              </w:rPr>
              <w:t>Potential KYC discrepancy</w:t>
            </w:r>
          </w:p>
        </w:tc>
        <w:tc>
          <w:tcPr>
            <w:tcW w:type="dxa" w:w="3744"/>
            <w:tcMar>
              <w:top w:w="80" w:type="dxa"/>
              <w:start w:w="90" w:type="dxa"/>
              <w:bottom w:w="80" w:type="dxa"/>
              <w:end w:w="90" w:type="dxa"/>
            </w:tcMar>
            <w:vAlign w:val="top"/>
          </w:tcPr>
          <w:p>
            <w:r>
              <w:rPr>
                <w:rFonts w:ascii="Aptos" w:hAnsi="Aptos"/>
                <w:b w:val="0"/>
                <w:sz w:val="16"/>
              </w:rPr>
              <w:t>Assess recency, evidence and plausibility; escalate if material</w:t>
            </w:r>
          </w:p>
        </w:tc>
        <w:tc>
          <w:tcPr>
            <w:tcW w:type="dxa" w:w="1872"/>
            <w:tcMar>
              <w:top w:w="80" w:type="dxa"/>
              <w:start w:w="90" w:type="dxa"/>
              <w:bottom w:w="80" w:type="dxa"/>
              <w:end w:w="90" w:type="dxa"/>
            </w:tcMar>
            <w:vAlign w:val="top"/>
          </w:tcPr>
          <w:p>
            <w:r>
              <w:rPr>
                <w:rFonts w:ascii="Aptos" w:hAnsi="Aptos"/>
                <w:b w:val="0"/>
                <w:sz w:val="16"/>
              </w:rPr>
              <w:t>Clear, restrict or trigger review</w:t>
            </w:r>
          </w:p>
        </w:tc>
      </w:tr>
      <w:tr>
        <w:tc>
          <w:tcPr>
            <w:tcW w:type="dxa" w:w="3168"/>
            <w:tcMar>
              <w:top w:w="80" w:type="dxa"/>
              <w:start w:w="90" w:type="dxa"/>
              <w:bottom w:w="80" w:type="dxa"/>
              <w:end w:w="90" w:type="dxa"/>
            </w:tcMar>
            <w:vAlign w:val="top"/>
            <w:shd w:fill="F7FAFC"/>
          </w:tcPr>
          <w:p>
            <w:r>
              <w:rPr>
                <w:rFonts w:ascii="Aptos" w:hAnsi="Aptos"/>
                <w:b w:val="0"/>
                <w:sz w:val="16"/>
              </w:rPr>
              <w:t>Beneficial owner difficult to establish</w:t>
            </w:r>
          </w:p>
        </w:tc>
        <w:tc>
          <w:tcPr>
            <w:tcW w:type="dxa" w:w="2016"/>
            <w:tcMar>
              <w:top w:w="80" w:type="dxa"/>
              <w:start w:w="90" w:type="dxa"/>
              <w:bottom w:w="80" w:type="dxa"/>
              <w:end w:w="90" w:type="dxa"/>
            </w:tcMar>
            <w:vAlign w:val="top"/>
            <w:shd w:fill="F7FAFC"/>
          </w:tcPr>
          <w:p>
            <w:r>
              <w:rPr>
                <w:rFonts w:ascii="Aptos" w:hAnsi="Aptos"/>
                <w:b w:val="0"/>
                <w:sz w:val="16"/>
              </w:rPr>
              <w:t>Ownership opacity</w:t>
            </w:r>
          </w:p>
        </w:tc>
        <w:tc>
          <w:tcPr>
            <w:tcW w:type="dxa" w:w="3744"/>
            <w:tcMar>
              <w:top w:w="80" w:type="dxa"/>
              <w:start w:w="90" w:type="dxa"/>
              <w:bottom w:w="80" w:type="dxa"/>
              <w:end w:w="90" w:type="dxa"/>
            </w:tcMar>
            <w:vAlign w:val="top"/>
            <w:shd w:fill="F7FAFC"/>
          </w:tcPr>
          <w:p>
            <w:r>
              <w:rPr>
                <w:rFonts w:ascii="Aptos" w:hAnsi="Aptos"/>
                <w:b w:val="0"/>
                <w:sz w:val="16"/>
              </w:rPr>
              <w:t>EDD, ownership chart, control analysis</w:t>
            </w:r>
          </w:p>
        </w:tc>
        <w:tc>
          <w:tcPr>
            <w:tcW w:type="dxa" w:w="1872"/>
            <w:tcMar>
              <w:top w:w="80" w:type="dxa"/>
              <w:start w:w="90" w:type="dxa"/>
              <w:bottom w:w="80" w:type="dxa"/>
              <w:end w:w="90" w:type="dxa"/>
            </w:tcMar>
            <w:vAlign w:val="top"/>
            <w:shd w:fill="F7FAFC"/>
          </w:tcPr>
          <w:p>
            <w:r>
              <w:rPr>
                <w:rFonts w:ascii="Aptos" w:hAnsi="Aptos"/>
                <w:b w:val="0"/>
                <w:sz w:val="16"/>
              </w:rPr>
              <w:t>High risk; restrict/decline if unresolved</w:t>
            </w:r>
          </w:p>
        </w:tc>
      </w:tr>
      <w:tr>
        <w:tc>
          <w:tcPr>
            <w:tcW w:type="dxa" w:w="3168"/>
            <w:tcMar>
              <w:top w:w="80" w:type="dxa"/>
              <w:start w:w="90" w:type="dxa"/>
              <w:bottom w:w="80" w:type="dxa"/>
              <w:end w:w="90" w:type="dxa"/>
            </w:tcMar>
            <w:vAlign w:val="top"/>
          </w:tcPr>
          <w:p>
            <w:r>
              <w:rPr>
                <w:rFonts w:ascii="Aptos" w:hAnsi="Aptos"/>
                <w:b w:val="0"/>
                <w:sz w:val="16"/>
              </w:rPr>
              <w:t>Potential PEP false positive</w:t>
            </w:r>
          </w:p>
        </w:tc>
        <w:tc>
          <w:tcPr>
            <w:tcW w:type="dxa" w:w="2016"/>
            <w:tcMar>
              <w:top w:w="80" w:type="dxa"/>
              <w:start w:w="90" w:type="dxa"/>
              <w:bottom w:w="80" w:type="dxa"/>
              <w:end w:w="90" w:type="dxa"/>
            </w:tcMar>
            <w:vAlign w:val="top"/>
          </w:tcPr>
          <w:p>
            <w:r>
              <w:rPr>
                <w:rFonts w:ascii="Aptos" w:hAnsi="Aptos"/>
                <w:b w:val="0"/>
                <w:sz w:val="16"/>
              </w:rPr>
              <w:t>Screening uncertainty</w:t>
            </w:r>
          </w:p>
        </w:tc>
        <w:tc>
          <w:tcPr>
            <w:tcW w:type="dxa" w:w="3744"/>
            <w:tcMar>
              <w:top w:w="80" w:type="dxa"/>
              <w:start w:w="90" w:type="dxa"/>
              <w:bottom w:w="80" w:type="dxa"/>
              <w:end w:w="90" w:type="dxa"/>
            </w:tcMar>
            <w:vAlign w:val="top"/>
          </w:tcPr>
          <w:p>
            <w:r>
              <w:rPr>
                <w:rFonts w:ascii="Aptos" w:hAnsi="Aptos"/>
                <w:b w:val="0"/>
                <w:sz w:val="16"/>
              </w:rPr>
              <w:t>KYC escalation and AML disposition</w:t>
            </w:r>
          </w:p>
        </w:tc>
        <w:tc>
          <w:tcPr>
            <w:tcW w:type="dxa" w:w="1872"/>
            <w:tcMar>
              <w:top w:w="80" w:type="dxa"/>
              <w:start w:w="90" w:type="dxa"/>
              <w:bottom w:w="80" w:type="dxa"/>
              <w:end w:w="90" w:type="dxa"/>
            </w:tcMar>
            <w:vAlign w:val="top"/>
          </w:tcPr>
          <w:p>
            <w:r>
              <w:rPr>
                <w:rFonts w:ascii="Aptos" w:hAnsi="Aptos"/>
                <w:b w:val="0"/>
                <w:sz w:val="16"/>
              </w:rPr>
              <w:t>Restricted until cleared</w:t>
            </w:r>
          </w:p>
        </w:tc>
      </w:tr>
      <w:tr>
        <w:tc>
          <w:tcPr>
            <w:tcW w:type="dxa" w:w="3168"/>
            <w:tcMar>
              <w:top w:w="80" w:type="dxa"/>
              <w:start w:w="90" w:type="dxa"/>
              <w:bottom w:w="80" w:type="dxa"/>
              <w:end w:w="90" w:type="dxa"/>
            </w:tcMar>
            <w:vAlign w:val="top"/>
            <w:shd w:fill="F7FAFC"/>
          </w:tcPr>
          <w:p>
            <w:r>
              <w:rPr>
                <w:rFonts w:ascii="Aptos" w:hAnsi="Aptos"/>
                <w:b w:val="0"/>
                <w:sz w:val="16"/>
              </w:rPr>
              <w:t>Large third-party transfers</w:t>
            </w:r>
          </w:p>
        </w:tc>
        <w:tc>
          <w:tcPr>
            <w:tcW w:type="dxa" w:w="2016"/>
            <w:tcMar>
              <w:top w:w="80" w:type="dxa"/>
              <w:start w:w="90" w:type="dxa"/>
              <w:bottom w:w="80" w:type="dxa"/>
              <w:end w:w="90" w:type="dxa"/>
            </w:tcMar>
            <w:vAlign w:val="top"/>
            <w:shd w:fill="F7FAFC"/>
          </w:tcPr>
          <w:p>
            <w:r>
              <w:rPr>
                <w:rFonts w:ascii="Aptos" w:hAnsi="Aptos"/>
                <w:b w:val="0"/>
                <w:sz w:val="16"/>
              </w:rPr>
              <w:t>Behavioural risk</w:t>
            </w:r>
          </w:p>
        </w:tc>
        <w:tc>
          <w:tcPr>
            <w:tcW w:type="dxa" w:w="3744"/>
            <w:tcMar>
              <w:top w:w="80" w:type="dxa"/>
              <w:start w:w="90" w:type="dxa"/>
              <w:bottom w:w="80" w:type="dxa"/>
              <w:end w:w="90" w:type="dxa"/>
            </w:tcMar>
            <w:vAlign w:val="top"/>
            <w:shd w:fill="F7FAFC"/>
          </w:tcPr>
          <w:p>
            <w:r>
              <w:rPr>
                <w:rFonts w:ascii="Aptos" w:hAnsi="Aptos"/>
                <w:b w:val="0"/>
                <w:sz w:val="16"/>
              </w:rPr>
              <w:t>TM case + SoF/relationship explanation + rescore</w:t>
            </w:r>
          </w:p>
        </w:tc>
        <w:tc>
          <w:tcPr>
            <w:tcW w:type="dxa" w:w="1872"/>
            <w:tcMar>
              <w:top w:w="80" w:type="dxa"/>
              <w:start w:w="90" w:type="dxa"/>
              <w:bottom w:w="80" w:type="dxa"/>
              <w:end w:w="90" w:type="dxa"/>
            </w:tcMar>
            <w:vAlign w:val="top"/>
            <w:shd w:fill="F7FAFC"/>
          </w:tcPr>
          <w:p>
            <w:r>
              <w:rPr>
                <w:rFonts w:ascii="Aptos" w:hAnsi="Aptos"/>
                <w:b w:val="0"/>
                <w:sz w:val="16"/>
              </w:rPr>
              <w:t>Possible EDD / High risk</w:t>
            </w:r>
          </w:p>
        </w:tc>
      </w:tr>
    </w:tbl>
    <w:p/>
    <w:p>
      <w:r>
        <w:br w:type="page"/>
      </w:r>
    </w:p>
    <w:p>
      <w:pPr>
        <w:pStyle w:val="Heading1"/>
      </w:pPr>
      <w:r>
        <w:t>Appendix D — CDD RACI</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2592"/>
            <w:shd w:fill="17365D"/>
            <w:vAlign w:val="center"/>
            <w:tcMar>
              <w:top w:w="80" w:type="dxa"/>
              <w:start w:w="90" w:type="dxa"/>
              <w:bottom w:w="80" w:type="dxa"/>
              <w:end w:w="90" w:type="dxa"/>
            </w:tcMar>
          </w:tcPr>
          <w:p>
            <w:r>
              <w:rPr>
                <w:rFonts w:ascii="Aptos" w:hAnsi="Aptos"/>
                <w:b/>
                <w:color w:val="FFFFFF"/>
                <w:sz w:val="16"/>
              </w:rPr>
              <w:t>Activity</w:t>
            </w:r>
          </w:p>
        </w:tc>
        <w:tc>
          <w:tcPr>
            <w:tcW w:type="dxa" w:w="1440"/>
            <w:shd w:fill="17365D"/>
            <w:vAlign w:val="center"/>
            <w:tcMar>
              <w:top w:w="80" w:type="dxa"/>
              <w:start w:w="90" w:type="dxa"/>
              <w:bottom w:w="80" w:type="dxa"/>
              <w:end w:w="90" w:type="dxa"/>
            </w:tcMar>
          </w:tcPr>
          <w:p>
            <w:r>
              <w:rPr>
                <w:rFonts w:ascii="Aptos" w:hAnsi="Aptos"/>
                <w:b/>
                <w:color w:val="FFFFFF"/>
                <w:sz w:val="16"/>
              </w:rPr>
              <w:t>Business</w:t>
            </w:r>
          </w:p>
        </w:tc>
        <w:tc>
          <w:tcPr>
            <w:tcW w:type="dxa" w:w="1728"/>
            <w:shd w:fill="17365D"/>
            <w:vAlign w:val="center"/>
            <w:tcMar>
              <w:top w:w="80" w:type="dxa"/>
              <w:start w:w="90" w:type="dxa"/>
              <w:bottom w:w="80" w:type="dxa"/>
              <w:end w:w="90" w:type="dxa"/>
            </w:tcMar>
          </w:tcPr>
          <w:p>
            <w:r>
              <w:rPr>
                <w:rFonts w:ascii="Aptos" w:hAnsi="Aptos"/>
                <w:b/>
                <w:color w:val="FFFFFF"/>
                <w:sz w:val="16"/>
              </w:rPr>
              <w:t>KYC Ops</w:t>
            </w:r>
          </w:p>
        </w:tc>
        <w:tc>
          <w:tcPr>
            <w:tcW w:type="dxa" w:w="2016"/>
            <w:shd w:fill="17365D"/>
            <w:vAlign w:val="center"/>
            <w:tcMar>
              <w:top w:w="80" w:type="dxa"/>
              <w:start w:w="90" w:type="dxa"/>
              <w:bottom w:w="80" w:type="dxa"/>
              <w:end w:w="90" w:type="dxa"/>
            </w:tcMar>
          </w:tcPr>
          <w:p>
            <w:r>
              <w:rPr>
                <w:rFonts w:ascii="Aptos" w:hAnsi="Aptos"/>
                <w:b/>
                <w:color w:val="FFFFFF"/>
                <w:sz w:val="16"/>
              </w:rPr>
              <w:t>AML Compliance</w:t>
            </w:r>
          </w:p>
        </w:tc>
        <w:tc>
          <w:tcPr>
            <w:tcW w:type="dxa" w:w="1728"/>
            <w:shd w:fill="17365D"/>
            <w:vAlign w:val="center"/>
            <w:tcMar>
              <w:top w:w="80" w:type="dxa"/>
              <w:start w:w="90" w:type="dxa"/>
              <w:bottom w:w="80" w:type="dxa"/>
              <w:end w:w="90" w:type="dxa"/>
            </w:tcMar>
          </w:tcPr>
          <w:p>
            <w:r>
              <w:rPr>
                <w:rFonts w:ascii="Aptos" w:hAnsi="Aptos"/>
                <w:b/>
                <w:color w:val="FFFFFF"/>
                <w:sz w:val="16"/>
              </w:rPr>
              <w:t>Credit / Ops</w:t>
            </w:r>
          </w:p>
        </w:tc>
        <w:tc>
          <w:tcPr>
            <w:tcW w:type="dxa" w:w="1728"/>
            <w:shd w:fill="17365D"/>
            <w:vAlign w:val="center"/>
            <w:tcMar>
              <w:top w:w="80" w:type="dxa"/>
              <w:start w:w="90" w:type="dxa"/>
              <w:bottom w:w="80" w:type="dxa"/>
              <w:end w:w="90" w:type="dxa"/>
            </w:tcMar>
          </w:tcPr>
          <w:p>
            <w:r>
              <w:rPr>
                <w:rFonts w:ascii="Aptos" w:hAnsi="Aptos"/>
                <w:b/>
                <w:color w:val="FFFFFF"/>
                <w:sz w:val="16"/>
              </w:rPr>
              <w:t>Internal Audit</w:t>
            </w:r>
          </w:p>
        </w:tc>
      </w:tr>
      <w:tr>
        <w:tc>
          <w:tcPr>
            <w:tcW w:type="dxa" w:w="2592"/>
            <w:tcMar>
              <w:top w:w="80" w:type="dxa"/>
              <w:start w:w="90" w:type="dxa"/>
              <w:bottom w:w="80" w:type="dxa"/>
              <w:end w:w="90" w:type="dxa"/>
            </w:tcMar>
            <w:vAlign w:val="top"/>
          </w:tcPr>
          <w:p>
            <w:r>
              <w:rPr>
                <w:rFonts w:ascii="Aptos" w:hAnsi="Aptos"/>
                <w:b w:val="0"/>
                <w:sz w:val="16"/>
              </w:rPr>
              <w:t>Collect customer information</w:t>
            </w:r>
          </w:p>
        </w:tc>
        <w:tc>
          <w:tcPr>
            <w:tcW w:type="dxa" w:w="1440"/>
            <w:tcMar>
              <w:top w:w="80" w:type="dxa"/>
              <w:start w:w="90" w:type="dxa"/>
              <w:bottom w:w="80" w:type="dxa"/>
              <w:end w:w="90" w:type="dxa"/>
            </w:tcMar>
            <w:vAlign w:val="top"/>
          </w:tcPr>
          <w:p>
            <w:r>
              <w:rPr>
                <w:rFonts w:ascii="Aptos" w:hAnsi="Aptos"/>
                <w:b w:val="0"/>
                <w:sz w:val="16"/>
              </w:rPr>
              <w:t>R</w:t>
            </w:r>
          </w:p>
        </w:tc>
        <w:tc>
          <w:tcPr>
            <w:tcW w:type="dxa" w:w="1728"/>
            <w:tcMar>
              <w:top w:w="80" w:type="dxa"/>
              <w:start w:w="90" w:type="dxa"/>
              <w:bottom w:w="80" w:type="dxa"/>
              <w:end w:w="90" w:type="dxa"/>
            </w:tcMar>
            <w:vAlign w:val="top"/>
          </w:tcPr>
          <w:p>
            <w:r>
              <w:rPr>
                <w:rFonts w:ascii="Aptos" w:hAnsi="Aptos"/>
                <w:b w:val="0"/>
                <w:sz w:val="16"/>
              </w:rPr>
              <w:t>A/C</w:t>
            </w:r>
          </w:p>
        </w:tc>
        <w:tc>
          <w:tcPr>
            <w:tcW w:type="dxa" w:w="2016"/>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I</w:t>
            </w:r>
          </w:p>
        </w:tc>
      </w:tr>
      <w:tr>
        <w:tc>
          <w:tcPr>
            <w:tcW w:type="dxa" w:w="2592"/>
            <w:tcMar>
              <w:top w:w="80" w:type="dxa"/>
              <w:start w:w="90" w:type="dxa"/>
              <w:bottom w:w="80" w:type="dxa"/>
              <w:end w:w="90" w:type="dxa"/>
            </w:tcMar>
            <w:vAlign w:val="top"/>
            <w:shd w:fill="F7FAFC"/>
          </w:tcPr>
          <w:p>
            <w:r>
              <w:rPr>
                <w:rFonts w:ascii="Aptos" w:hAnsi="Aptos"/>
                <w:b w:val="0"/>
                <w:sz w:val="16"/>
              </w:rPr>
              <w:t>Identity verification</w:t>
            </w:r>
          </w:p>
        </w:tc>
        <w:tc>
          <w:tcPr>
            <w:tcW w:type="dxa" w:w="1440"/>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A/R</w:t>
            </w:r>
          </w:p>
        </w:tc>
        <w:tc>
          <w:tcPr>
            <w:tcW w:type="dxa" w:w="2016"/>
            <w:tcMar>
              <w:top w:w="80" w:type="dxa"/>
              <w:start w:w="90" w:type="dxa"/>
              <w:bottom w:w="80" w:type="dxa"/>
              <w:end w:w="90" w:type="dxa"/>
            </w:tcMar>
            <w:vAlign w:val="top"/>
            <w:shd w:fill="F7FAFC"/>
          </w:tcPr>
          <w:p>
            <w:r>
              <w:rPr>
                <w:rFonts w:ascii="Aptos" w:hAnsi="Aptos"/>
                <w:b w:val="0"/>
                <w:sz w:val="16"/>
              </w:rPr>
              <w:t>C</w:t>
            </w:r>
          </w:p>
        </w:tc>
        <w:tc>
          <w:tcPr>
            <w:tcW w:type="dxa" w:w="1728"/>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I</w:t>
            </w:r>
          </w:p>
        </w:tc>
      </w:tr>
      <w:tr>
        <w:tc>
          <w:tcPr>
            <w:tcW w:type="dxa" w:w="2592"/>
            <w:tcMar>
              <w:top w:w="80" w:type="dxa"/>
              <w:start w:w="90" w:type="dxa"/>
              <w:bottom w:w="80" w:type="dxa"/>
              <w:end w:w="90" w:type="dxa"/>
            </w:tcMar>
            <w:vAlign w:val="top"/>
          </w:tcPr>
          <w:p>
            <w:r>
              <w:rPr>
                <w:rFonts w:ascii="Aptos" w:hAnsi="Aptos"/>
                <w:b w:val="0"/>
                <w:sz w:val="16"/>
              </w:rPr>
              <w:t>Beneficial ownership</w:t>
            </w:r>
          </w:p>
        </w:tc>
        <w:tc>
          <w:tcPr>
            <w:tcW w:type="dxa" w:w="1440"/>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A/R</w:t>
            </w:r>
          </w:p>
        </w:tc>
        <w:tc>
          <w:tcPr>
            <w:tcW w:type="dxa" w:w="2016"/>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I</w:t>
            </w:r>
          </w:p>
        </w:tc>
        <w:tc>
          <w:tcPr>
            <w:tcW w:type="dxa" w:w="1728"/>
            <w:tcMar>
              <w:top w:w="80" w:type="dxa"/>
              <w:start w:w="90" w:type="dxa"/>
              <w:bottom w:w="80" w:type="dxa"/>
              <w:end w:w="90" w:type="dxa"/>
            </w:tcMar>
            <w:vAlign w:val="top"/>
          </w:tcPr>
          <w:p>
            <w:r>
              <w:rPr>
                <w:rFonts w:ascii="Aptos" w:hAnsi="Aptos"/>
                <w:b w:val="0"/>
                <w:sz w:val="16"/>
              </w:rPr>
              <w:t>I</w:t>
            </w:r>
          </w:p>
        </w:tc>
      </w:tr>
      <w:tr>
        <w:tc>
          <w:tcPr>
            <w:tcW w:type="dxa" w:w="2592"/>
            <w:tcMar>
              <w:top w:w="80" w:type="dxa"/>
              <w:start w:w="90" w:type="dxa"/>
              <w:bottom w:w="80" w:type="dxa"/>
              <w:end w:w="90" w:type="dxa"/>
            </w:tcMar>
            <w:vAlign w:val="top"/>
            <w:shd w:fill="F7FAFC"/>
          </w:tcPr>
          <w:p>
            <w:r>
              <w:rPr>
                <w:rFonts w:ascii="Aptos" w:hAnsi="Aptos"/>
                <w:b w:val="0"/>
                <w:sz w:val="16"/>
              </w:rPr>
              <w:t>PEP/sanctions specialist decision</w:t>
            </w:r>
          </w:p>
        </w:tc>
        <w:tc>
          <w:tcPr>
            <w:tcW w:type="dxa" w:w="1440"/>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R</w:t>
            </w:r>
          </w:p>
        </w:tc>
        <w:tc>
          <w:tcPr>
            <w:tcW w:type="dxa" w:w="2016"/>
            <w:tcMar>
              <w:top w:w="80" w:type="dxa"/>
              <w:start w:w="90" w:type="dxa"/>
              <w:bottom w:w="80" w:type="dxa"/>
              <w:end w:w="90" w:type="dxa"/>
            </w:tcMar>
            <w:vAlign w:val="top"/>
            <w:shd w:fill="F7FAFC"/>
          </w:tcPr>
          <w:p>
            <w:r>
              <w:rPr>
                <w:rFonts w:ascii="Aptos" w:hAnsi="Aptos"/>
                <w:b w:val="0"/>
                <w:sz w:val="16"/>
              </w:rPr>
              <w:t>A</w:t>
            </w:r>
          </w:p>
        </w:tc>
        <w:tc>
          <w:tcPr>
            <w:tcW w:type="dxa" w:w="1728"/>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I</w:t>
            </w:r>
          </w:p>
        </w:tc>
      </w:tr>
      <w:tr>
        <w:tc>
          <w:tcPr>
            <w:tcW w:type="dxa" w:w="2592"/>
            <w:tcMar>
              <w:top w:w="80" w:type="dxa"/>
              <w:start w:w="90" w:type="dxa"/>
              <w:bottom w:w="80" w:type="dxa"/>
              <w:end w:w="90" w:type="dxa"/>
            </w:tcMar>
            <w:vAlign w:val="top"/>
          </w:tcPr>
          <w:p>
            <w:r>
              <w:rPr>
                <w:rFonts w:ascii="Aptos" w:hAnsi="Aptos"/>
                <w:b w:val="0"/>
                <w:sz w:val="16"/>
              </w:rPr>
              <w:t>CDD risk tier</w:t>
            </w:r>
          </w:p>
        </w:tc>
        <w:tc>
          <w:tcPr>
            <w:tcW w:type="dxa" w:w="1440"/>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A/R</w:t>
            </w:r>
          </w:p>
        </w:tc>
        <w:tc>
          <w:tcPr>
            <w:tcW w:type="dxa" w:w="2016"/>
            <w:tcMar>
              <w:top w:w="80" w:type="dxa"/>
              <w:start w:w="90" w:type="dxa"/>
              <w:bottom w:w="80" w:type="dxa"/>
              <w:end w:w="90" w:type="dxa"/>
            </w:tcMar>
            <w:vAlign w:val="top"/>
          </w:tcPr>
          <w:p>
            <w:r>
              <w:rPr>
                <w:rFonts w:ascii="Aptos" w:hAnsi="Aptos"/>
                <w:b w:val="0"/>
                <w:sz w:val="16"/>
              </w:rPr>
              <w:t>C</w:t>
            </w:r>
          </w:p>
        </w:tc>
        <w:tc>
          <w:tcPr>
            <w:tcW w:type="dxa" w:w="1728"/>
            <w:tcMar>
              <w:top w:w="80" w:type="dxa"/>
              <w:start w:w="90" w:type="dxa"/>
              <w:bottom w:w="80" w:type="dxa"/>
              <w:end w:w="90" w:type="dxa"/>
            </w:tcMar>
            <w:vAlign w:val="top"/>
          </w:tcPr>
          <w:p>
            <w:r>
              <w:rPr>
                <w:rFonts w:ascii="Aptos" w:hAnsi="Aptos"/>
                <w:b w:val="0"/>
                <w:sz w:val="16"/>
              </w:rPr>
              <w:t>I</w:t>
            </w:r>
          </w:p>
        </w:tc>
        <w:tc>
          <w:tcPr>
            <w:tcW w:type="dxa" w:w="1728"/>
            <w:tcMar>
              <w:top w:w="80" w:type="dxa"/>
              <w:start w:w="90" w:type="dxa"/>
              <w:bottom w:w="80" w:type="dxa"/>
              <w:end w:w="90" w:type="dxa"/>
            </w:tcMar>
            <w:vAlign w:val="top"/>
          </w:tcPr>
          <w:p>
            <w:r>
              <w:rPr>
                <w:rFonts w:ascii="Aptos" w:hAnsi="Aptos"/>
                <w:b w:val="0"/>
                <w:sz w:val="16"/>
              </w:rPr>
              <w:t>I</w:t>
            </w:r>
          </w:p>
        </w:tc>
      </w:tr>
      <w:tr>
        <w:tc>
          <w:tcPr>
            <w:tcW w:type="dxa" w:w="2592"/>
            <w:tcMar>
              <w:top w:w="80" w:type="dxa"/>
              <w:start w:w="90" w:type="dxa"/>
              <w:bottom w:w="80" w:type="dxa"/>
              <w:end w:w="90" w:type="dxa"/>
            </w:tcMar>
            <w:vAlign w:val="top"/>
            <w:shd w:fill="F7FAFC"/>
          </w:tcPr>
          <w:p>
            <w:r>
              <w:rPr>
                <w:rFonts w:ascii="Aptos" w:hAnsi="Aptos"/>
                <w:b w:val="0"/>
                <w:sz w:val="16"/>
              </w:rPr>
              <w:t>AML customer risk</w:t>
            </w:r>
          </w:p>
        </w:tc>
        <w:tc>
          <w:tcPr>
            <w:tcW w:type="dxa" w:w="1440"/>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C</w:t>
            </w:r>
          </w:p>
        </w:tc>
        <w:tc>
          <w:tcPr>
            <w:tcW w:type="dxa" w:w="2016"/>
            <w:tcMar>
              <w:top w:w="80" w:type="dxa"/>
              <w:start w:w="90" w:type="dxa"/>
              <w:bottom w:w="80" w:type="dxa"/>
              <w:end w:w="90" w:type="dxa"/>
            </w:tcMar>
            <w:vAlign w:val="top"/>
            <w:shd w:fill="F7FAFC"/>
          </w:tcPr>
          <w:p>
            <w:r>
              <w:rPr>
                <w:rFonts w:ascii="Aptos" w:hAnsi="Aptos"/>
                <w:b w:val="0"/>
                <w:sz w:val="16"/>
              </w:rPr>
              <w:t>A/R</w:t>
            </w:r>
          </w:p>
        </w:tc>
        <w:tc>
          <w:tcPr>
            <w:tcW w:type="dxa" w:w="1728"/>
            <w:tcMar>
              <w:top w:w="80" w:type="dxa"/>
              <w:start w:w="90" w:type="dxa"/>
              <w:bottom w:w="80" w:type="dxa"/>
              <w:end w:w="90" w:type="dxa"/>
            </w:tcMar>
            <w:vAlign w:val="top"/>
            <w:shd w:fill="F7FAFC"/>
          </w:tcPr>
          <w:p>
            <w:r>
              <w:rPr>
                <w:rFonts w:ascii="Aptos" w:hAnsi="Aptos"/>
                <w:b w:val="0"/>
                <w:sz w:val="16"/>
              </w:rPr>
              <w:t>I</w:t>
            </w:r>
          </w:p>
        </w:tc>
        <w:tc>
          <w:tcPr>
            <w:tcW w:type="dxa" w:w="1728"/>
            <w:tcMar>
              <w:top w:w="80" w:type="dxa"/>
              <w:start w:w="90" w:type="dxa"/>
              <w:bottom w:w="80" w:type="dxa"/>
              <w:end w:w="90" w:type="dxa"/>
            </w:tcMar>
            <w:vAlign w:val="top"/>
            <w:shd w:fill="F7FAFC"/>
          </w:tcPr>
          <w:p>
            <w:r>
              <w:rPr>
                <w:rFonts w:ascii="Aptos" w:hAnsi="Aptos"/>
                <w:b w:val="0"/>
                <w:sz w:val="16"/>
              </w:rPr>
              <w:t>I</w:t>
            </w:r>
          </w:p>
        </w:tc>
      </w:tr>
      <w:tr>
        <w:tc>
          <w:tcPr>
            <w:tcW w:type="dxa" w:w="2592"/>
            <w:tcMar>
              <w:top w:w="80" w:type="dxa"/>
              <w:start w:w="90" w:type="dxa"/>
              <w:bottom w:w="80" w:type="dxa"/>
              <w:end w:w="90" w:type="dxa"/>
            </w:tcMar>
            <w:vAlign w:val="top"/>
          </w:tcPr>
          <w:p>
            <w:r>
              <w:rPr>
                <w:rFonts w:ascii="Aptos" w:hAnsi="Aptos"/>
                <w:b w:val="0"/>
                <w:sz w:val="16"/>
              </w:rPr>
              <w:t>Independent assurance</w:t>
            </w:r>
          </w:p>
        </w:tc>
        <w:tc>
          <w:tcPr>
            <w:tcW w:type="dxa" w:w="1440"/>
            <w:tcMar>
              <w:top w:w="80" w:type="dxa"/>
              <w:start w:w="90" w:type="dxa"/>
              <w:bottom w:w="80" w:type="dxa"/>
              <w:end w:w="90" w:type="dxa"/>
            </w:tcMar>
            <w:vAlign w:val="top"/>
          </w:tcPr>
          <w:p>
            <w:r>
              <w:rPr>
                <w:rFonts w:ascii="Aptos" w:hAnsi="Aptos"/>
                <w:b w:val="0"/>
                <w:sz w:val="16"/>
              </w:rPr>
              <w:t>I</w:t>
            </w:r>
          </w:p>
        </w:tc>
        <w:tc>
          <w:tcPr>
            <w:tcW w:type="dxa" w:w="1728"/>
            <w:tcMar>
              <w:top w:w="80" w:type="dxa"/>
              <w:start w:w="90" w:type="dxa"/>
              <w:bottom w:w="80" w:type="dxa"/>
              <w:end w:w="90" w:type="dxa"/>
            </w:tcMar>
            <w:vAlign w:val="top"/>
          </w:tcPr>
          <w:p>
            <w:r>
              <w:rPr>
                <w:rFonts w:ascii="Aptos" w:hAnsi="Aptos"/>
                <w:b w:val="0"/>
                <w:sz w:val="16"/>
              </w:rPr>
              <w:t>I</w:t>
            </w:r>
          </w:p>
        </w:tc>
        <w:tc>
          <w:tcPr>
            <w:tcW w:type="dxa" w:w="2016"/>
            <w:tcMar>
              <w:top w:w="80" w:type="dxa"/>
              <w:start w:w="90" w:type="dxa"/>
              <w:bottom w:w="80" w:type="dxa"/>
              <w:end w:w="90" w:type="dxa"/>
            </w:tcMar>
            <w:vAlign w:val="top"/>
          </w:tcPr>
          <w:p>
            <w:r>
              <w:rPr>
                <w:rFonts w:ascii="Aptos" w:hAnsi="Aptos"/>
                <w:b w:val="0"/>
                <w:sz w:val="16"/>
              </w:rPr>
              <w:t>I</w:t>
            </w:r>
          </w:p>
        </w:tc>
        <w:tc>
          <w:tcPr>
            <w:tcW w:type="dxa" w:w="1728"/>
            <w:tcMar>
              <w:top w:w="80" w:type="dxa"/>
              <w:start w:w="90" w:type="dxa"/>
              <w:bottom w:w="80" w:type="dxa"/>
              <w:end w:w="90" w:type="dxa"/>
            </w:tcMar>
            <w:vAlign w:val="top"/>
          </w:tcPr>
          <w:p>
            <w:r>
              <w:rPr>
                <w:rFonts w:ascii="Aptos" w:hAnsi="Aptos"/>
                <w:b w:val="0"/>
                <w:sz w:val="16"/>
              </w:rPr>
              <w:t>I</w:t>
            </w:r>
          </w:p>
        </w:tc>
        <w:tc>
          <w:tcPr>
            <w:tcW w:type="dxa" w:w="1728"/>
            <w:tcMar>
              <w:top w:w="80" w:type="dxa"/>
              <w:start w:w="90" w:type="dxa"/>
              <w:bottom w:w="80" w:type="dxa"/>
              <w:end w:w="90" w:type="dxa"/>
            </w:tcMar>
            <w:vAlign w:val="top"/>
          </w:tcPr>
          <w:p>
            <w:r>
              <w:rPr>
                <w:rFonts w:ascii="Aptos" w:hAnsi="Aptos"/>
                <w:b w:val="0"/>
                <w:sz w:val="16"/>
              </w:rPr>
              <w:t>A/R</w:t>
            </w:r>
          </w:p>
        </w:tc>
      </w:tr>
    </w:tbl>
    <w:p/>
    <w:p>
      <w:r>
        <w:br w:type="page"/>
      </w:r>
    </w:p>
    <w:p>
      <w:pPr>
        <w:pStyle w:val="Heading1"/>
      </w:pPr>
      <w:r>
        <w:t>Appendix E — Evidence Standards by Common CDD Scenario</w:t>
      </w:r>
    </w:p>
    <w:p>
      <w:r>
        <w:t>The following matrix is an internal guide to evidence depth. It is not an exhaustive checklist and does not replace risk-based judgment.</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592"/>
            <w:shd w:fill="17365D"/>
            <w:tcMar>
              <w:top w:w="70" w:type="dxa"/>
              <w:start w:w="80" w:type="dxa"/>
              <w:bottom w:w="70" w:type="dxa"/>
              <w:end w:w="80" w:type="dxa"/>
            </w:tcMar>
          </w:tcPr>
          <w:p>
            <w:r>
              <w:rPr>
                <w:rFonts w:ascii="Aptos" w:hAnsi="Aptos"/>
                <w:b/>
                <w:color w:val="FFFFFF"/>
                <w:sz w:val="16"/>
              </w:rPr>
              <w:t>Scenario</w:t>
            </w:r>
          </w:p>
        </w:tc>
        <w:tc>
          <w:tcPr>
            <w:tcW w:type="dxa" w:w="4896"/>
            <w:shd w:fill="17365D"/>
            <w:tcMar>
              <w:top w:w="70" w:type="dxa"/>
              <w:start w:w="80" w:type="dxa"/>
              <w:bottom w:w="70" w:type="dxa"/>
              <w:end w:w="80" w:type="dxa"/>
            </w:tcMar>
          </w:tcPr>
          <w:p>
            <w:r>
              <w:rPr>
                <w:rFonts w:ascii="Aptos" w:hAnsi="Aptos"/>
                <w:b/>
                <w:color w:val="FFFFFF"/>
                <w:sz w:val="16"/>
              </w:rPr>
              <w:t>Evidence Focus</w:t>
            </w:r>
          </w:p>
        </w:tc>
        <w:tc>
          <w:tcPr>
            <w:tcW w:type="dxa" w:w="2880"/>
            <w:shd w:fill="17365D"/>
            <w:tcMar>
              <w:top w:w="70" w:type="dxa"/>
              <w:start w:w="80" w:type="dxa"/>
              <w:bottom w:w="70" w:type="dxa"/>
              <w:end w:w="80" w:type="dxa"/>
            </w:tcMar>
          </w:tcPr>
          <w:p>
            <w:r>
              <w:rPr>
                <w:rFonts w:ascii="Aptos" w:hAnsi="Aptos"/>
                <w:b/>
                <w:color w:val="FFFFFF"/>
                <w:sz w:val="16"/>
              </w:rPr>
              <w:t>Control Interpretation</w:t>
            </w:r>
          </w:p>
        </w:tc>
      </w:tr>
      <w:tr>
        <w:tc>
          <w:tcPr>
            <w:tcW w:type="dxa" w:w="2592"/>
            <w:tcMar>
              <w:top w:w="70" w:type="dxa"/>
              <w:start w:w="80" w:type="dxa"/>
              <w:bottom w:w="70" w:type="dxa"/>
              <w:end w:w="80" w:type="dxa"/>
            </w:tcMar>
            <w:vAlign w:val="top"/>
          </w:tcPr>
          <w:p>
            <w:r>
              <w:rPr>
                <w:rFonts w:ascii="Aptos" w:hAnsi="Aptos"/>
                <w:b w:val="0"/>
                <w:sz w:val="16"/>
              </w:rPr>
              <w:t>Recent address change</w:t>
            </w:r>
          </w:p>
        </w:tc>
        <w:tc>
          <w:tcPr>
            <w:tcW w:type="dxa" w:w="4896"/>
            <w:tcMar>
              <w:top w:w="70" w:type="dxa"/>
              <w:start w:w="80" w:type="dxa"/>
              <w:bottom w:w="70" w:type="dxa"/>
              <w:end w:w="80" w:type="dxa"/>
            </w:tcMar>
            <w:vAlign w:val="top"/>
          </w:tcPr>
          <w:p>
            <w:r>
              <w:rPr>
                <w:rFonts w:ascii="Aptos" w:hAnsi="Aptos"/>
                <w:b w:val="0"/>
                <w:sz w:val="16"/>
              </w:rPr>
              <w:t>Current address evidence; reason for change; consistency with contact and transaction profile</w:t>
            </w:r>
          </w:p>
        </w:tc>
        <w:tc>
          <w:tcPr>
            <w:tcW w:type="dxa" w:w="2880"/>
            <w:tcMar>
              <w:top w:w="70" w:type="dxa"/>
              <w:start w:w="80" w:type="dxa"/>
              <w:bottom w:w="70" w:type="dxa"/>
              <w:end w:w="80" w:type="dxa"/>
            </w:tcMar>
            <w:vAlign w:val="top"/>
          </w:tcPr>
          <w:p>
            <w:r>
              <w:rPr>
                <w:rFonts w:ascii="Aptos" w:hAnsi="Aptos"/>
                <w:b w:val="0"/>
                <w:sz w:val="16"/>
              </w:rPr>
              <w:t>Do not treat old document as false merely because it is stale.</w:t>
            </w:r>
          </w:p>
        </w:tc>
      </w:tr>
      <w:tr>
        <w:tc>
          <w:tcPr>
            <w:tcW w:type="dxa" w:w="2592"/>
            <w:tcMar>
              <w:top w:w="70" w:type="dxa"/>
              <w:start w:w="80" w:type="dxa"/>
              <w:bottom w:w="70" w:type="dxa"/>
              <w:end w:w="80" w:type="dxa"/>
            </w:tcMar>
            <w:vAlign w:val="top"/>
            <w:shd w:fill="F7FAFC"/>
          </w:tcPr>
          <w:p>
            <w:r>
              <w:rPr>
                <w:rFonts w:ascii="Aptos" w:hAnsi="Aptos"/>
                <w:b w:val="0"/>
                <w:sz w:val="16"/>
              </w:rPr>
              <w:t>Name variation / initials</w:t>
            </w:r>
          </w:p>
        </w:tc>
        <w:tc>
          <w:tcPr>
            <w:tcW w:type="dxa" w:w="4896"/>
            <w:tcMar>
              <w:top w:w="70" w:type="dxa"/>
              <w:start w:w="80" w:type="dxa"/>
              <w:bottom w:w="70" w:type="dxa"/>
              <w:end w:w="80" w:type="dxa"/>
            </w:tcMar>
            <w:vAlign w:val="top"/>
            <w:shd w:fill="F7FAFC"/>
          </w:tcPr>
          <w:p>
            <w:r>
              <w:rPr>
                <w:rFonts w:ascii="Aptos" w:hAnsi="Aptos"/>
                <w:b w:val="0"/>
                <w:sz w:val="16"/>
              </w:rPr>
              <w:t>Identity document comparison; transliteration/alias evidence where applicable</w:t>
            </w:r>
          </w:p>
        </w:tc>
        <w:tc>
          <w:tcPr>
            <w:tcW w:type="dxa" w:w="2880"/>
            <w:tcMar>
              <w:top w:w="70" w:type="dxa"/>
              <w:start w:w="80" w:type="dxa"/>
              <w:bottom w:w="70" w:type="dxa"/>
              <w:end w:w="80" w:type="dxa"/>
            </w:tcMar>
            <w:vAlign w:val="top"/>
            <w:shd w:fill="F7FAFC"/>
          </w:tcPr>
          <w:p>
            <w:r>
              <w:rPr>
                <w:rFonts w:ascii="Aptos" w:hAnsi="Aptos"/>
                <w:b w:val="0"/>
                <w:sz w:val="16"/>
              </w:rPr>
              <w:t>Material unresolved identity mismatch requires escalation.</w:t>
            </w:r>
          </w:p>
        </w:tc>
      </w:tr>
      <w:tr>
        <w:tc>
          <w:tcPr>
            <w:tcW w:type="dxa" w:w="2592"/>
            <w:tcMar>
              <w:top w:w="70" w:type="dxa"/>
              <w:start w:w="80" w:type="dxa"/>
              <w:bottom w:w="70" w:type="dxa"/>
              <w:end w:w="80" w:type="dxa"/>
            </w:tcMar>
            <w:vAlign w:val="top"/>
          </w:tcPr>
          <w:p>
            <w:r>
              <w:rPr>
                <w:rFonts w:ascii="Aptos" w:hAnsi="Aptos"/>
                <w:b w:val="0"/>
                <w:sz w:val="16"/>
              </w:rPr>
              <w:t>Salaried customer with large one-off credit</w:t>
            </w:r>
          </w:p>
        </w:tc>
        <w:tc>
          <w:tcPr>
            <w:tcW w:type="dxa" w:w="4896"/>
            <w:tcMar>
              <w:top w:w="70" w:type="dxa"/>
              <w:start w:w="80" w:type="dxa"/>
              <w:bottom w:w="70" w:type="dxa"/>
              <w:end w:w="80" w:type="dxa"/>
            </w:tcMar>
            <w:vAlign w:val="top"/>
          </w:tcPr>
          <w:p>
            <w:r>
              <w:rPr>
                <w:rFonts w:ascii="Aptos" w:hAnsi="Aptos"/>
                <w:b w:val="0"/>
                <w:sz w:val="16"/>
              </w:rPr>
              <w:t>Salary profile plus evidence of one-off source</w:t>
            </w:r>
          </w:p>
        </w:tc>
        <w:tc>
          <w:tcPr>
            <w:tcW w:type="dxa" w:w="2880"/>
            <w:tcMar>
              <w:top w:w="70" w:type="dxa"/>
              <w:start w:w="80" w:type="dxa"/>
              <w:bottom w:w="70" w:type="dxa"/>
              <w:end w:w="80" w:type="dxa"/>
            </w:tcMar>
            <w:vAlign w:val="top"/>
          </w:tcPr>
          <w:p>
            <w:r>
              <w:rPr>
                <w:rFonts w:ascii="Aptos" w:hAnsi="Aptos"/>
                <w:b w:val="0"/>
                <w:sz w:val="16"/>
              </w:rPr>
              <w:t>SoF depth based on value and risk, not only product.</w:t>
            </w:r>
          </w:p>
        </w:tc>
      </w:tr>
      <w:tr>
        <w:tc>
          <w:tcPr>
            <w:tcW w:type="dxa" w:w="2592"/>
            <w:tcMar>
              <w:top w:w="70" w:type="dxa"/>
              <w:start w:w="80" w:type="dxa"/>
              <w:bottom w:w="70" w:type="dxa"/>
              <w:end w:w="80" w:type="dxa"/>
            </w:tcMar>
            <w:vAlign w:val="top"/>
            <w:shd w:fill="F7FAFC"/>
          </w:tcPr>
          <w:p>
            <w:r>
              <w:rPr>
                <w:rFonts w:ascii="Aptos" w:hAnsi="Aptos"/>
                <w:b w:val="0"/>
                <w:sz w:val="16"/>
              </w:rPr>
              <w:t>Self-employed professional</w:t>
            </w:r>
          </w:p>
        </w:tc>
        <w:tc>
          <w:tcPr>
            <w:tcW w:type="dxa" w:w="4896"/>
            <w:tcMar>
              <w:top w:w="70" w:type="dxa"/>
              <w:start w:w="80" w:type="dxa"/>
              <w:bottom w:w="70" w:type="dxa"/>
              <w:end w:w="80" w:type="dxa"/>
            </w:tcMar>
            <w:vAlign w:val="top"/>
            <w:shd w:fill="F7FAFC"/>
          </w:tcPr>
          <w:p>
            <w:r>
              <w:rPr>
                <w:rFonts w:ascii="Aptos" w:hAnsi="Aptos"/>
                <w:b w:val="0"/>
                <w:sz w:val="16"/>
              </w:rPr>
              <w:t>Professional activity, receipts, bank flows</w:t>
            </w:r>
          </w:p>
        </w:tc>
        <w:tc>
          <w:tcPr>
            <w:tcW w:type="dxa" w:w="2880"/>
            <w:tcMar>
              <w:top w:w="70" w:type="dxa"/>
              <w:start w:w="80" w:type="dxa"/>
              <w:bottom w:w="70" w:type="dxa"/>
              <w:end w:w="80" w:type="dxa"/>
            </w:tcMar>
            <w:vAlign w:val="top"/>
            <w:shd w:fill="F7FAFC"/>
          </w:tcPr>
          <w:p>
            <w:r>
              <w:rPr>
                <w:rFonts w:ascii="Aptos" w:hAnsi="Aptos"/>
                <w:b w:val="0"/>
                <w:sz w:val="16"/>
              </w:rPr>
              <w:t>Generic “consultant” description insufficient for elevated risk.</w:t>
            </w:r>
          </w:p>
        </w:tc>
      </w:tr>
      <w:tr>
        <w:tc>
          <w:tcPr>
            <w:tcW w:type="dxa" w:w="2592"/>
            <w:tcMar>
              <w:top w:w="70" w:type="dxa"/>
              <w:start w:w="80" w:type="dxa"/>
              <w:bottom w:w="70" w:type="dxa"/>
              <w:end w:w="80" w:type="dxa"/>
            </w:tcMar>
            <w:vAlign w:val="top"/>
          </w:tcPr>
          <w:p>
            <w:r>
              <w:rPr>
                <w:rFonts w:ascii="Aptos" w:hAnsi="Aptos"/>
                <w:b w:val="0"/>
                <w:sz w:val="16"/>
              </w:rPr>
              <w:t>Cash-intensive SME</w:t>
            </w:r>
          </w:p>
        </w:tc>
        <w:tc>
          <w:tcPr>
            <w:tcW w:type="dxa" w:w="4896"/>
            <w:tcMar>
              <w:top w:w="70" w:type="dxa"/>
              <w:start w:w="80" w:type="dxa"/>
              <w:bottom w:w="70" w:type="dxa"/>
              <w:end w:w="80" w:type="dxa"/>
            </w:tcMar>
            <w:vAlign w:val="top"/>
          </w:tcPr>
          <w:p>
            <w:r>
              <w:rPr>
                <w:rFonts w:ascii="Aptos" w:hAnsi="Aptos"/>
                <w:b w:val="0"/>
                <w:sz w:val="16"/>
              </w:rPr>
              <w:t>Business model, cash sources, suppliers/customers, tax/financial evidence as appropriate</w:t>
            </w:r>
          </w:p>
        </w:tc>
        <w:tc>
          <w:tcPr>
            <w:tcW w:type="dxa" w:w="2880"/>
            <w:tcMar>
              <w:top w:w="70" w:type="dxa"/>
              <w:start w:w="80" w:type="dxa"/>
              <w:bottom w:w="70" w:type="dxa"/>
              <w:end w:w="80" w:type="dxa"/>
            </w:tcMar>
            <w:vAlign w:val="top"/>
          </w:tcPr>
          <w:p>
            <w:r>
              <w:rPr>
                <w:rFonts w:ascii="Aptos" w:hAnsi="Aptos"/>
                <w:b w:val="0"/>
                <w:sz w:val="16"/>
              </w:rPr>
              <w:t>Expected cash activity must be specific enough for monitoring.</w:t>
            </w:r>
          </w:p>
        </w:tc>
      </w:tr>
      <w:tr>
        <w:tc>
          <w:tcPr>
            <w:tcW w:type="dxa" w:w="2592"/>
            <w:tcMar>
              <w:top w:w="70" w:type="dxa"/>
              <w:start w:w="80" w:type="dxa"/>
              <w:bottom w:w="70" w:type="dxa"/>
              <w:end w:w="80" w:type="dxa"/>
            </w:tcMar>
            <w:vAlign w:val="top"/>
            <w:shd w:fill="F7FAFC"/>
          </w:tcPr>
          <w:p>
            <w:r>
              <w:rPr>
                <w:rFonts w:ascii="Aptos" w:hAnsi="Aptos"/>
                <w:b w:val="0"/>
                <w:sz w:val="16"/>
              </w:rPr>
              <w:t>New company with little history</w:t>
            </w:r>
          </w:p>
        </w:tc>
        <w:tc>
          <w:tcPr>
            <w:tcW w:type="dxa" w:w="4896"/>
            <w:tcMar>
              <w:top w:w="70" w:type="dxa"/>
              <w:start w:w="80" w:type="dxa"/>
              <w:bottom w:w="70" w:type="dxa"/>
              <w:end w:w="80" w:type="dxa"/>
            </w:tcMar>
            <w:vAlign w:val="top"/>
            <w:shd w:fill="F7FAFC"/>
          </w:tcPr>
          <w:p>
            <w:r>
              <w:rPr>
                <w:rFonts w:ascii="Aptos" w:hAnsi="Aptos"/>
                <w:b w:val="0"/>
                <w:sz w:val="16"/>
              </w:rPr>
              <w:t>Formation evidence, owners/controllers, business plan/contracts where credible</w:t>
            </w:r>
          </w:p>
        </w:tc>
        <w:tc>
          <w:tcPr>
            <w:tcW w:type="dxa" w:w="2880"/>
            <w:tcMar>
              <w:top w:w="70" w:type="dxa"/>
              <w:start w:w="80" w:type="dxa"/>
              <w:bottom w:w="70" w:type="dxa"/>
              <w:end w:w="80" w:type="dxa"/>
            </w:tcMar>
            <w:vAlign w:val="top"/>
            <w:shd w:fill="F7FAFC"/>
          </w:tcPr>
          <w:p>
            <w:r>
              <w:rPr>
                <w:rFonts w:ascii="Aptos" w:hAnsi="Aptos"/>
                <w:b w:val="0"/>
                <w:sz w:val="16"/>
              </w:rPr>
              <w:t>Newness alone is not adverse; opacity is.</w:t>
            </w:r>
          </w:p>
        </w:tc>
      </w:tr>
      <w:tr>
        <w:tc>
          <w:tcPr>
            <w:tcW w:type="dxa" w:w="2592"/>
            <w:tcMar>
              <w:top w:w="70" w:type="dxa"/>
              <w:start w:w="80" w:type="dxa"/>
              <w:bottom w:w="70" w:type="dxa"/>
              <w:end w:w="80" w:type="dxa"/>
            </w:tcMar>
            <w:vAlign w:val="top"/>
          </w:tcPr>
          <w:p>
            <w:r>
              <w:rPr>
                <w:rFonts w:ascii="Aptos" w:hAnsi="Aptos"/>
                <w:b w:val="0"/>
                <w:sz w:val="16"/>
              </w:rPr>
              <w:t>Family-owned company</w:t>
            </w:r>
          </w:p>
        </w:tc>
        <w:tc>
          <w:tcPr>
            <w:tcW w:type="dxa" w:w="4896"/>
            <w:tcMar>
              <w:top w:w="70" w:type="dxa"/>
              <w:start w:w="80" w:type="dxa"/>
              <w:bottom w:w="70" w:type="dxa"/>
              <w:end w:w="80" w:type="dxa"/>
            </w:tcMar>
            <w:vAlign w:val="top"/>
          </w:tcPr>
          <w:p>
            <w:r>
              <w:rPr>
                <w:rFonts w:ascii="Aptos" w:hAnsi="Aptos"/>
                <w:b w:val="0"/>
                <w:sz w:val="16"/>
              </w:rPr>
              <w:t>Shareholding and control; family relationships where relevant</w:t>
            </w:r>
          </w:p>
        </w:tc>
        <w:tc>
          <w:tcPr>
            <w:tcW w:type="dxa" w:w="2880"/>
            <w:tcMar>
              <w:top w:w="70" w:type="dxa"/>
              <w:start w:w="80" w:type="dxa"/>
              <w:bottom w:w="70" w:type="dxa"/>
              <w:end w:w="80" w:type="dxa"/>
            </w:tcMar>
            <w:vAlign w:val="top"/>
          </w:tcPr>
          <w:p>
            <w:r>
              <w:rPr>
                <w:rFonts w:ascii="Aptos" w:hAnsi="Aptos"/>
                <w:b w:val="0"/>
                <w:sz w:val="16"/>
              </w:rPr>
              <w:t>Control may differ from percentage ownership.</w:t>
            </w:r>
          </w:p>
        </w:tc>
      </w:tr>
      <w:tr>
        <w:tc>
          <w:tcPr>
            <w:tcW w:type="dxa" w:w="2592"/>
            <w:tcMar>
              <w:top w:w="70" w:type="dxa"/>
              <w:start w:w="80" w:type="dxa"/>
              <w:bottom w:w="70" w:type="dxa"/>
              <w:end w:w="80" w:type="dxa"/>
            </w:tcMar>
            <w:vAlign w:val="top"/>
            <w:shd w:fill="F7FAFC"/>
          </w:tcPr>
          <w:p>
            <w:r>
              <w:rPr>
                <w:rFonts w:ascii="Aptos" w:hAnsi="Aptos"/>
                <w:b w:val="0"/>
                <w:sz w:val="16"/>
              </w:rPr>
              <w:t>Trust customer</w:t>
            </w:r>
          </w:p>
        </w:tc>
        <w:tc>
          <w:tcPr>
            <w:tcW w:type="dxa" w:w="4896"/>
            <w:tcMar>
              <w:top w:w="70" w:type="dxa"/>
              <w:start w:w="80" w:type="dxa"/>
              <w:bottom w:w="70" w:type="dxa"/>
              <w:end w:w="80" w:type="dxa"/>
            </w:tcMar>
            <w:vAlign w:val="top"/>
            <w:shd w:fill="F7FAFC"/>
          </w:tcPr>
          <w:p>
            <w:r>
              <w:rPr>
                <w:rFonts w:ascii="Aptos" w:hAnsi="Aptos"/>
                <w:b w:val="0"/>
                <w:sz w:val="16"/>
              </w:rPr>
              <w:t>Settlor, trustees, protector, beneficiaries/classes, purpose and asset source</w:t>
            </w:r>
          </w:p>
        </w:tc>
        <w:tc>
          <w:tcPr>
            <w:tcW w:type="dxa" w:w="2880"/>
            <w:tcMar>
              <w:top w:w="70" w:type="dxa"/>
              <w:start w:w="80" w:type="dxa"/>
              <w:bottom w:w="70" w:type="dxa"/>
              <w:end w:w="80" w:type="dxa"/>
            </w:tcMar>
            <w:vAlign w:val="top"/>
            <w:shd w:fill="F7FAFC"/>
          </w:tcPr>
          <w:p>
            <w:r>
              <w:rPr>
                <w:rFonts w:ascii="Aptos" w:hAnsi="Aptos"/>
                <w:b w:val="0"/>
                <w:sz w:val="16"/>
              </w:rPr>
              <w:t>EDD where control or beneficiary class remains unclear.</w:t>
            </w:r>
          </w:p>
        </w:tc>
      </w:tr>
      <w:tr>
        <w:tc>
          <w:tcPr>
            <w:tcW w:type="dxa" w:w="2592"/>
            <w:tcMar>
              <w:top w:w="70" w:type="dxa"/>
              <w:start w:w="80" w:type="dxa"/>
              <w:bottom w:w="70" w:type="dxa"/>
              <w:end w:w="80" w:type="dxa"/>
            </w:tcMar>
            <w:vAlign w:val="top"/>
          </w:tcPr>
          <w:p>
            <w:r>
              <w:rPr>
                <w:rFonts w:ascii="Aptos" w:hAnsi="Aptos"/>
                <w:b w:val="0"/>
                <w:sz w:val="16"/>
              </w:rPr>
              <w:t>Foreign-owned entity</w:t>
            </w:r>
          </w:p>
        </w:tc>
        <w:tc>
          <w:tcPr>
            <w:tcW w:type="dxa" w:w="4896"/>
            <w:tcMar>
              <w:top w:w="70" w:type="dxa"/>
              <w:start w:w="80" w:type="dxa"/>
              <w:bottom w:w="70" w:type="dxa"/>
              <w:end w:w="80" w:type="dxa"/>
            </w:tcMar>
            <w:vAlign w:val="top"/>
          </w:tcPr>
          <w:p>
            <w:r>
              <w:rPr>
                <w:rFonts w:ascii="Aptos" w:hAnsi="Aptos"/>
                <w:b w:val="0"/>
                <w:sz w:val="16"/>
              </w:rPr>
              <w:t>Ownership chain, operating purpose, jurisdictions and fund flows</w:t>
            </w:r>
          </w:p>
        </w:tc>
        <w:tc>
          <w:tcPr>
            <w:tcW w:type="dxa" w:w="2880"/>
            <w:tcMar>
              <w:top w:w="70" w:type="dxa"/>
              <w:start w:w="80" w:type="dxa"/>
              <w:bottom w:w="70" w:type="dxa"/>
              <w:end w:w="80" w:type="dxa"/>
            </w:tcMar>
            <w:vAlign w:val="top"/>
          </w:tcPr>
          <w:p>
            <w:r>
              <w:rPr>
                <w:rFonts w:ascii="Aptos" w:hAnsi="Aptos"/>
                <w:b w:val="0"/>
                <w:sz w:val="16"/>
              </w:rPr>
              <w:t>Apply geography risk by materiality.</w:t>
            </w:r>
          </w:p>
        </w:tc>
      </w:tr>
      <w:tr>
        <w:tc>
          <w:tcPr>
            <w:tcW w:type="dxa" w:w="2592"/>
            <w:tcMar>
              <w:top w:w="70" w:type="dxa"/>
              <w:start w:w="80" w:type="dxa"/>
              <w:bottom w:w="70" w:type="dxa"/>
              <w:end w:w="80" w:type="dxa"/>
            </w:tcMar>
            <w:vAlign w:val="top"/>
            <w:shd w:fill="F7FAFC"/>
          </w:tcPr>
          <w:p>
            <w:r>
              <w:rPr>
                <w:rFonts w:ascii="Aptos" w:hAnsi="Aptos"/>
                <w:b w:val="0"/>
                <w:sz w:val="16"/>
              </w:rPr>
              <w:t>Introduced customer</w:t>
            </w:r>
          </w:p>
        </w:tc>
        <w:tc>
          <w:tcPr>
            <w:tcW w:type="dxa" w:w="4896"/>
            <w:tcMar>
              <w:top w:w="70" w:type="dxa"/>
              <w:start w:w="80" w:type="dxa"/>
              <w:bottom w:w="70" w:type="dxa"/>
              <w:end w:w="80" w:type="dxa"/>
            </w:tcMar>
            <w:vAlign w:val="top"/>
            <w:shd w:fill="F7FAFC"/>
          </w:tcPr>
          <w:p>
            <w:r>
              <w:rPr>
                <w:rFonts w:ascii="Aptos" w:hAnsi="Aptos"/>
                <w:b w:val="0"/>
                <w:sz w:val="16"/>
              </w:rPr>
              <w:t>Northstar independent verification plus introducer information</w:t>
            </w:r>
          </w:p>
        </w:tc>
        <w:tc>
          <w:tcPr>
            <w:tcW w:type="dxa" w:w="2880"/>
            <w:tcMar>
              <w:top w:w="70" w:type="dxa"/>
              <w:start w:w="80" w:type="dxa"/>
              <w:bottom w:w="70" w:type="dxa"/>
              <w:end w:w="80" w:type="dxa"/>
            </w:tcMar>
            <w:vAlign w:val="top"/>
            <w:shd w:fill="F7FAFC"/>
          </w:tcPr>
          <w:p>
            <w:r>
              <w:rPr>
                <w:rFonts w:ascii="Aptos" w:hAnsi="Aptos"/>
                <w:b w:val="0"/>
                <w:sz w:val="16"/>
              </w:rPr>
              <w:t>Introducer does not own Northstar CDD decision.</w:t>
            </w:r>
          </w:p>
        </w:tc>
      </w:tr>
      <w:tr>
        <w:tc>
          <w:tcPr>
            <w:tcW w:type="dxa" w:w="2592"/>
            <w:tcMar>
              <w:top w:w="70" w:type="dxa"/>
              <w:start w:w="80" w:type="dxa"/>
              <w:bottom w:w="70" w:type="dxa"/>
              <w:end w:w="80" w:type="dxa"/>
            </w:tcMar>
            <w:vAlign w:val="top"/>
          </w:tcPr>
          <w:p>
            <w:r>
              <w:rPr>
                <w:rFonts w:ascii="Aptos" w:hAnsi="Aptos"/>
                <w:b w:val="0"/>
                <w:sz w:val="16"/>
              </w:rPr>
              <w:t>Dormant relationship reactivated</w:t>
            </w:r>
          </w:p>
        </w:tc>
        <w:tc>
          <w:tcPr>
            <w:tcW w:type="dxa" w:w="4896"/>
            <w:tcMar>
              <w:top w:w="70" w:type="dxa"/>
              <w:start w:w="80" w:type="dxa"/>
              <w:bottom w:w="70" w:type="dxa"/>
              <w:end w:w="80" w:type="dxa"/>
            </w:tcMar>
            <w:vAlign w:val="top"/>
          </w:tcPr>
          <w:p>
            <w:r>
              <w:rPr>
                <w:rFonts w:ascii="Aptos" w:hAnsi="Aptos"/>
                <w:b w:val="0"/>
                <w:sz w:val="16"/>
              </w:rPr>
              <w:t>Identity/contact currency, purpose, expected activity and risk refresh</w:t>
            </w:r>
          </w:p>
        </w:tc>
        <w:tc>
          <w:tcPr>
            <w:tcW w:type="dxa" w:w="2880"/>
            <w:tcMar>
              <w:top w:w="70" w:type="dxa"/>
              <w:start w:w="80" w:type="dxa"/>
              <w:bottom w:w="70" w:type="dxa"/>
              <w:end w:w="80" w:type="dxa"/>
            </w:tcMar>
            <w:vAlign w:val="top"/>
          </w:tcPr>
          <w:p>
            <w:r>
              <w:rPr>
                <w:rFonts w:ascii="Aptos" w:hAnsi="Aptos"/>
                <w:b w:val="0"/>
                <w:sz w:val="16"/>
              </w:rPr>
              <w:t>Significant reactivation may require EDD.</w:t>
            </w:r>
          </w:p>
        </w:tc>
      </w:tr>
      <w:tr>
        <w:tc>
          <w:tcPr>
            <w:tcW w:type="dxa" w:w="2592"/>
            <w:tcMar>
              <w:top w:w="70" w:type="dxa"/>
              <w:start w:w="80" w:type="dxa"/>
              <w:bottom w:w="70" w:type="dxa"/>
              <w:end w:w="80" w:type="dxa"/>
            </w:tcMar>
            <w:vAlign w:val="top"/>
            <w:shd w:fill="F7FAFC"/>
          </w:tcPr>
          <w:p>
            <w:r>
              <w:rPr>
                <w:rFonts w:ascii="Aptos" w:hAnsi="Aptos"/>
                <w:b w:val="0"/>
                <w:sz w:val="16"/>
              </w:rPr>
              <w:t>Customer with repeated alerts</w:t>
            </w:r>
          </w:p>
        </w:tc>
        <w:tc>
          <w:tcPr>
            <w:tcW w:type="dxa" w:w="4896"/>
            <w:tcMar>
              <w:top w:w="70" w:type="dxa"/>
              <w:start w:w="80" w:type="dxa"/>
              <w:bottom w:w="70" w:type="dxa"/>
              <w:end w:w="80" w:type="dxa"/>
            </w:tcMar>
            <w:vAlign w:val="top"/>
            <w:shd w:fill="F7FAFC"/>
          </w:tcPr>
          <w:p>
            <w:r>
              <w:rPr>
                <w:rFonts w:ascii="Aptos" w:hAnsi="Aptos"/>
                <w:b w:val="0"/>
                <w:sz w:val="16"/>
              </w:rPr>
              <w:t>Review prior outcomes, profile, SoF/SoW and rating</w:t>
            </w:r>
          </w:p>
        </w:tc>
        <w:tc>
          <w:tcPr>
            <w:tcW w:type="dxa" w:w="2880"/>
            <w:tcMar>
              <w:top w:w="70" w:type="dxa"/>
              <w:start w:w="80" w:type="dxa"/>
              <w:bottom w:w="70" w:type="dxa"/>
              <w:end w:w="80" w:type="dxa"/>
            </w:tcMar>
            <w:vAlign w:val="top"/>
            <w:shd w:fill="F7FAFC"/>
          </w:tcPr>
          <w:p>
            <w:r>
              <w:rPr>
                <w:rFonts w:ascii="Aptos" w:hAnsi="Aptos"/>
                <w:b w:val="0"/>
                <w:sz w:val="16"/>
              </w:rPr>
              <w:t>Do not close repeat alerts solely by citing old explanation.</w:t>
            </w:r>
          </w:p>
        </w:tc>
      </w:tr>
      <w:tr>
        <w:tc>
          <w:tcPr>
            <w:tcW w:type="dxa" w:w="2592"/>
            <w:tcMar>
              <w:top w:w="70" w:type="dxa"/>
              <w:start w:w="80" w:type="dxa"/>
              <w:bottom w:w="70" w:type="dxa"/>
              <w:end w:w="80" w:type="dxa"/>
            </w:tcMar>
            <w:vAlign w:val="top"/>
          </w:tcPr>
          <w:p>
            <w:r>
              <w:rPr>
                <w:rFonts w:ascii="Aptos" w:hAnsi="Aptos"/>
                <w:b w:val="0"/>
                <w:sz w:val="16"/>
              </w:rPr>
              <w:t>Minor beneficial owner change</w:t>
            </w:r>
          </w:p>
        </w:tc>
        <w:tc>
          <w:tcPr>
            <w:tcW w:type="dxa" w:w="4896"/>
            <w:tcMar>
              <w:top w:w="70" w:type="dxa"/>
              <w:start w:w="80" w:type="dxa"/>
              <w:bottom w:w="70" w:type="dxa"/>
              <w:end w:w="80" w:type="dxa"/>
            </w:tcMar>
            <w:vAlign w:val="top"/>
          </w:tcPr>
          <w:p>
            <w:r>
              <w:rPr>
                <w:rFonts w:ascii="Aptos" w:hAnsi="Aptos"/>
                <w:b w:val="0"/>
                <w:sz w:val="16"/>
              </w:rPr>
              <w:t>Updated ownership and screening of affected persons</w:t>
            </w:r>
          </w:p>
        </w:tc>
        <w:tc>
          <w:tcPr>
            <w:tcW w:type="dxa" w:w="2880"/>
            <w:tcMar>
              <w:top w:w="70" w:type="dxa"/>
              <w:start w:w="80" w:type="dxa"/>
              <w:bottom w:w="70" w:type="dxa"/>
              <w:end w:w="80" w:type="dxa"/>
            </w:tcMar>
            <w:vAlign w:val="top"/>
          </w:tcPr>
          <w:p>
            <w:r>
              <w:rPr>
                <w:rFonts w:ascii="Aptos" w:hAnsi="Aptos"/>
                <w:b w:val="0"/>
                <w:sz w:val="16"/>
              </w:rPr>
              <w:t>Assess whether control changes even if percentage change is small.</w:t>
            </w:r>
          </w:p>
        </w:tc>
      </w:tr>
      <w:tr>
        <w:tc>
          <w:tcPr>
            <w:tcW w:type="dxa" w:w="2592"/>
            <w:tcMar>
              <w:top w:w="70" w:type="dxa"/>
              <w:start w:w="80" w:type="dxa"/>
              <w:bottom w:w="70" w:type="dxa"/>
              <w:end w:w="80" w:type="dxa"/>
            </w:tcMar>
            <w:vAlign w:val="top"/>
            <w:shd w:fill="F7FAFC"/>
          </w:tcPr>
          <w:p>
            <w:r>
              <w:rPr>
                <w:rFonts w:ascii="Aptos" w:hAnsi="Aptos"/>
                <w:b w:val="0"/>
                <w:sz w:val="16"/>
              </w:rPr>
              <w:t>Director change without ownership change</w:t>
            </w:r>
          </w:p>
        </w:tc>
        <w:tc>
          <w:tcPr>
            <w:tcW w:type="dxa" w:w="4896"/>
            <w:tcMar>
              <w:top w:w="70" w:type="dxa"/>
              <w:start w:w="80" w:type="dxa"/>
              <w:bottom w:w="70" w:type="dxa"/>
              <w:end w:w="80" w:type="dxa"/>
            </w:tcMar>
            <w:vAlign w:val="top"/>
            <w:shd w:fill="F7FAFC"/>
          </w:tcPr>
          <w:p>
            <w:r>
              <w:rPr>
                <w:rFonts w:ascii="Aptos" w:hAnsi="Aptos"/>
                <w:b w:val="0"/>
                <w:sz w:val="16"/>
              </w:rPr>
              <w:t>Verify new controller/authorized person; screening</w:t>
            </w:r>
          </w:p>
        </w:tc>
        <w:tc>
          <w:tcPr>
            <w:tcW w:type="dxa" w:w="2880"/>
            <w:tcMar>
              <w:top w:w="70" w:type="dxa"/>
              <w:start w:w="80" w:type="dxa"/>
              <w:bottom w:w="70" w:type="dxa"/>
              <w:end w:w="80" w:type="dxa"/>
            </w:tcMar>
            <w:vAlign w:val="top"/>
            <w:shd w:fill="F7FAFC"/>
          </w:tcPr>
          <w:p>
            <w:r>
              <w:rPr>
                <w:rFonts w:ascii="Aptos" w:hAnsi="Aptos"/>
                <w:b w:val="0"/>
                <w:sz w:val="16"/>
              </w:rPr>
              <w:t>May be trigger event without changing beneficial ownership.</w:t>
            </w:r>
          </w:p>
        </w:tc>
      </w:tr>
      <w:tr>
        <w:tc>
          <w:tcPr>
            <w:tcW w:type="dxa" w:w="2592"/>
            <w:tcMar>
              <w:top w:w="70" w:type="dxa"/>
              <w:start w:w="80" w:type="dxa"/>
              <w:bottom w:w="70" w:type="dxa"/>
              <w:end w:w="80" w:type="dxa"/>
            </w:tcMar>
            <w:vAlign w:val="top"/>
          </w:tcPr>
          <w:p>
            <w:r>
              <w:rPr>
                <w:rFonts w:ascii="Aptos" w:hAnsi="Aptos"/>
                <w:b w:val="0"/>
                <w:sz w:val="16"/>
              </w:rPr>
              <w:t>Third-party repayment/funding</w:t>
            </w:r>
          </w:p>
        </w:tc>
        <w:tc>
          <w:tcPr>
            <w:tcW w:type="dxa" w:w="4896"/>
            <w:tcMar>
              <w:top w:w="70" w:type="dxa"/>
              <w:start w:w="80" w:type="dxa"/>
              <w:bottom w:w="70" w:type="dxa"/>
              <w:end w:w="80" w:type="dxa"/>
            </w:tcMar>
            <w:vAlign w:val="top"/>
          </w:tcPr>
          <w:p>
            <w:r>
              <w:rPr>
                <w:rFonts w:ascii="Aptos" w:hAnsi="Aptos"/>
                <w:b w:val="0"/>
                <w:sz w:val="16"/>
              </w:rPr>
              <w:t>Relationship, economic purpose and source</w:t>
            </w:r>
          </w:p>
        </w:tc>
        <w:tc>
          <w:tcPr>
            <w:tcW w:type="dxa" w:w="2880"/>
            <w:tcMar>
              <w:top w:w="70" w:type="dxa"/>
              <w:start w:w="80" w:type="dxa"/>
              <w:bottom w:w="70" w:type="dxa"/>
              <w:end w:w="80" w:type="dxa"/>
            </w:tcMar>
            <w:vAlign w:val="top"/>
          </w:tcPr>
          <w:p>
            <w:r>
              <w:rPr>
                <w:rFonts w:ascii="Aptos" w:hAnsi="Aptos"/>
                <w:b w:val="0"/>
                <w:sz w:val="16"/>
              </w:rPr>
              <w:t>Escalate if unrelated/unexplained or rapid pass-through.</w:t>
            </w:r>
          </w:p>
        </w:tc>
      </w:tr>
      <w:tr>
        <w:tc>
          <w:tcPr>
            <w:tcW w:type="dxa" w:w="2592"/>
            <w:tcMar>
              <w:top w:w="70" w:type="dxa"/>
              <w:start w:w="80" w:type="dxa"/>
              <w:bottom w:w="70" w:type="dxa"/>
              <w:end w:w="80" w:type="dxa"/>
            </w:tcMar>
            <w:vAlign w:val="top"/>
            <w:shd w:fill="F7FAFC"/>
          </w:tcPr>
          <w:p>
            <w:r>
              <w:rPr>
                <w:rFonts w:ascii="Aptos" w:hAnsi="Aptos"/>
                <w:b w:val="0"/>
                <w:sz w:val="16"/>
              </w:rPr>
              <w:t>High-value investment redemption</w:t>
            </w:r>
          </w:p>
        </w:tc>
        <w:tc>
          <w:tcPr>
            <w:tcW w:type="dxa" w:w="4896"/>
            <w:tcMar>
              <w:top w:w="70" w:type="dxa"/>
              <w:start w:w="80" w:type="dxa"/>
              <w:bottom w:w="70" w:type="dxa"/>
              <w:end w:w="80" w:type="dxa"/>
            </w:tcMar>
            <w:vAlign w:val="top"/>
            <w:shd w:fill="F7FAFC"/>
          </w:tcPr>
          <w:p>
            <w:r>
              <w:rPr>
                <w:rFonts w:ascii="Aptos" w:hAnsi="Aptos"/>
                <w:b w:val="0"/>
                <w:sz w:val="16"/>
              </w:rPr>
              <w:t>Custodian/broker evidence and destination/purpose</w:t>
            </w:r>
          </w:p>
        </w:tc>
        <w:tc>
          <w:tcPr>
            <w:tcW w:type="dxa" w:w="2880"/>
            <w:tcMar>
              <w:top w:w="70" w:type="dxa"/>
              <w:start w:w="80" w:type="dxa"/>
              <w:bottom w:w="70" w:type="dxa"/>
              <w:end w:w="80" w:type="dxa"/>
            </w:tcMar>
            <w:vAlign w:val="top"/>
            <w:shd w:fill="F7FAFC"/>
          </w:tcPr>
          <w:p>
            <w:r>
              <w:rPr>
                <w:rFonts w:ascii="Aptos" w:hAnsi="Aptos"/>
                <w:b w:val="0"/>
                <w:sz w:val="16"/>
              </w:rPr>
              <w:t>Consider SoW only if overall wealth is material to risk.</w:t>
            </w:r>
          </w:p>
        </w:tc>
      </w:tr>
      <w:tr>
        <w:tc>
          <w:tcPr>
            <w:tcW w:type="dxa" w:w="2592"/>
            <w:tcMar>
              <w:top w:w="70" w:type="dxa"/>
              <w:start w:w="80" w:type="dxa"/>
              <w:bottom w:w="70" w:type="dxa"/>
              <w:end w:w="80" w:type="dxa"/>
            </w:tcMar>
            <w:vAlign w:val="top"/>
          </w:tcPr>
          <w:p>
            <w:r>
              <w:rPr>
                <w:rFonts w:ascii="Aptos" w:hAnsi="Aptos"/>
                <w:b w:val="0"/>
                <w:sz w:val="16"/>
              </w:rPr>
              <w:t>Inheritance/gift</w:t>
            </w:r>
          </w:p>
        </w:tc>
        <w:tc>
          <w:tcPr>
            <w:tcW w:type="dxa" w:w="4896"/>
            <w:tcMar>
              <w:top w:w="70" w:type="dxa"/>
              <w:start w:w="80" w:type="dxa"/>
              <w:bottom w:w="70" w:type="dxa"/>
              <w:end w:w="80" w:type="dxa"/>
            </w:tcMar>
            <w:vAlign w:val="top"/>
          </w:tcPr>
          <w:p>
            <w:r>
              <w:rPr>
                <w:rFonts w:ascii="Aptos" w:hAnsi="Aptos"/>
                <w:b w:val="0"/>
                <w:sz w:val="16"/>
              </w:rPr>
              <w:t>Transfer trail and estate/donor evidence proportionate to risk</w:t>
            </w:r>
          </w:p>
        </w:tc>
        <w:tc>
          <w:tcPr>
            <w:tcW w:type="dxa" w:w="2880"/>
            <w:tcMar>
              <w:top w:w="70" w:type="dxa"/>
              <w:start w:w="80" w:type="dxa"/>
              <w:bottom w:w="70" w:type="dxa"/>
              <w:end w:w="80" w:type="dxa"/>
            </w:tcMar>
            <w:vAlign w:val="top"/>
          </w:tcPr>
          <w:p>
            <w:r>
              <w:rPr>
                <w:rFonts w:ascii="Aptos" w:hAnsi="Aptos"/>
                <w:b w:val="0"/>
                <w:sz w:val="16"/>
              </w:rPr>
              <w:t>High-risk donor capacity may require deeper review.</w:t>
            </w:r>
          </w:p>
        </w:tc>
      </w:tr>
      <w:tr>
        <w:tc>
          <w:tcPr>
            <w:tcW w:type="dxa" w:w="2592"/>
            <w:tcMar>
              <w:top w:w="70" w:type="dxa"/>
              <w:start w:w="80" w:type="dxa"/>
              <w:bottom w:w="70" w:type="dxa"/>
              <w:end w:w="80" w:type="dxa"/>
            </w:tcMar>
            <w:vAlign w:val="top"/>
            <w:shd w:fill="F7FAFC"/>
          </w:tcPr>
          <w:p>
            <w:r>
              <w:rPr>
                <w:rFonts w:ascii="Aptos" w:hAnsi="Aptos"/>
                <w:b w:val="0"/>
                <w:sz w:val="16"/>
              </w:rPr>
              <w:t>PEP after onboarding</w:t>
            </w:r>
          </w:p>
        </w:tc>
        <w:tc>
          <w:tcPr>
            <w:tcW w:type="dxa" w:w="4896"/>
            <w:tcMar>
              <w:top w:w="70" w:type="dxa"/>
              <w:start w:w="80" w:type="dxa"/>
              <w:bottom w:w="70" w:type="dxa"/>
              <w:end w:w="80" w:type="dxa"/>
            </w:tcMar>
            <w:vAlign w:val="top"/>
            <w:shd w:fill="F7FAFC"/>
          </w:tcPr>
          <w:p>
            <w:r>
              <w:rPr>
                <w:rFonts w:ascii="Aptos" w:hAnsi="Aptos"/>
                <w:b w:val="0"/>
                <w:sz w:val="16"/>
              </w:rPr>
              <w:t>Confirm match, refresh SoW/SoF as relevant, risk/approval</w:t>
            </w:r>
          </w:p>
        </w:tc>
        <w:tc>
          <w:tcPr>
            <w:tcW w:type="dxa" w:w="2880"/>
            <w:tcMar>
              <w:top w:w="70" w:type="dxa"/>
              <w:start w:w="80" w:type="dxa"/>
              <w:bottom w:w="70" w:type="dxa"/>
              <w:end w:w="80" w:type="dxa"/>
            </w:tcMar>
            <w:vAlign w:val="top"/>
            <w:shd w:fill="F7FAFC"/>
          </w:tcPr>
          <w:p>
            <w:r>
              <w:rPr>
                <w:rFonts w:ascii="Aptos" w:hAnsi="Aptos"/>
                <w:b w:val="0"/>
                <w:sz w:val="16"/>
              </w:rPr>
              <w:t>Scheduled review date resets based on decision.</w:t>
            </w:r>
          </w:p>
        </w:tc>
      </w:tr>
      <w:tr>
        <w:tc>
          <w:tcPr>
            <w:tcW w:type="dxa" w:w="2592"/>
            <w:tcMar>
              <w:top w:w="70" w:type="dxa"/>
              <w:start w:w="80" w:type="dxa"/>
              <w:bottom w:w="70" w:type="dxa"/>
              <w:end w:w="80" w:type="dxa"/>
            </w:tcMar>
            <w:vAlign w:val="top"/>
          </w:tcPr>
          <w:p>
            <w:r>
              <w:rPr>
                <w:rFonts w:ascii="Aptos" w:hAnsi="Aptos"/>
                <w:b w:val="0"/>
                <w:sz w:val="16"/>
              </w:rPr>
              <w:t>Adverse information after onboarding</w:t>
            </w:r>
          </w:p>
        </w:tc>
        <w:tc>
          <w:tcPr>
            <w:tcW w:type="dxa" w:w="4896"/>
            <w:tcMar>
              <w:top w:w="70" w:type="dxa"/>
              <w:start w:w="80" w:type="dxa"/>
              <w:bottom w:w="70" w:type="dxa"/>
              <w:end w:w="80" w:type="dxa"/>
            </w:tcMar>
            <w:vAlign w:val="top"/>
          </w:tcPr>
          <w:p>
            <w:r>
              <w:rPr>
                <w:rFonts w:ascii="Aptos" w:hAnsi="Aptos"/>
                <w:b w:val="0"/>
                <w:sz w:val="16"/>
              </w:rPr>
              <w:t>Match subject, credibility, recency, outcome and relevance</w:t>
            </w:r>
          </w:p>
        </w:tc>
        <w:tc>
          <w:tcPr>
            <w:tcW w:type="dxa" w:w="2880"/>
            <w:tcMar>
              <w:top w:w="70" w:type="dxa"/>
              <w:start w:w="80" w:type="dxa"/>
              <w:bottom w:w="70" w:type="dxa"/>
              <w:end w:w="80" w:type="dxa"/>
            </w:tcMar>
            <w:vAlign w:val="top"/>
          </w:tcPr>
          <w:p>
            <w:r>
              <w:rPr>
                <w:rFonts w:ascii="Aptos" w:hAnsi="Aptos"/>
                <w:b w:val="0"/>
                <w:sz w:val="16"/>
              </w:rPr>
              <w:t>Trigger risk reassessment even if no transaction alert.</w:t>
            </w:r>
          </w:p>
        </w:tc>
      </w:tr>
      <w:tr>
        <w:tc>
          <w:tcPr>
            <w:tcW w:type="dxa" w:w="2592"/>
            <w:tcMar>
              <w:top w:w="70" w:type="dxa"/>
              <w:start w:w="80" w:type="dxa"/>
              <w:bottom w:w="70" w:type="dxa"/>
              <w:end w:w="80" w:type="dxa"/>
            </w:tcMar>
            <w:vAlign w:val="top"/>
            <w:shd w:fill="F7FAFC"/>
          </w:tcPr>
          <w:p>
            <w:r>
              <w:rPr>
                <w:rFonts w:ascii="Aptos" w:hAnsi="Aptos"/>
                <w:b w:val="0"/>
                <w:sz w:val="16"/>
              </w:rPr>
              <w:t>Sanctions potential match</w:t>
            </w:r>
          </w:p>
        </w:tc>
        <w:tc>
          <w:tcPr>
            <w:tcW w:type="dxa" w:w="4896"/>
            <w:tcMar>
              <w:top w:w="70" w:type="dxa"/>
              <w:start w:w="80" w:type="dxa"/>
              <w:bottom w:w="70" w:type="dxa"/>
              <w:end w:w="80" w:type="dxa"/>
            </w:tcMar>
            <w:vAlign w:val="top"/>
            <w:shd w:fill="F7FAFC"/>
          </w:tcPr>
          <w:p>
            <w:r>
              <w:rPr>
                <w:rFonts w:ascii="Aptos" w:hAnsi="Aptos"/>
                <w:b w:val="0"/>
                <w:sz w:val="16"/>
              </w:rPr>
              <w:t>Immediate specialist restriction/disposition</w:t>
            </w:r>
          </w:p>
        </w:tc>
        <w:tc>
          <w:tcPr>
            <w:tcW w:type="dxa" w:w="2880"/>
            <w:tcMar>
              <w:top w:w="70" w:type="dxa"/>
              <w:start w:w="80" w:type="dxa"/>
              <w:bottom w:w="70" w:type="dxa"/>
              <w:end w:w="80" w:type="dxa"/>
            </w:tcMar>
            <w:vAlign w:val="top"/>
            <w:shd w:fill="F7FAFC"/>
          </w:tcPr>
          <w:p>
            <w:r>
              <w:rPr>
                <w:rFonts w:ascii="Aptos" w:hAnsi="Aptos"/>
                <w:b w:val="0"/>
                <w:sz w:val="16"/>
              </w:rPr>
              <w:t>No business override.</w:t>
            </w:r>
          </w:p>
        </w:tc>
      </w:tr>
    </w:tbl>
    <w:p/>
    <w:p>
      <w:r>
        <w:br w:type="page"/>
      </w:r>
    </w:p>
    <w:p>
      <w:pPr>
        <w:pStyle w:val="Heading1"/>
      </w:pPr>
      <w:r>
        <w:t>Appendix F — Legal-Entity Ownership Red-Flag Matrix</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12"/>
            <w:shd w:fill="17365D"/>
            <w:tcMar>
              <w:top w:w="70" w:type="dxa"/>
              <w:start w:w="80" w:type="dxa"/>
              <w:bottom w:w="70" w:type="dxa"/>
              <w:end w:w="80" w:type="dxa"/>
            </w:tcMar>
          </w:tcPr>
          <w:p>
            <w:r>
              <w:rPr>
                <w:rFonts w:ascii="Aptos" w:hAnsi="Aptos"/>
                <w:b/>
                <w:color w:val="FFFFFF"/>
                <w:sz w:val="16"/>
              </w:rPr>
              <w:t>Pattern</w:t>
            </w:r>
          </w:p>
        </w:tc>
        <w:tc>
          <w:tcPr>
            <w:tcW w:type="dxa" w:w="3744"/>
            <w:shd w:fill="17365D"/>
            <w:tcMar>
              <w:top w:w="70" w:type="dxa"/>
              <w:start w:w="80" w:type="dxa"/>
              <w:bottom w:w="70" w:type="dxa"/>
              <w:end w:w="80" w:type="dxa"/>
            </w:tcMar>
          </w:tcPr>
          <w:p>
            <w:r>
              <w:rPr>
                <w:rFonts w:ascii="Aptos" w:hAnsi="Aptos"/>
                <w:b/>
                <w:color w:val="FFFFFF"/>
                <w:sz w:val="16"/>
              </w:rPr>
              <w:t>Risk Signal</w:t>
            </w:r>
          </w:p>
        </w:tc>
        <w:tc>
          <w:tcPr>
            <w:tcW w:type="dxa" w:w="3312"/>
            <w:shd w:fill="17365D"/>
            <w:tcMar>
              <w:top w:w="70" w:type="dxa"/>
              <w:start w:w="80" w:type="dxa"/>
              <w:bottom w:w="70" w:type="dxa"/>
              <w:end w:w="80" w:type="dxa"/>
            </w:tcMar>
          </w:tcPr>
          <w:p>
            <w:r>
              <w:rPr>
                <w:rFonts w:ascii="Aptos" w:hAnsi="Aptos"/>
                <w:b/>
                <w:color w:val="FFFFFF"/>
                <w:sz w:val="16"/>
              </w:rPr>
              <w:t>Required Response</w:t>
            </w:r>
          </w:p>
        </w:tc>
      </w:tr>
      <w:tr>
        <w:tc>
          <w:tcPr>
            <w:tcW w:type="dxa" w:w="3312"/>
            <w:tcMar>
              <w:top w:w="70" w:type="dxa"/>
              <w:start w:w="80" w:type="dxa"/>
              <w:bottom w:w="70" w:type="dxa"/>
              <w:end w:w="80" w:type="dxa"/>
            </w:tcMar>
            <w:vAlign w:val="top"/>
          </w:tcPr>
          <w:p>
            <w:r>
              <w:rPr>
                <w:rFonts w:ascii="Aptos" w:hAnsi="Aptos"/>
                <w:b w:val="0"/>
                <w:sz w:val="16"/>
              </w:rPr>
              <w:t>Ownership through multiple holding companies</w:t>
            </w:r>
          </w:p>
        </w:tc>
        <w:tc>
          <w:tcPr>
            <w:tcW w:type="dxa" w:w="3744"/>
            <w:tcMar>
              <w:top w:w="70" w:type="dxa"/>
              <w:start w:w="80" w:type="dxa"/>
              <w:bottom w:w="70" w:type="dxa"/>
              <w:end w:w="80" w:type="dxa"/>
            </w:tcMar>
            <w:vAlign w:val="top"/>
          </w:tcPr>
          <w:p>
            <w:r>
              <w:rPr>
                <w:rFonts w:ascii="Aptos" w:hAnsi="Aptos"/>
                <w:b w:val="0"/>
                <w:sz w:val="16"/>
              </w:rPr>
              <w:t>Commercial rationale absent or layers added shortly before onboarding</w:t>
            </w:r>
          </w:p>
        </w:tc>
        <w:tc>
          <w:tcPr>
            <w:tcW w:type="dxa" w:w="3312"/>
            <w:tcMar>
              <w:top w:w="70" w:type="dxa"/>
              <w:start w:w="80" w:type="dxa"/>
              <w:bottom w:w="70" w:type="dxa"/>
              <w:end w:w="80" w:type="dxa"/>
            </w:tcMar>
            <w:vAlign w:val="top"/>
          </w:tcPr>
          <w:p>
            <w:r>
              <w:rPr>
                <w:rFonts w:ascii="Aptos" w:hAnsi="Aptos"/>
                <w:b w:val="0"/>
                <w:sz w:val="16"/>
              </w:rPr>
              <w:t>Map all relevant layers; verify intermediates; EDD if unexplained.</w:t>
            </w:r>
          </w:p>
        </w:tc>
      </w:tr>
      <w:tr>
        <w:tc>
          <w:tcPr>
            <w:tcW w:type="dxa" w:w="3312"/>
            <w:tcMar>
              <w:top w:w="70" w:type="dxa"/>
              <w:start w:w="80" w:type="dxa"/>
              <w:bottom w:w="70" w:type="dxa"/>
              <w:end w:w="80" w:type="dxa"/>
            </w:tcMar>
            <w:vAlign w:val="top"/>
            <w:shd w:fill="F7FAFC"/>
          </w:tcPr>
          <w:p>
            <w:r>
              <w:rPr>
                <w:rFonts w:ascii="Aptos" w:hAnsi="Aptos"/>
                <w:b w:val="0"/>
                <w:sz w:val="16"/>
              </w:rPr>
              <w:t>Nominee shareholder/director</w:t>
            </w:r>
          </w:p>
        </w:tc>
        <w:tc>
          <w:tcPr>
            <w:tcW w:type="dxa" w:w="3744"/>
            <w:tcMar>
              <w:top w:w="70" w:type="dxa"/>
              <w:start w:w="80" w:type="dxa"/>
              <w:bottom w:w="70" w:type="dxa"/>
              <w:end w:w="80" w:type="dxa"/>
            </w:tcMar>
            <w:vAlign w:val="top"/>
            <w:shd w:fill="F7FAFC"/>
          </w:tcPr>
          <w:p>
            <w:r>
              <w:rPr>
                <w:rFonts w:ascii="Aptos" w:hAnsi="Aptos"/>
                <w:b w:val="0"/>
                <w:sz w:val="16"/>
              </w:rPr>
              <w:t>Nominee relationship not disclosed until challenged</w:t>
            </w:r>
          </w:p>
        </w:tc>
        <w:tc>
          <w:tcPr>
            <w:tcW w:type="dxa" w:w="3312"/>
            <w:tcMar>
              <w:top w:w="70" w:type="dxa"/>
              <w:start w:w="80" w:type="dxa"/>
              <w:bottom w:w="70" w:type="dxa"/>
              <w:end w:w="80" w:type="dxa"/>
            </w:tcMar>
            <w:vAlign w:val="top"/>
            <w:shd w:fill="F7FAFC"/>
          </w:tcPr>
          <w:p>
            <w:r>
              <w:rPr>
                <w:rFonts w:ascii="Aptos" w:hAnsi="Aptos"/>
                <w:b w:val="0"/>
                <w:sz w:val="16"/>
              </w:rPr>
              <w:t>Identify appointing party and control rights; EDD.</w:t>
            </w:r>
          </w:p>
        </w:tc>
      </w:tr>
      <w:tr>
        <w:tc>
          <w:tcPr>
            <w:tcW w:type="dxa" w:w="3312"/>
            <w:tcMar>
              <w:top w:w="70" w:type="dxa"/>
              <w:start w:w="80" w:type="dxa"/>
              <w:bottom w:w="70" w:type="dxa"/>
              <w:end w:w="80" w:type="dxa"/>
            </w:tcMar>
            <w:vAlign w:val="top"/>
          </w:tcPr>
          <w:p>
            <w:r>
              <w:rPr>
                <w:rFonts w:ascii="Aptos" w:hAnsi="Aptos"/>
                <w:b w:val="0"/>
                <w:sz w:val="16"/>
              </w:rPr>
              <w:t>Circular ownership</w:t>
            </w:r>
          </w:p>
        </w:tc>
        <w:tc>
          <w:tcPr>
            <w:tcW w:type="dxa" w:w="3744"/>
            <w:tcMar>
              <w:top w:w="70" w:type="dxa"/>
              <w:start w:w="80" w:type="dxa"/>
              <w:bottom w:w="70" w:type="dxa"/>
              <w:end w:w="80" w:type="dxa"/>
            </w:tcMar>
            <w:vAlign w:val="top"/>
          </w:tcPr>
          <w:p>
            <w:r>
              <w:rPr>
                <w:rFonts w:ascii="Aptos" w:hAnsi="Aptos"/>
                <w:b w:val="0"/>
                <w:sz w:val="16"/>
              </w:rPr>
              <w:t>Entities own interests in each other or ownership percentages do not reconcile</w:t>
            </w:r>
          </w:p>
        </w:tc>
        <w:tc>
          <w:tcPr>
            <w:tcW w:type="dxa" w:w="3312"/>
            <w:tcMar>
              <w:top w:w="70" w:type="dxa"/>
              <w:start w:w="80" w:type="dxa"/>
              <w:bottom w:w="70" w:type="dxa"/>
              <w:end w:w="80" w:type="dxa"/>
            </w:tcMar>
            <w:vAlign w:val="top"/>
          </w:tcPr>
          <w:p>
            <w:r>
              <w:rPr>
                <w:rFonts w:ascii="Aptos" w:hAnsi="Aptos"/>
                <w:b w:val="0"/>
                <w:sz w:val="16"/>
              </w:rPr>
              <w:t>Resolve control and economic ownership before release.</w:t>
            </w:r>
          </w:p>
        </w:tc>
      </w:tr>
      <w:tr>
        <w:tc>
          <w:tcPr>
            <w:tcW w:type="dxa" w:w="3312"/>
            <w:tcMar>
              <w:top w:w="70" w:type="dxa"/>
              <w:start w:w="80" w:type="dxa"/>
              <w:bottom w:w="70" w:type="dxa"/>
              <w:end w:w="80" w:type="dxa"/>
            </w:tcMar>
            <w:vAlign w:val="top"/>
            <w:shd w:fill="F7FAFC"/>
          </w:tcPr>
          <w:p>
            <w:r>
              <w:rPr>
                <w:rFonts w:ascii="Aptos" w:hAnsi="Aptos"/>
                <w:b w:val="0"/>
                <w:sz w:val="16"/>
              </w:rPr>
              <w:t>Frequent changes in owners/directors</w:t>
            </w:r>
          </w:p>
        </w:tc>
        <w:tc>
          <w:tcPr>
            <w:tcW w:type="dxa" w:w="3744"/>
            <w:tcMar>
              <w:top w:w="70" w:type="dxa"/>
              <w:start w:w="80" w:type="dxa"/>
              <w:bottom w:w="70" w:type="dxa"/>
              <w:end w:w="80" w:type="dxa"/>
            </w:tcMar>
            <w:vAlign w:val="top"/>
            <w:shd w:fill="F7FAFC"/>
          </w:tcPr>
          <w:p>
            <w:r>
              <w:rPr>
                <w:rFonts w:ascii="Aptos" w:hAnsi="Aptos"/>
                <w:b w:val="0"/>
                <w:sz w:val="16"/>
              </w:rPr>
              <w:t>Changes close to onboarding or transaction event</w:t>
            </w:r>
          </w:p>
        </w:tc>
        <w:tc>
          <w:tcPr>
            <w:tcW w:type="dxa" w:w="3312"/>
            <w:tcMar>
              <w:top w:w="70" w:type="dxa"/>
              <w:start w:w="80" w:type="dxa"/>
              <w:bottom w:w="70" w:type="dxa"/>
              <w:end w:w="80" w:type="dxa"/>
            </w:tcMar>
            <w:vAlign w:val="top"/>
            <w:shd w:fill="F7FAFC"/>
          </w:tcPr>
          <w:p>
            <w:r>
              <w:rPr>
                <w:rFonts w:ascii="Aptos" w:hAnsi="Aptos"/>
                <w:b w:val="0"/>
                <w:sz w:val="16"/>
              </w:rPr>
              <w:t>Understand chronology and business reason.</w:t>
            </w:r>
          </w:p>
        </w:tc>
      </w:tr>
      <w:tr>
        <w:tc>
          <w:tcPr>
            <w:tcW w:type="dxa" w:w="3312"/>
            <w:tcMar>
              <w:top w:w="70" w:type="dxa"/>
              <w:start w:w="80" w:type="dxa"/>
              <w:bottom w:w="70" w:type="dxa"/>
              <w:end w:w="80" w:type="dxa"/>
            </w:tcMar>
            <w:vAlign w:val="top"/>
          </w:tcPr>
          <w:p>
            <w:r>
              <w:rPr>
                <w:rFonts w:ascii="Aptos" w:hAnsi="Aptos"/>
                <w:b w:val="0"/>
                <w:sz w:val="16"/>
              </w:rPr>
              <w:t>Trust with broad beneficiary class</w:t>
            </w:r>
          </w:p>
        </w:tc>
        <w:tc>
          <w:tcPr>
            <w:tcW w:type="dxa" w:w="3744"/>
            <w:tcMar>
              <w:top w:w="70" w:type="dxa"/>
              <w:start w:w="80" w:type="dxa"/>
              <w:bottom w:w="70" w:type="dxa"/>
              <w:end w:w="80" w:type="dxa"/>
            </w:tcMar>
            <w:vAlign w:val="top"/>
          </w:tcPr>
          <w:p>
            <w:r>
              <w:rPr>
                <w:rFonts w:ascii="Aptos" w:hAnsi="Aptos"/>
                <w:b w:val="0"/>
                <w:sz w:val="16"/>
              </w:rPr>
              <w:t>Beneficiaries not individually known at onboarding</w:t>
            </w:r>
          </w:p>
        </w:tc>
        <w:tc>
          <w:tcPr>
            <w:tcW w:type="dxa" w:w="3312"/>
            <w:tcMar>
              <w:top w:w="70" w:type="dxa"/>
              <w:start w:w="80" w:type="dxa"/>
              <w:bottom w:w="70" w:type="dxa"/>
              <w:end w:w="80" w:type="dxa"/>
            </w:tcMar>
            <w:vAlign w:val="top"/>
          </w:tcPr>
          <w:p>
            <w:r>
              <w:rPr>
                <w:rFonts w:ascii="Aptos" w:hAnsi="Aptos"/>
                <w:b w:val="0"/>
                <w:sz w:val="16"/>
              </w:rPr>
              <w:t>Document class, controllers and distribution process; risk-based updates.</w:t>
            </w:r>
          </w:p>
        </w:tc>
      </w:tr>
      <w:tr>
        <w:tc>
          <w:tcPr>
            <w:tcW w:type="dxa" w:w="3312"/>
            <w:tcMar>
              <w:top w:w="70" w:type="dxa"/>
              <w:start w:w="80" w:type="dxa"/>
              <w:bottom w:w="70" w:type="dxa"/>
              <w:end w:w="80" w:type="dxa"/>
            </w:tcMar>
            <w:vAlign w:val="top"/>
            <w:shd w:fill="F7FAFC"/>
          </w:tcPr>
          <w:p>
            <w:r>
              <w:rPr>
                <w:rFonts w:ascii="Aptos" w:hAnsi="Aptos"/>
                <w:b w:val="0"/>
                <w:sz w:val="16"/>
              </w:rPr>
              <w:t>Voting rights differ from equity</w:t>
            </w:r>
          </w:p>
        </w:tc>
        <w:tc>
          <w:tcPr>
            <w:tcW w:type="dxa" w:w="3744"/>
            <w:tcMar>
              <w:top w:w="70" w:type="dxa"/>
              <w:start w:w="80" w:type="dxa"/>
              <w:bottom w:w="70" w:type="dxa"/>
              <w:end w:w="80" w:type="dxa"/>
            </w:tcMar>
            <w:vAlign w:val="top"/>
            <w:shd w:fill="F7FAFC"/>
          </w:tcPr>
          <w:p>
            <w:r>
              <w:rPr>
                <w:rFonts w:ascii="Aptos" w:hAnsi="Aptos"/>
                <w:b w:val="0"/>
                <w:sz w:val="16"/>
              </w:rPr>
              <w:t>Minority holder can appoint directors or veto key decisions</w:t>
            </w:r>
          </w:p>
        </w:tc>
        <w:tc>
          <w:tcPr>
            <w:tcW w:type="dxa" w:w="3312"/>
            <w:tcMar>
              <w:top w:w="70" w:type="dxa"/>
              <w:start w:w="80" w:type="dxa"/>
              <w:bottom w:w="70" w:type="dxa"/>
              <w:end w:w="80" w:type="dxa"/>
            </w:tcMar>
            <w:vAlign w:val="top"/>
            <w:shd w:fill="F7FAFC"/>
          </w:tcPr>
          <w:p>
            <w:r>
              <w:rPr>
                <w:rFonts w:ascii="Aptos" w:hAnsi="Aptos"/>
                <w:b w:val="0"/>
                <w:sz w:val="16"/>
              </w:rPr>
              <w:t>Treat control separately from percentage ownership.</w:t>
            </w:r>
          </w:p>
        </w:tc>
      </w:tr>
      <w:tr>
        <w:tc>
          <w:tcPr>
            <w:tcW w:type="dxa" w:w="3312"/>
            <w:tcMar>
              <w:top w:w="70" w:type="dxa"/>
              <w:start w:w="80" w:type="dxa"/>
              <w:bottom w:w="70" w:type="dxa"/>
              <w:end w:w="80" w:type="dxa"/>
            </w:tcMar>
            <w:vAlign w:val="top"/>
          </w:tcPr>
          <w:p>
            <w:r>
              <w:rPr>
                <w:rFonts w:ascii="Aptos" w:hAnsi="Aptos"/>
                <w:b w:val="0"/>
                <w:sz w:val="16"/>
              </w:rPr>
              <w:t>Family control through informal arrangement</w:t>
            </w:r>
          </w:p>
        </w:tc>
        <w:tc>
          <w:tcPr>
            <w:tcW w:type="dxa" w:w="3744"/>
            <w:tcMar>
              <w:top w:w="70" w:type="dxa"/>
              <w:start w:w="80" w:type="dxa"/>
              <w:bottom w:w="70" w:type="dxa"/>
              <w:end w:w="80" w:type="dxa"/>
            </w:tcMar>
            <w:vAlign w:val="top"/>
          </w:tcPr>
          <w:p>
            <w:r>
              <w:rPr>
                <w:rFonts w:ascii="Aptos" w:hAnsi="Aptos"/>
                <w:b w:val="0"/>
                <w:sz w:val="16"/>
              </w:rPr>
              <w:t>One person makes decisions despite dispersed ownership</w:t>
            </w:r>
          </w:p>
        </w:tc>
        <w:tc>
          <w:tcPr>
            <w:tcW w:type="dxa" w:w="3312"/>
            <w:tcMar>
              <w:top w:w="70" w:type="dxa"/>
              <w:start w:w="80" w:type="dxa"/>
              <w:bottom w:w="70" w:type="dxa"/>
              <w:end w:w="80" w:type="dxa"/>
            </w:tcMar>
            <w:vAlign w:val="top"/>
          </w:tcPr>
          <w:p>
            <w:r>
              <w:rPr>
                <w:rFonts w:ascii="Aptos" w:hAnsi="Aptos"/>
                <w:b w:val="0"/>
                <w:sz w:val="16"/>
              </w:rPr>
              <w:t>Document actual control where credible and relevant.</w:t>
            </w:r>
          </w:p>
        </w:tc>
      </w:tr>
      <w:tr>
        <w:tc>
          <w:tcPr>
            <w:tcW w:type="dxa" w:w="3312"/>
            <w:tcMar>
              <w:top w:w="70" w:type="dxa"/>
              <w:start w:w="80" w:type="dxa"/>
              <w:bottom w:w="70" w:type="dxa"/>
              <w:end w:w="80" w:type="dxa"/>
            </w:tcMar>
            <w:vAlign w:val="top"/>
            <w:shd w:fill="F7FAFC"/>
          </w:tcPr>
          <w:p>
            <w:r>
              <w:rPr>
                <w:rFonts w:ascii="Aptos" w:hAnsi="Aptos"/>
                <w:b w:val="0"/>
                <w:sz w:val="16"/>
              </w:rPr>
              <w:t>Offshore entity with domestic operations</w:t>
            </w:r>
          </w:p>
        </w:tc>
        <w:tc>
          <w:tcPr>
            <w:tcW w:type="dxa" w:w="3744"/>
            <w:tcMar>
              <w:top w:w="70" w:type="dxa"/>
              <w:start w:w="80" w:type="dxa"/>
              <w:bottom w:w="70" w:type="dxa"/>
              <w:end w:w="80" w:type="dxa"/>
            </w:tcMar>
            <w:vAlign w:val="top"/>
            <w:shd w:fill="F7FAFC"/>
          </w:tcPr>
          <w:p>
            <w:r>
              <w:rPr>
                <w:rFonts w:ascii="Aptos" w:hAnsi="Aptos"/>
                <w:b w:val="0"/>
                <w:sz w:val="16"/>
              </w:rPr>
              <w:t>No clear operating purpose for offshore layer</w:t>
            </w:r>
          </w:p>
        </w:tc>
        <w:tc>
          <w:tcPr>
            <w:tcW w:type="dxa" w:w="3312"/>
            <w:tcMar>
              <w:top w:w="70" w:type="dxa"/>
              <w:start w:w="80" w:type="dxa"/>
              <w:bottom w:w="70" w:type="dxa"/>
              <w:end w:w="80" w:type="dxa"/>
            </w:tcMar>
            <w:vAlign w:val="top"/>
            <w:shd w:fill="F7FAFC"/>
          </w:tcPr>
          <w:p>
            <w:r>
              <w:rPr>
                <w:rFonts w:ascii="Aptos" w:hAnsi="Aptos"/>
                <w:b w:val="0"/>
                <w:sz w:val="16"/>
              </w:rPr>
              <w:t>Assess tax/legal/commercial rationale without making legal conclusions.</w:t>
            </w:r>
          </w:p>
        </w:tc>
      </w:tr>
      <w:tr>
        <w:tc>
          <w:tcPr>
            <w:tcW w:type="dxa" w:w="3312"/>
            <w:tcMar>
              <w:top w:w="70" w:type="dxa"/>
              <w:start w:w="80" w:type="dxa"/>
              <w:bottom w:w="70" w:type="dxa"/>
              <w:end w:w="80" w:type="dxa"/>
            </w:tcMar>
            <w:vAlign w:val="top"/>
          </w:tcPr>
          <w:p>
            <w:r>
              <w:rPr>
                <w:rFonts w:ascii="Aptos" w:hAnsi="Aptos"/>
                <w:b w:val="0"/>
                <w:sz w:val="16"/>
              </w:rPr>
              <w:t>Ownership documents conflict</w:t>
            </w:r>
          </w:p>
        </w:tc>
        <w:tc>
          <w:tcPr>
            <w:tcW w:type="dxa" w:w="3744"/>
            <w:tcMar>
              <w:top w:w="70" w:type="dxa"/>
              <w:start w:w="80" w:type="dxa"/>
              <w:bottom w:w="70" w:type="dxa"/>
              <w:end w:w="80" w:type="dxa"/>
            </w:tcMar>
            <w:vAlign w:val="top"/>
          </w:tcPr>
          <w:p>
            <w:r>
              <w:rPr>
                <w:rFonts w:ascii="Aptos" w:hAnsi="Aptos"/>
                <w:b w:val="0"/>
                <w:sz w:val="16"/>
              </w:rPr>
              <w:t>Register, customer chart and declarations differ</w:t>
            </w:r>
          </w:p>
        </w:tc>
        <w:tc>
          <w:tcPr>
            <w:tcW w:type="dxa" w:w="3312"/>
            <w:tcMar>
              <w:top w:w="70" w:type="dxa"/>
              <w:start w:w="80" w:type="dxa"/>
              <w:bottom w:w="70" w:type="dxa"/>
              <w:end w:w="80" w:type="dxa"/>
            </w:tcMar>
            <w:vAlign w:val="top"/>
          </w:tcPr>
          <w:p>
            <w:r>
              <w:rPr>
                <w:rFonts w:ascii="Aptos" w:hAnsi="Aptos"/>
                <w:b w:val="0"/>
                <w:sz w:val="16"/>
              </w:rPr>
              <w:t>Do not average or choose convenient version; resolve source and date.</w:t>
            </w:r>
          </w:p>
        </w:tc>
      </w:tr>
      <w:tr>
        <w:tc>
          <w:tcPr>
            <w:tcW w:type="dxa" w:w="3312"/>
            <w:tcMar>
              <w:top w:w="70" w:type="dxa"/>
              <w:start w:w="80" w:type="dxa"/>
              <w:bottom w:w="70" w:type="dxa"/>
              <w:end w:w="80" w:type="dxa"/>
            </w:tcMar>
            <w:vAlign w:val="top"/>
            <w:shd w:fill="F7FAFC"/>
          </w:tcPr>
          <w:p>
            <w:r>
              <w:rPr>
                <w:rFonts w:ascii="Aptos" w:hAnsi="Aptos"/>
                <w:b w:val="0"/>
                <w:sz w:val="16"/>
              </w:rPr>
              <w:t>Unverified intermediary layer</w:t>
            </w:r>
          </w:p>
        </w:tc>
        <w:tc>
          <w:tcPr>
            <w:tcW w:type="dxa" w:w="3744"/>
            <w:tcMar>
              <w:top w:w="70" w:type="dxa"/>
              <w:start w:w="80" w:type="dxa"/>
              <w:bottom w:w="70" w:type="dxa"/>
              <w:end w:w="80" w:type="dxa"/>
            </w:tcMar>
            <w:vAlign w:val="top"/>
            <w:shd w:fill="F7FAFC"/>
          </w:tcPr>
          <w:p>
            <w:r>
              <w:rPr>
                <w:rFonts w:ascii="Aptos" w:hAnsi="Aptos"/>
                <w:b w:val="0"/>
                <w:sz w:val="16"/>
              </w:rPr>
              <w:t>Unable to obtain reliable existence/ownership evidence</w:t>
            </w:r>
          </w:p>
        </w:tc>
        <w:tc>
          <w:tcPr>
            <w:tcW w:type="dxa" w:w="3312"/>
            <w:tcMar>
              <w:top w:w="70" w:type="dxa"/>
              <w:start w:w="80" w:type="dxa"/>
              <w:bottom w:w="70" w:type="dxa"/>
              <w:end w:w="80" w:type="dxa"/>
            </w:tcMar>
            <w:vAlign w:val="top"/>
            <w:shd w:fill="F7FAFC"/>
          </w:tcPr>
          <w:p>
            <w:r>
              <w:rPr>
                <w:rFonts w:ascii="Aptos" w:hAnsi="Aptos"/>
                <w:b w:val="0"/>
                <w:sz w:val="16"/>
              </w:rPr>
              <w:t>Restrict/decline if material ownership cannot be established.</w:t>
            </w:r>
          </w:p>
        </w:tc>
      </w:tr>
      <w:tr>
        <w:tc>
          <w:tcPr>
            <w:tcW w:type="dxa" w:w="3312"/>
            <w:tcMar>
              <w:top w:w="70" w:type="dxa"/>
              <w:start w:w="80" w:type="dxa"/>
              <w:bottom w:w="70" w:type="dxa"/>
              <w:end w:w="80" w:type="dxa"/>
            </w:tcMar>
            <w:vAlign w:val="top"/>
          </w:tcPr>
          <w:p>
            <w:r>
              <w:rPr>
                <w:rFonts w:ascii="Aptos" w:hAnsi="Aptos"/>
                <w:b w:val="0"/>
                <w:sz w:val="16"/>
              </w:rPr>
              <w:t>Bearer-like rights or transferable certificates</w:t>
            </w:r>
          </w:p>
        </w:tc>
        <w:tc>
          <w:tcPr>
            <w:tcW w:type="dxa" w:w="3744"/>
            <w:tcMar>
              <w:top w:w="70" w:type="dxa"/>
              <w:start w:w="80" w:type="dxa"/>
              <w:bottom w:w="70" w:type="dxa"/>
              <w:end w:w="80" w:type="dxa"/>
            </w:tcMar>
            <w:vAlign w:val="top"/>
          </w:tcPr>
          <w:p>
            <w:r>
              <w:rPr>
                <w:rFonts w:ascii="Aptos" w:hAnsi="Aptos"/>
                <w:b w:val="0"/>
                <w:sz w:val="16"/>
              </w:rPr>
              <w:t>Control can change without transparent register</w:t>
            </w:r>
          </w:p>
        </w:tc>
        <w:tc>
          <w:tcPr>
            <w:tcW w:type="dxa" w:w="3312"/>
            <w:tcMar>
              <w:top w:w="70" w:type="dxa"/>
              <w:start w:w="80" w:type="dxa"/>
              <w:bottom w:w="70" w:type="dxa"/>
              <w:end w:w="80" w:type="dxa"/>
            </w:tcMar>
            <w:vAlign w:val="top"/>
          </w:tcPr>
          <w:p>
            <w:r>
              <w:rPr>
                <w:rFonts w:ascii="Aptos" w:hAnsi="Aptos"/>
                <w:b w:val="0"/>
                <w:sz w:val="16"/>
              </w:rPr>
              <w:t>High-risk; specialist assessment.</w:t>
            </w:r>
          </w:p>
        </w:tc>
      </w:tr>
      <w:tr>
        <w:tc>
          <w:tcPr>
            <w:tcW w:type="dxa" w:w="3312"/>
            <w:tcMar>
              <w:top w:w="70" w:type="dxa"/>
              <w:start w:w="80" w:type="dxa"/>
              <w:bottom w:w="70" w:type="dxa"/>
              <w:end w:w="80" w:type="dxa"/>
            </w:tcMar>
            <w:vAlign w:val="top"/>
            <w:shd w:fill="F7FAFC"/>
          </w:tcPr>
          <w:p>
            <w:r>
              <w:rPr>
                <w:rFonts w:ascii="Aptos" w:hAnsi="Aptos"/>
                <w:b w:val="0"/>
                <w:sz w:val="16"/>
              </w:rPr>
              <w:t>Fiduciary / trustee service provider</w:t>
            </w:r>
          </w:p>
        </w:tc>
        <w:tc>
          <w:tcPr>
            <w:tcW w:type="dxa" w:w="3744"/>
            <w:tcMar>
              <w:top w:w="70" w:type="dxa"/>
              <w:start w:w="80" w:type="dxa"/>
              <w:bottom w:w="70" w:type="dxa"/>
              <w:end w:w="80" w:type="dxa"/>
            </w:tcMar>
            <w:vAlign w:val="top"/>
            <w:shd w:fill="F7FAFC"/>
          </w:tcPr>
          <w:p>
            <w:r>
              <w:rPr>
                <w:rFonts w:ascii="Aptos" w:hAnsi="Aptos"/>
                <w:b w:val="0"/>
                <w:sz w:val="16"/>
              </w:rPr>
              <w:t>Professional trustee controls assets for another party</w:t>
            </w:r>
          </w:p>
        </w:tc>
        <w:tc>
          <w:tcPr>
            <w:tcW w:type="dxa" w:w="3312"/>
            <w:tcMar>
              <w:top w:w="70" w:type="dxa"/>
              <w:start w:w="80" w:type="dxa"/>
              <w:bottom w:w="70" w:type="dxa"/>
              <w:end w:w="80" w:type="dxa"/>
            </w:tcMar>
            <w:vAlign w:val="top"/>
            <w:shd w:fill="F7FAFC"/>
          </w:tcPr>
          <w:p>
            <w:r>
              <w:rPr>
                <w:rFonts w:ascii="Aptos" w:hAnsi="Aptos"/>
                <w:b w:val="0"/>
                <w:sz w:val="16"/>
              </w:rPr>
              <w:t>Identify relevant underlying persons and purpose.</w:t>
            </w:r>
          </w:p>
        </w:tc>
      </w:tr>
      <w:tr>
        <w:tc>
          <w:tcPr>
            <w:tcW w:type="dxa" w:w="3312"/>
            <w:tcMar>
              <w:top w:w="70" w:type="dxa"/>
              <w:start w:w="80" w:type="dxa"/>
              <w:bottom w:w="70" w:type="dxa"/>
              <w:end w:w="80" w:type="dxa"/>
            </w:tcMar>
            <w:vAlign w:val="top"/>
          </w:tcPr>
          <w:p>
            <w:r>
              <w:rPr>
                <w:rFonts w:ascii="Aptos" w:hAnsi="Aptos"/>
                <w:b w:val="0"/>
                <w:sz w:val="16"/>
              </w:rPr>
              <w:t>Management control without shareholding</w:t>
            </w:r>
          </w:p>
        </w:tc>
        <w:tc>
          <w:tcPr>
            <w:tcW w:type="dxa" w:w="3744"/>
            <w:tcMar>
              <w:top w:w="70" w:type="dxa"/>
              <w:start w:w="80" w:type="dxa"/>
              <w:bottom w:w="70" w:type="dxa"/>
              <w:end w:w="80" w:type="dxa"/>
            </w:tcMar>
            <w:vAlign w:val="top"/>
          </w:tcPr>
          <w:p>
            <w:r>
              <w:rPr>
                <w:rFonts w:ascii="Aptos" w:hAnsi="Aptos"/>
                <w:b w:val="0"/>
                <w:sz w:val="16"/>
              </w:rPr>
              <w:t>Senior manager exercises ultimate control</w:t>
            </w:r>
          </w:p>
        </w:tc>
        <w:tc>
          <w:tcPr>
            <w:tcW w:type="dxa" w:w="3312"/>
            <w:tcMar>
              <w:top w:w="70" w:type="dxa"/>
              <w:start w:w="80" w:type="dxa"/>
              <w:bottom w:w="70" w:type="dxa"/>
              <w:end w:w="80" w:type="dxa"/>
            </w:tcMar>
            <w:vAlign w:val="top"/>
          </w:tcPr>
          <w:p>
            <w:r>
              <w:rPr>
                <w:rFonts w:ascii="Aptos" w:hAnsi="Aptos"/>
                <w:b w:val="0"/>
                <w:sz w:val="16"/>
              </w:rPr>
              <w:t>Record controlling natural person and rationale.</w:t>
            </w:r>
          </w:p>
        </w:tc>
      </w:tr>
      <w:tr>
        <w:tc>
          <w:tcPr>
            <w:tcW w:type="dxa" w:w="3312"/>
            <w:tcMar>
              <w:top w:w="70" w:type="dxa"/>
              <w:start w:w="80" w:type="dxa"/>
              <w:bottom w:w="70" w:type="dxa"/>
              <w:end w:w="80" w:type="dxa"/>
            </w:tcMar>
            <w:vAlign w:val="top"/>
            <w:shd w:fill="F7FAFC"/>
          </w:tcPr>
          <w:p>
            <w:r>
              <w:rPr>
                <w:rFonts w:ascii="Aptos" w:hAnsi="Aptos"/>
                <w:b w:val="0"/>
                <w:sz w:val="16"/>
              </w:rPr>
              <w:t>Owner in high-risk geography</w:t>
            </w:r>
          </w:p>
        </w:tc>
        <w:tc>
          <w:tcPr>
            <w:tcW w:type="dxa" w:w="3744"/>
            <w:tcMar>
              <w:top w:w="70" w:type="dxa"/>
              <w:start w:w="80" w:type="dxa"/>
              <w:bottom w:w="70" w:type="dxa"/>
              <w:end w:w="80" w:type="dxa"/>
            </w:tcMar>
            <w:vAlign w:val="top"/>
            <w:shd w:fill="F7FAFC"/>
          </w:tcPr>
          <w:p>
            <w:r>
              <w:rPr>
                <w:rFonts w:ascii="Aptos" w:hAnsi="Aptos"/>
                <w:b w:val="0"/>
                <w:sz w:val="16"/>
              </w:rPr>
              <w:t>Ownership and geography risk overlap</w:t>
            </w:r>
          </w:p>
        </w:tc>
        <w:tc>
          <w:tcPr>
            <w:tcW w:type="dxa" w:w="3312"/>
            <w:tcMar>
              <w:top w:w="70" w:type="dxa"/>
              <w:start w:w="80" w:type="dxa"/>
              <w:bottom w:w="70" w:type="dxa"/>
              <w:end w:w="80" w:type="dxa"/>
            </w:tcMar>
            <w:vAlign w:val="top"/>
            <w:shd w:fill="F7FAFC"/>
          </w:tcPr>
          <w:p>
            <w:r>
              <w:rPr>
                <w:rFonts w:ascii="Aptos" w:hAnsi="Aptos"/>
                <w:b w:val="0"/>
                <w:sz w:val="16"/>
              </w:rPr>
              <w:t>EDD depth based on materiality and source of wealth/funds.</w:t>
            </w:r>
          </w:p>
        </w:tc>
      </w:tr>
      <w:tr>
        <w:tc>
          <w:tcPr>
            <w:tcW w:type="dxa" w:w="3312"/>
            <w:tcMar>
              <w:top w:w="70" w:type="dxa"/>
              <w:start w:w="80" w:type="dxa"/>
              <w:bottom w:w="70" w:type="dxa"/>
              <w:end w:w="80" w:type="dxa"/>
            </w:tcMar>
            <w:vAlign w:val="top"/>
          </w:tcPr>
          <w:p>
            <w:r>
              <w:rPr>
                <w:rFonts w:ascii="Aptos" w:hAnsi="Aptos"/>
                <w:b w:val="0"/>
                <w:sz w:val="16"/>
              </w:rPr>
              <w:t>Owner subject to credible adverse information</w:t>
            </w:r>
          </w:p>
        </w:tc>
        <w:tc>
          <w:tcPr>
            <w:tcW w:type="dxa" w:w="3744"/>
            <w:tcMar>
              <w:top w:w="70" w:type="dxa"/>
              <w:start w:w="80" w:type="dxa"/>
              <w:bottom w:w="70" w:type="dxa"/>
              <w:end w:w="80" w:type="dxa"/>
            </w:tcMar>
            <w:vAlign w:val="top"/>
          </w:tcPr>
          <w:p>
            <w:r>
              <w:rPr>
                <w:rFonts w:ascii="Aptos" w:hAnsi="Aptos"/>
                <w:b w:val="0"/>
                <w:sz w:val="16"/>
              </w:rPr>
              <w:t>Integrity risk at controller level</w:t>
            </w:r>
          </w:p>
        </w:tc>
        <w:tc>
          <w:tcPr>
            <w:tcW w:type="dxa" w:w="3312"/>
            <w:tcMar>
              <w:top w:w="70" w:type="dxa"/>
              <w:start w:w="80" w:type="dxa"/>
              <w:bottom w:w="70" w:type="dxa"/>
              <w:end w:w="80" w:type="dxa"/>
            </w:tcMar>
            <w:vAlign w:val="top"/>
          </w:tcPr>
          <w:p>
            <w:r>
              <w:rPr>
                <w:rFonts w:ascii="Aptos" w:hAnsi="Aptos"/>
                <w:b w:val="0"/>
                <w:sz w:val="16"/>
              </w:rPr>
              <w:t>Assess effect on entity risk and acceptance.</w:t>
            </w:r>
          </w:p>
        </w:tc>
      </w:tr>
    </w:tbl>
    <w:p/>
    <w:p>
      <w:r>
        <w:br w:type="page"/>
      </w:r>
    </w:p>
    <w:p>
      <w:pPr>
        <w:pStyle w:val="Heading1"/>
      </w:pPr>
      <w:r>
        <w:t>Appendix G — Periodic Review Quality-Control Checklist</w:t>
      </w:r>
    </w:p>
    <w:p>
      <w:pPr>
        <w:pStyle w:val="ControlBullet"/>
      </w:pPr>
      <w:r>
        <w:rPr>
          <w:b/>
        </w:rPr>
        <w:t xml:space="preserve">• </w:t>
      </w:r>
      <w:r>
        <w:t>Confirm the review was initiated using the correct current risk tier and due date, including any EDD-specific shorter cycle.</w:t>
      </w:r>
    </w:p>
    <w:p>
      <w:pPr>
        <w:pStyle w:val="ControlBullet"/>
      </w:pPr>
      <w:r>
        <w:rPr>
          <w:b/>
        </w:rPr>
        <w:t xml:space="preserve">• </w:t>
      </w:r>
      <w:r>
        <w:t>Confirm identity and contact information are current enough for the risk and product, and stale evidence is explicitly assessed.</w:t>
      </w:r>
    </w:p>
    <w:p>
      <w:pPr>
        <w:pStyle w:val="ControlBullet"/>
      </w:pPr>
      <w:r>
        <w:rPr>
          <w:b/>
        </w:rPr>
        <w:t xml:space="preserve">• </w:t>
      </w:r>
      <w:r>
        <w:t>Compare declared occupation/business activity with observed transaction behaviour and material credit/application information where relevant.</w:t>
      </w:r>
    </w:p>
    <w:p>
      <w:pPr>
        <w:pStyle w:val="ControlBullet"/>
      </w:pPr>
      <w:r>
        <w:rPr>
          <w:b/>
        </w:rPr>
        <w:t xml:space="preserve">• </w:t>
      </w:r>
      <w:r>
        <w:t>Reconcile ownership and control to the latest available corporate evidence and document changes since the prior review.</w:t>
      </w:r>
    </w:p>
    <w:p>
      <w:pPr>
        <w:pStyle w:val="ControlBullet"/>
      </w:pPr>
      <w:r>
        <w:rPr>
          <w:b/>
        </w:rPr>
        <w:t xml:space="preserve">• </w:t>
      </w:r>
      <w:r>
        <w:t>Confirm all relevant beneficial owners/controllers are screened and that new potential matches have current dispositions.</w:t>
      </w:r>
    </w:p>
    <w:p>
      <w:pPr>
        <w:pStyle w:val="ControlBullet"/>
      </w:pPr>
      <w:r>
        <w:rPr>
          <w:b/>
        </w:rPr>
        <w:t xml:space="preserve">• </w:t>
      </w:r>
      <w:r>
        <w:t>Review PEP status, adverse information and internal watchlist results rather than merely copying the prior conclusion.</w:t>
      </w:r>
    </w:p>
    <w:p>
      <w:pPr>
        <w:pStyle w:val="ControlBullet"/>
      </w:pPr>
      <w:r>
        <w:rPr>
          <w:b/>
        </w:rPr>
        <w:t xml:space="preserve">• </w:t>
      </w:r>
      <w:r>
        <w:t>Assess material changes in geographies, counterparties, channels, products and third-party funding.</w:t>
      </w:r>
    </w:p>
    <w:p>
      <w:pPr>
        <w:pStyle w:val="ControlBullet"/>
      </w:pPr>
      <w:r>
        <w:rPr>
          <w:b/>
        </w:rPr>
        <w:t xml:space="preserve">• </w:t>
      </w:r>
      <w:r>
        <w:t>Check prior monitoring cases, EDD conditions, restrictions and remediation commitments for recurrence or overdue actions.</w:t>
      </w:r>
    </w:p>
    <w:p>
      <w:pPr>
        <w:pStyle w:val="ControlBullet"/>
      </w:pPr>
      <w:r>
        <w:rPr>
          <w:b/>
        </w:rPr>
        <w:t xml:space="preserve">• </w:t>
      </w:r>
      <w:r>
        <w:t>Update expected activity with values/frequency sufficient for monitoring where the profile has changed.</w:t>
      </w:r>
    </w:p>
    <w:p>
      <w:pPr>
        <w:pStyle w:val="ControlBullet"/>
      </w:pPr>
      <w:r>
        <w:rPr>
          <w:b/>
        </w:rPr>
        <w:t xml:space="preserve">• </w:t>
      </w:r>
      <w:r>
        <w:t>Update AML customer-risk score under the current CRR-033 methodology while preserving the prior score/version in history.</w:t>
      </w:r>
    </w:p>
    <w:p>
      <w:pPr>
        <w:pStyle w:val="ControlBullet"/>
      </w:pPr>
      <w:r>
        <w:rPr>
          <w:b/>
        </w:rPr>
        <w:t xml:space="preserve">• </w:t>
      </w:r>
      <w:r>
        <w:t>Apply mandatory risk floors and confirm any override has the required authority and evidence.</w:t>
      </w:r>
    </w:p>
    <w:p>
      <w:pPr>
        <w:pStyle w:val="ControlBullet"/>
      </w:pPr>
      <w:r>
        <w:rPr>
          <w:b/>
        </w:rPr>
        <w:t xml:space="preserve">• </w:t>
      </w:r>
      <w:r>
        <w:t>Confirm the final CDD release/restriction is made by the correct maker-checker roles.</w:t>
      </w:r>
    </w:p>
    <w:p>
      <w:pPr>
        <w:pStyle w:val="ControlBullet"/>
      </w:pPr>
      <w:r>
        <w:rPr>
          <w:b/>
        </w:rPr>
        <w:t xml:space="preserve">• </w:t>
      </w:r>
      <w:r>
        <w:t>Check whether the review identifies a breach, operational issue or risk-register item requiring escalation outside KYC.</w:t>
      </w:r>
    </w:p>
    <w:p>
      <w:pPr>
        <w:pStyle w:val="ControlBullet"/>
      </w:pPr>
      <w:r>
        <w:rPr>
          <w:b/>
        </w:rPr>
        <w:t xml:space="preserve">• </w:t>
      </w:r>
      <w:r>
        <w:t>Retain evidence and rationale adequate for an independent reviewer to reconstruct the decision without relying on memory.</w:t>
      </w:r>
    </w:p>
    <w:p>
      <w:r>
        <w:br w:type="page"/>
      </w:r>
    </w:p>
    <w:p>
      <w:pPr>
        <w:pStyle w:val="Heading1"/>
      </w:pPr>
      <w:r>
        <w:t>Appendix H — Restriction, Decline and Remediation Matrix</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320"/>
            <w:shd w:fill="17365D"/>
            <w:tcMar>
              <w:top w:w="70" w:type="dxa"/>
              <w:start w:w="80" w:type="dxa"/>
              <w:bottom w:w="70" w:type="dxa"/>
              <w:end w:w="80" w:type="dxa"/>
            </w:tcMar>
          </w:tcPr>
          <w:p>
            <w:r>
              <w:rPr>
                <w:rFonts w:ascii="Aptos" w:hAnsi="Aptos"/>
                <w:b/>
                <w:color w:val="FFFFFF"/>
                <w:sz w:val="16"/>
              </w:rPr>
              <w:t>Condition</w:t>
            </w:r>
          </w:p>
        </w:tc>
        <w:tc>
          <w:tcPr>
            <w:tcW w:type="dxa" w:w="2448"/>
            <w:shd w:fill="17365D"/>
            <w:tcMar>
              <w:top w:w="70" w:type="dxa"/>
              <w:start w:w="80" w:type="dxa"/>
              <w:bottom w:w="70" w:type="dxa"/>
              <w:end w:w="80" w:type="dxa"/>
            </w:tcMar>
          </w:tcPr>
          <w:p>
            <w:r>
              <w:rPr>
                <w:rFonts w:ascii="Aptos" w:hAnsi="Aptos"/>
                <w:b/>
                <w:color w:val="FFFFFF"/>
                <w:sz w:val="16"/>
              </w:rPr>
              <w:t>Default Status</w:t>
            </w:r>
          </w:p>
        </w:tc>
        <w:tc>
          <w:tcPr>
            <w:tcW w:type="dxa" w:w="3600"/>
            <w:shd w:fill="17365D"/>
            <w:tcMar>
              <w:top w:w="70" w:type="dxa"/>
              <w:start w:w="80" w:type="dxa"/>
              <w:bottom w:w="70" w:type="dxa"/>
              <w:end w:w="80" w:type="dxa"/>
            </w:tcMar>
          </w:tcPr>
          <w:p>
            <w:r>
              <w:rPr>
                <w:rFonts w:ascii="Aptos" w:hAnsi="Aptos"/>
                <w:b/>
                <w:color w:val="FFFFFF"/>
                <w:sz w:val="16"/>
              </w:rPr>
              <w:t>Notes</w:t>
            </w:r>
          </w:p>
        </w:tc>
      </w:tr>
      <w:tr>
        <w:tc>
          <w:tcPr>
            <w:tcW w:type="dxa" w:w="4320"/>
            <w:tcMar>
              <w:top w:w="70" w:type="dxa"/>
              <w:start w:w="80" w:type="dxa"/>
              <w:bottom w:w="70" w:type="dxa"/>
              <w:end w:w="80" w:type="dxa"/>
            </w:tcMar>
            <w:vAlign w:val="top"/>
          </w:tcPr>
          <w:p>
            <w:r>
              <w:rPr>
                <w:rFonts w:ascii="Aptos" w:hAnsi="Aptos"/>
                <w:b w:val="0"/>
                <w:sz w:val="16"/>
              </w:rPr>
              <w:t>Mandatory identity not verified</w:t>
            </w:r>
          </w:p>
        </w:tc>
        <w:tc>
          <w:tcPr>
            <w:tcW w:type="dxa" w:w="2448"/>
            <w:tcMar>
              <w:top w:w="70" w:type="dxa"/>
              <w:start w:w="80" w:type="dxa"/>
              <w:bottom w:w="70" w:type="dxa"/>
              <w:end w:w="80" w:type="dxa"/>
            </w:tcMar>
            <w:vAlign w:val="top"/>
          </w:tcPr>
          <w:p>
            <w:r>
              <w:rPr>
                <w:rFonts w:ascii="Aptos" w:hAnsi="Aptos"/>
                <w:b w:val="0"/>
                <w:sz w:val="16"/>
              </w:rPr>
              <w:t>Restrict / decline</w:t>
            </w:r>
          </w:p>
        </w:tc>
        <w:tc>
          <w:tcPr>
            <w:tcW w:type="dxa" w:w="3600"/>
            <w:tcMar>
              <w:top w:w="70" w:type="dxa"/>
              <w:start w:w="80" w:type="dxa"/>
              <w:bottom w:w="70" w:type="dxa"/>
              <w:end w:w="80" w:type="dxa"/>
            </w:tcMar>
            <w:vAlign w:val="top"/>
          </w:tcPr>
          <w:p>
            <w:r>
              <w:rPr>
                <w:rFonts w:ascii="Aptos" w:hAnsi="Aptos"/>
                <w:b w:val="0"/>
                <w:sz w:val="16"/>
              </w:rPr>
              <w:t>No routine exception.</w:t>
            </w:r>
          </w:p>
        </w:tc>
      </w:tr>
      <w:tr>
        <w:tc>
          <w:tcPr>
            <w:tcW w:type="dxa" w:w="4320"/>
            <w:tcMar>
              <w:top w:w="70" w:type="dxa"/>
              <w:start w:w="80" w:type="dxa"/>
              <w:bottom w:w="70" w:type="dxa"/>
              <w:end w:w="80" w:type="dxa"/>
            </w:tcMar>
            <w:vAlign w:val="top"/>
            <w:shd w:fill="F7FAFC"/>
          </w:tcPr>
          <w:p>
            <w:r>
              <w:rPr>
                <w:rFonts w:ascii="Aptos" w:hAnsi="Aptos"/>
                <w:b w:val="0"/>
                <w:sz w:val="16"/>
              </w:rPr>
              <w:t>Sanctions potential match unresolved</w:t>
            </w:r>
          </w:p>
        </w:tc>
        <w:tc>
          <w:tcPr>
            <w:tcW w:type="dxa" w:w="2448"/>
            <w:tcMar>
              <w:top w:w="70" w:type="dxa"/>
              <w:start w:w="80" w:type="dxa"/>
              <w:bottom w:w="70" w:type="dxa"/>
              <w:end w:w="80" w:type="dxa"/>
            </w:tcMar>
            <w:vAlign w:val="top"/>
            <w:shd w:fill="F7FAFC"/>
          </w:tcPr>
          <w:p>
            <w:r>
              <w:rPr>
                <w:rFonts w:ascii="Aptos" w:hAnsi="Aptos"/>
                <w:b w:val="0"/>
                <w:sz w:val="16"/>
              </w:rPr>
              <w:t>Restrict</w:t>
            </w:r>
          </w:p>
        </w:tc>
        <w:tc>
          <w:tcPr>
            <w:tcW w:type="dxa" w:w="3600"/>
            <w:tcMar>
              <w:top w:w="70" w:type="dxa"/>
              <w:start w:w="80" w:type="dxa"/>
              <w:bottom w:w="70" w:type="dxa"/>
              <w:end w:w="80" w:type="dxa"/>
            </w:tcMar>
            <w:vAlign w:val="top"/>
            <w:shd w:fill="F7FAFC"/>
          </w:tcPr>
          <w:p>
            <w:r>
              <w:rPr>
                <w:rFonts w:ascii="Aptos" w:hAnsi="Aptos"/>
                <w:b w:val="0"/>
                <w:sz w:val="16"/>
              </w:rPr>
              <w:t>Specialist AML disposition required.</w:t>
            </w:r>
          </w:p>
        </w:tc>
      </w:tr>
      <w:tr>
        <w:tc>
          <w:tcPr>
            <w:tcW w:type="dxa" w:w="4320"/>
            <w:tcMar>
              <w:top w:w="70" w:type="dxa"/>
              <w:start w:w="80" w:type="dxa"/>
              <w:bottom w:w="70" w:type="dxa"/>
              <w:end w:w="80" w:type="dxa"/>
            </w:tcMar>
            <w:vAlign w:val="top"/>
          </w:tcPr>
          <w:p>
            <w:r>
              <w:rPr>
                <w:rFonts w:ascii="Aptos" w:hAnsi="Aptos"/>
                <w:b w:val="0"/>
                <w:sz w:val="16"/>
              </w:rPr>
              <w:t>Material beneficial owner cannot be established</w:t>
            </w:r>
          </w:p>
        </w:tc>
        <w:tc>
          <w:tcPr>
            <w:tcW w:type="dxa" w:w="2448"/>
            <w:tcMar>
              <w:top w:w="70" w:type="dxa"/>
              <w:start w:w="80" w:type="dxa"/>
              <w:bottom w:w="70" w:type="dxa"/>
              <w:end w:w="80" w:type="dxa"/>
            </w:tcMar>
            <w:vAlign w:val="top"/>
          </w:tcPr>
          <w:p>
            <w:r>
              <w:rPr>
                <w:rFonts w:ascii="Aptos" w:hAnsi="Aptos"/>
                <w:b w:val="0"/>
                <w:sz w:val="16"/>
              </w:rPr>
              <w:t>Restrict / decline</w:t>
            </w:r>
          </w:p>
        </w:tc>
        <w:tc>
          <w:tcPr>
            <w:tcW w:type="dxa" w:w="3600"/>
            <w:tcMar>
              <w:top w:w="70" w:type="dxa"/>
              <w:start w:w="80" w:type="dxa"/>
              <w:bottom w:w="70" w:type="dxa"/>
              <w:end w:w="80" w:type="dxa"/>
            </w:tcMar>
            <w:vAlign w:val="top"/>
          </w:tcPr>
          <w:p>
            <w:r>
              <w:rPr>
                <w:rFonts w:ascii="Aptos" w:hAnsi="Aptos"/>
                <w:b w:val="0"/>
                <w:sz w:val="16"/>
              </w:rPr>
              <w:t>Chief AML Officer / Chief Compliance Officer escalation.</w:t>
            </w:r>
          </w:p>
        </w:tc>
      </w:tr>
      <w:tr>
        <w:tc>
          <w:tcPr>
            <w:tcW w:type="dxa" w:w="4320"/>
            <w:tcMar>
              <w:top w:w="70" w:type="dxa"/>
              <w:start w:w="80" w:type="dxa"/>
              <w:bottom w:w="70" w:type="dxa"/>
              <w:end w:w="80" w:type="dxa"/>
            </w:tcMar>
            <w:vAlign w:val="top"/>
            <w:shd w:fill="F7FAFC"/>
          </w:tcPr>
          <w:p>
            <w:r>
              <w:rPr>
                <w:rFonts w:ascii="Aptos" w:hAnsi="Aptos"/>
                <w:b w:val="0"/>
                <w:sz w:val="16"/>
              </w:rPr>
              <w:t>High-risk PEP EDD incomplete</w:t>
            </w:r>
          </w:p>
        </w:tc>
        <w:tc>
          <w:tcPr>
            <w:tcW w:type="dxa" w:w="2448"/>
            <w:tcMar>
              <w:top w:w="70" w:type="dxa"/>
              <w:start w:w="80" w:type="dxa"/>
              <w:bottom w:w="70" w:type="dxa"/>
              <w:end w:w="80" w:type="dxa"/>
            </w:tcMar>
            <w:vAlign w:val="top"/>
            <w:shd w:fill="F7FAFC"/>
          </w:tcPr>
          <w:p>
            <w:r>
              <w:rPr>
                <w:rFonts w:ascii="Aptos" w:hAnsi="Aptos"/>
                <w:b w:val="0"/>
                <w:sz w:val="16"/>
              </w:rPr>
              <w:t>Restrict</w:t>
            </w:r>
          </w:p>
        </w:tc>
        <w:tc>
          <w:tcPr>
            <w:tcW w:type="dxa" w:w="3600"/>
            <w:tcMar>
              <w:top w:w="70" w:type="dxa"/>
              <w:start w:w="80" w:type="dxa"/>
              <w:bottom w:w="70" w:type="dxa"/>
              <w:end w:w="80" w:type="dxa"/>
            </w:tcMar>
            <w:vAlign w:val="top"/>
            <w:shd w:fill="F7FAFC"/>
          </w:tcPr>
          <w:p>
            <w:r>
              <w:rPr>
                <w:rFonts w:ascii="Aptos" w:hAnsi="Aptos"/>
                <w:b w:val="0"/>
                <w:sz w:val="16"/>
              </w:rPr>
              <w:t>Complete EDD and senior approval.</w:t>
            </w:r>
          </w:p>
        </w:tc>
      </w:tr>
      <w:tr>
        <w:tc>
          <w:tcPr>
            <w:tcW w:type="dxa" w:w="4320"/>
            <w:tcMar>
              <w:top w:w="70" w:type="dxa"/>
              <w:start w:w="80" w:type="dxa"/>
              <w:bottom w:w="70" w:type="dxa"/>
              <w:end w:w="80" w:type="dxa"/>
            </w:tcMar>
            <w:vAlign w:val="top"/>
          </w:tcPr>
          <w:p>
            <w:r>
              <w:rPr>
                <w:rFonts w:ascii="Aptos" w:hAnsi="Aptos"/>
                <w:b w:val="0"/>
                <w:sz w:val="16"/>
              </w:rPr>
              <w:t>Address evidence pending but identity otherwise strong</w:t>
            </w:r>
          </w:p>
        </w:tc>
        <w:tc>
          <w:tcPr>
            <w:tcW w:type="dxa" w:w="2448"/>
            <w:tcMar>
              <w:top w:w="70" w:type="dxa"/>
              <w:start w:w="80" w:type="dxa"/>
              <w:bottom w:w="70" w:type="dxa"/>
              <w:end w:w="80" w:type="dxa"/>
            </w:tcMar>
            <w:vAlign w:val="top"/>
          </w:tcPr>
          <w:p>
            <w:r>
              <w:rPr>
                <w:rFonts w:ascii="Aptos" w:hAnsi="Aptos"/>
                <w:b w:val="0"/>
                <w:sz w:val="16"/>
              </w:rPr>
              <w:t>Restricted-KYC may be available</w:t>
            </w:r>
          </w:p>
        </w:tc>
        <w:tc>
          <w:tcPr>
            <w:tcW w:type="dxa" w:w="3600"/>
            <w:tcMar>
              <w:top w:w="70" w:type="dxa"/>
              <w:start w:w="80" w:type="dxa"/>
              <w:bottom w:w="70" w:type="dxa"/>
              <w:end w:w="80" w:type="dxa"/>
            </w:tcMar>
            <w:vAlign w:val="top"/>
          </w:tcPr>
          <w:p>
            <w:r>
              <w:rPr>
                <w:rFonts w:ascii="Aptos" w:hAnsi="Aptos"/>
                <w:b w:val="0"/>
                <w:sz w:val="16"/>
              </w:rPr>
              <w:t>Only where COP-021 controlled status permits; no lending disbursement.</w:t>
            </w:r>
          </w:p>
        </w:tc>
      </w:tr>
      <w:tr>
        <w:tc>
          <w:tcPr>
            <w:tcW w:type="dxa" w:w="4320"/>
            <w:tcMar>
              <w:top w:w="70" w:type="dxa"/>
              <w:start w:w="80" w:type="dxa"/>
              <w:bottom w:w="70" w:type="dxa"/>
              <w:end w:w="80" w:type="dxa"/>
            </w:tcMar>
            <w:vAlign w:val="top"/>
            <w:shd w:fill="F7FAFC"/>
          </w:tcPr>
          <w:p>
            <w:r>
              <w:rPr>
                <w:rFonts w:ascii="Aptos" w:hAnsi="Aptos"/>
                <w:b w:val="0"/>
                <w:sz w:val="16"/>
              </w:rPr>
              <w:t>Minor non-material document formatting defect</w:t>
            </w:r>
          </w:p>
        </w:tc>
        <w:tc>
          <w:tcPr>
            <w:tcW w:type="dxa" w:w="2448"/>
            <w:tcMar>
              <w:top w:w="70" w:type="dxa"/>
              <w:start w:w="80" w:type="dxa"/>
              <w:bottom w:w="70" w:type="dxa"/>
              <w:end w:w="80" w:type="dxa"/>
            </w:tcMar>
            <w:vAlign w:val="top"/>
            <w:shd w:fill="F7FAFC"/>
          </w:tcPr>
          <w:p>
            <w:r>
              <w:rPr>
                <w:rFonts w:ascii="Aptos" w:hAnsi="Aptos"/>
                <w:b w:val="0"/>
                <w:sz w:val="16"/>
              </w:rPr>
              <w:t>Remediate</w:t>
            </w:r>
          </w:p>
        </w:tc>
        <w:tc>
          <w:tcPr>
            <w:tcW w:type="dxa" w:w="3600"/>
            <w:tcMar>
              <w:top w:w="70" w:type="dxa"/>
              <w:start w:w="80" w:type="dxa"/>
              <w:bottom w:w="70" w:type="dxa"/>
              <w:end w:w="80" w:type="dxa"/>
            </w:tcMar>
            <w:vAlign w:val="top"/>
            <w:shd w:fill="F7FAFC"/>
          </w:tcPr>
          <w:p>
            <w:r>
              <w:rPr>
                <w:rFonts w:ascii="Aptos" w:hAnsi="Aptos"/>
                <w:b w:val="0"/>
                <w:sz w:val="16"/>
              </w:rPr>
              <w:t>May not require restriction if substantive evidence is sound.</w:t>
            </w:r>
          </w:p>
        </w:tc>
      </w:tr>
      <w:tr>
        <w:tc>
          <w:tcPr>
            <w:tcW w:type="dxa" w:w="4320"/>
            <w:tcMar>
              <w:top w:w="70" w:type="dxa"/>
              <w:start w:w="80" w:type="dxa"/>
              <w:bottom w:w="70" w:type="dxa"/>
              <w:end w:w="80" w:type="dxa"/>
            </w:tcMar>
            <w:vAlign w:val="top"/>
          </w:tcPr>
          <w:p>
            <w:r>
              <w:rPr>
                <w:rFonts w:ascii="Aptos" w:hAnsi="Aptos"/>
                <w:b w:val="0"/>
                <w:sz w:val="16"/>
              </w:rPr>
              <w:t>Customer refuses reasonable SoF request in high-risk case</w:t>
            </w:r>
          </w:p>
        </w:tc>
        <w:tc>
          <w:tcPr>
            <w:tcW w:type="dxa" w:w="2448"/>
            <w:tcMar>
              <w:top w:w="70" w:type="dxa"/>
              <w:start w:w="80" w:type="dxa"/>
              <w:bottom w:w="70" w:type="dxa"/>
              <w:end w:w="80" w:type="dxa"/>
            </w:tcMar>
            <w:vAlign w:val="top"/>
          </w:tcPr>
          <w:p>
            <w:r>
              <w:rPr>
                <w:rFonts w:ascii="Aptos" w:hAnsi="Aptos"/>
                <w:b w:val="0"/>
                <w:sz w:val="16"/>
              </w:rPr>
              <w:t>Decline / exit consideration</w:t>
            </w:r>
          </w:p>
        </w:tc>
        <w:tc>
          <w:tcPr>
            <w:tcW w:type="dxa" w:w="3600"/>
            <w:tcMar>
              <w:top w:w="70" w:type="dxa"/>
              <w:start w:w="80" w:type="dxa"/>
              <w:bottom w:w="70" w:type="dxa"/>
              <w:end w:w="80" w:type="dxa"/>
            </w:tcMar>
            <w:vAlign w:val="top"/>
          </w:tcPr>
          <w:p>
            <w:r>
              <w:rPr>
                <w:rFonts w:ascii="Aptos" w:hAnsi="Aptos"/>
                <w:b w:val="0"/>
                <w:sz w:val="16"/>
              </w:rPr>
              <w:t>Assess financial-crime and relationship risk.</w:t>
            </w:r>
          </w:p>
        </w:tc>
      </w:tr>
      <w:tr>
        <w:tc>
          <w:tcPr>
            <w:tcW w:type="dxa" w:w="4320"/>
            <w:tcMar>
              <w:top w:w="70" w:type="dxa"/>
              <w:start w:w="80" w:type="dxa"/>
              <w:bottom w:w="70" w:type="dxa"/>
              <w:end w:w="80" w:type="dxa"/>
            </w:tcMar>
            <w:vAlign w:val="top"/>
            <w:shd w:fill="F7FAFC"/>
          </w:tcPr>
          <w:p>
            <w:r>
              <w:rPr>
                <w:rFonts w:ascii="Aptos" w:hAnsi="Aptos"/>
                <w:b w:val="0"/>
                <w:sz w:val="16"/>
              </w:rPr>
              <w:t>Repeated inconsistent explanations</w:t>
            </w:r>
          </w:p>
        </w:tc>
        <w:tc>
          <w:tcPr>
            <w:tcW w:type="dxa" w:w="2448"/>
            <w:tcMar>
              <w:top w:w="70" w:type="dxa"/>
              <w:start w:w="80" w:type="dxa"/>
              <w:bottom w:w="70" w:type="dxa"/>
              <w:end w:w="80" w:type="dxa"/>
            </w:tcMar>
            <w:vAlign w:val="top"/>
            <w:shd w:fill="F7FAFC"/>
          </w:tcPr>
          <w:p>
            <w:r>
              <w:rPr>
                <w:rFonts w:ascii="Aptos" w:hAnsi="Aptos"/>
                <w:b w:val="0"/>
                <w:sz w:val="16"/>
              </w:rPr>
              <w:t>Restrict / EDD</w:t>
            </w:r>
          </w:p>
        </w:tc>
        <w:tc>
          <w:tcPr>
            <w:tcW w:type="dxa" w:w="3600"/>
            <w:tcMar>
              <w:top w:w="70" w:type="dxa"/>
              <w:start w:w="80" w:type="dxa"/>
              <w:bottom w:w="70" w:type="dxa"/>
              <w:end w:w="80" w:type="dxa"/>
            </w:tcMar>
            <w:vAlign w:val="top"/>
            <w:shd w:fill="F7FAFC"/>
          </w:tcPr>
          <w:p>
            <w:r>
              <w:rPr>
                <w:rFonts w:ascii="Aptos" w:hAnsi="Aptos"/>
                <w:b w:val="0"/>
                <w:sz w:val="16"/>
              </w:rPr>
              <w:t>Treat contradictions as unresolved risk.</w:t>
            </w:r>
          </w:p>
        </w:tc>
      </w:tr>
      <w:tr>
        <w:tc>
          <w:tcPr>
            <w:tcW w:type="dxa" w:w="4320"/>
            <w:tcMar>
              <w:top w:w="70" w:type="dxa"/>
              <w:start w:w="80" w:type="dxa"/>
              <w:bottom w:w="70" w:type="dxa"/>
              <w:end w:w="80" w:type="dxa"/>
            </w:tcMar>
            <w:vAlign w:val="top"/>
          </w:tcPr>
          <w:p>
            <w:r>
              <w:rPr>
                <w:rFonts w:ascii="Aptos" w:hAnsi="Aptos"/>
                <w:b w:val="0"/>
                <w:sz w:val="16"/>
              </w:rPr>
              <w:t>Business activity cannot be plausibly understood</w:t>
            </w:r>
          </w:p>
        </w:tc>
        <w:tc>
          <w:tcPr>
            <w:tcW w:type="dxa" w:w="2448"/>
            <w:tcMar>
              <w:top w:w="70" w:type="dxa"/>
              <w:start w:w="80" w:type="dxa"/>
              <w:bottom w:w="70" w:type="dxa"/>
              <w:end w:w="80" w:type="dxa"/>
            </w:tcMar>
            <w:vAlign w:val="top"/>
          </w:tcPr>
          <w:p>
            <w:r>
              <w:rPr>
                <w:rFonts w:ascii="Aptos" w:hAnsi="Aptos"/>
                <w:b w:val="0"/>
                <w:sz w:val="16"/>
              </w:rPr>
              <w:t>Restrict / decline</w:t>
            </w:r>
          </w:p>
        </w:tc>
        <w:tc>
          <w:tcPr>
            <w:tcW w:type="dxa" w:w="3600"/>
            <w:tcMar>
              <w:top w:w="70" w:type="dxa"/>
              <w:start w:w="80" w:type="dxa"/>
              <w:bottom w:w="70" w:type="dxa"/>
              <w:end w:w="80" w:type="dxa"/>
            </w:tcMar>
            <w:vAlign w:val="top"/>
          </w:tcPr>
          <w:p>
            <w:r>
              <w:rPr>
                <w:rFonts w:ascii="Aptos" w:hAnsi="Aptos"/>
                <w:b w:val="0"/>
                <w:sz w:val="16"/>
              </w:rPr>
              <w:t>Further evidence or customer interview required.</w:t>
            </w:r>
          </w:p>
        </w:tc>
      </w:tr>
      <w:tr>
        <w:tc>
          <w:tcPr>
            <w:tcW w:type="dxa" w:w="4320"/>
            <w:tcMar>
              <w:top w:w="70" w:type="dxa"/>
              <w:start w:w="80" w:type="dxa"/>
              <w:bottom w:w="70" w:type="dxa"/>
              <w:end w:w="80" w:type="dxa"/>
            </w:tcMar>
            <w:vAlign w:val="top"/>
            <w:shd w:fill="F7FAFC"/>
          </w:tcPr>
          <w:p>
            <w:r>
              <w:rPr>
                <w:rFonts w:ascii="Aptos" w:hAnsi="Aptos"/>
                <w:b w:val="0"/>
                <w:sz w:val="16"/>
              </w:rPr>
              <w:t>Expired scheduled review with no trigger indicators</w:t>
            </w:r>
          </w:p>
        </w:tc>
        <w:tc>
          <w:tcPr>
            <w:tcW w:type="dxa" w:w="2448"/>
            <w:tcMar>
              <w:top w:w="70" w:type="dxa"/>
              <w:start w:w="80" w:type="dxa"/>
              <w:bottom w:w="70" w:type="dxa"/>
              <w:end w:w="80" w:type="dxa"/>
            </w:tcMar>
            <w:vAlign w:val="top"/>
            <w:shd w:fill="F7FAFC"/>
          </w:tcPr>
          <w:p>
            <w:r>
              <w:rPr>
                <w:rFonts w:ascii="Aptos" w:hAnsi="Aptos"/>
                <w:b w:val="0"/>
                <w:sz w:val="16"/>
              </w:rPr>
              <w:t>Operational restriction based on ageing rules</w:t>
            </w:r>
          </w:p>
        </w:tc>
        <w:tc>
          <w:tcPr>
            <w:tcW w:type="dxa" w:w="3600"/>
            <w:tcMar>
              <w:top w:w="70" w:type="dxa"/>
              <w:start w:w="80" w:type="dxa"/>
              <w:bottom w:w="70" w:type="dxa"/>
              <w:end w:w="80" w:type="dxa"/>
            </w:tcMar>
            <w:vAlign w:val="top"/>
            <w:shd w:fill="F7FAFC"/>
          </w:tcPr>
          <w:p>
            <w:r>
              <w:rPr>
                <w:rFonts w:ascii="Aptos" w:hAnsi="Aptos"/>
                <w:b w:val="0"/>
                <w:sz w:val="16"/>
              </w:rPr>
              <w:t>Escalate overdue population against RAS-009.</w:t>
            </w:r>
          </w:p>
        </w:tc>
      </w:tr>
      <w:tr>
        <w:tc>
          <w:tcPr>
            <w:tcW w:type="dxa" w:w="4320"/>
            <w:tcMar>
              <w:top w:w="70" w:type="dxa"/>
              <w:start w:w="80" w:type="dxa"/>
              <w:bottom w:w="70" w:type="dxa"/>
              <w:end w:w="80" w:type="dxa"/>
            </w:tcMar>
            <w:vAlign w:val="top"/>
          </w:tcPr>
          <w:p>
            <w:r>
              <w:rPr>
                <w:rFonts w:ascii="Aptos" w:hAnsi="Aptos"/>
                <w:b w:val="0"/>
                <w:sz w:val="16"/>
              </w:rPr>
              <w:t>New PEP detected during existing relationship</w:t>
            </w:r>
          </w:p>
        </w:tc>
        <w:tc>
          <w:tcPr>
            <w:tcW w:type="dxa" w:w="2448"/>
            <w:tcMar>
              <w:top w:w="70" w:type="dxa"/>
              <w:start w:w="80" w:type="dxa"/>
              <w:bottom w:w="70" w:type="dxa"/>
              <w:end w:w="80" w:type="dxa"/>
            </w:tcMar>
            <w:vAlign w:val="top"/>
          </w:tcPr>
          <w:p>
            <w:r>
              <w:rPr>
                <w:rFonts w:ascii="Aptos" w:hAnsi="Aptos"/>
                <w:b w:val="0"/>
                <w:sz w:val="16"/>
              </w:rPr>
              <w:t>Trigger review / enhanced monitoring</w:t>
            </w:r>
          </w:p>
        </w:tc>
        <w:tc>
          <w:tcPr>
            <w:tcW w:type="dxa" w:w="3600"/>
            <w:tcMar>
              <w:top w:w="70" w:type="dxa"/>
              <w:start w:w="80" w:type="dxa"/>
              <w:bottom w:w="70" w:type="dxa"/>
              <w:end w:w="80" w:type="dxa"/>
            </w:tcMar>
            <w:vAlign w:val="top"/>
          </w:tcPr>
          <w:p>
            <w:r>
              <w:rPr>
                <w:rFonts w:ascii="Aptos" w:hAnsi="Aptos"/>
                <w:b w:val="0"/>
                <w:sz w:val="16"/>
              </w:rPr>
              <w:t>Formal review within 30 days; senior approval.</w:t>
            </w:r>
          </w:p>
        </w:tc>
      </w:tr>
      <w:tr>
        <w:tc>
          <w:tcPr>
            <w:tcW w:type="dxa" w:w="4320"/>
            <w:tcMar>
              <w:top w:w="70" w:type="dxa"/>
              <w:start w:w="80" w:type="dxa"/>
              <w:bottom w:w="70" w:type="dxa"/>
              <w:end w:w="80" w:type="dxa"/>
            </w:tcMar>
            <w:vAlign w:val="top"/>
            <w:shd w:fill="F7FAFC"/>
          </w:tcPr>
          <w:p>
            <w:r>
              <w:rPr>
                <w:rFonts w:ascii="Aptos" w:hAnsi="Aptos"/>
                <w:b w:val="0"/>
                <w:sz w:val="16"/>
              </w:rPr>
              <w:t>Material adverse information unresolved</w:t>
            </w:r>
          </w:p>
        </w:tc>
        <w:tc>
          <w:tcPr>
            <w:tcW w:type="dxa" w:w="2448"/>
            <w:tcMar>
              <w:top w:w="70" w:type="dxa"/>
              <w:start w:w="80" w:type="dxa"/>
              <w:bottom w:w="70" w:type="dxa"/>
              <w:end w:w="80" w:type="dxa"/>
            </w:tcMar>
            <w:vAlign w:val="top"/>
            <w:shd w:fill="F7FAFC"/>
          </w:tcPr>
          <w:p>
            <w:r>
              <w:rPr>
                <w:rFonts w:ascii="Aptos" w:hAnsi="Aptos"/>
                <w:b w:val="0"/>
                <w:sz w:val="16"/>
              </w:rPr>
              <w:t>EDD / restrict as appropriate</w:t>
            </w:r>
          </w:p>
        </w:tc>
        <w:tc>
          <w:tcPr>
            <w:tcW w:type="dxa" w:w="3600"/>
            <w:tcMar>
              <w:top w:w="70" w:type="dxa"/>
              <w:start w:w="80" w:type="dxa"/>
              <w:bottom w:w="70" w:type="dxa"/>
              <w:end w:w="80" w:type="dxa"/>
            </w:tcMar>
            <w:vAlign w:val="top"/>
            <w:shd w:fill="F7FAFC"/>
          </w:tcPr>
          <w:p>
            <w:r>
              <w:rPr>
                <w:rFonts w:ascii="Aptos" w:hAnsi="Aptos"/>
                <w:b w:val="0"/>
                <w:sz w:val="16"/>
              </w:rPr>
              <w:t>Decision based on credibility and relevance.</w:t>
            </w:r>
          </w:p>
        </w:tc>
      </w:tr>
    </w:tbl>
    <w:p/>
    <w:p>
      <w:pPr>
        <w:jc w:val="center"/>
      </w:pPr>
      <w:r>
        <w:rPr>
          <w:rFonts w:ascii="Aptos" w:hAnsi="Aptos"/>
          <w:b/>
          <w:color w:val="666666"/>
          <w:sz w:val="16"/>
        </w:rPr>
        <w:t>END OF CONTROLLED DOCUMENT</w:t>
      </w:r>
    </w:p>
    <w:sectPr w:rsidR="00FC693F" w:rsidRPr="0006063C" w:rsidSect="00034616">
      <w:headerReference w:type="default" r:id="rId9"/>
      <w:footerReference w:type="default" r:id="rId10"/>
      <w:pgSz w:w="12240" w:h="15840"/>
      <w:pgMar w:top="792" w:right="936" w:bottom="835"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456"/>
      <w:gridCol w:w="3456"/>
      <w:gridCol w:w="3456"/>
    </w:tblGrid>
    <w:tr>
      <w:tc>
        <w:tcPr>
          <w:tcW w:type="dxa" w:w="3312"/>
          <w:tcMar>
            <w:top w:w="20" w:type="dxa"/>
            <w:start w:w="20" w:type="dxa"/>
            <w:bottom w:w="20" w:type="dxa"/>
            <w:end w:w="20" w:type="dxa"/>
          </w:tcMar>
        </w:tcPr>
        <w:p>
          <w:r>
            <w:rPr>
              <w:rFonts w:ascii="Aptos" w:hAnsi="Aptos"/>
              <w:color w:val="666666"/>
              <w:sz w:val="14"/>
            </w:rPr>
            <w:t>CDD-005 | v1.8</w:t>
          </w:r>
        </w:p>
      </w:tc>
      <w:tc>
        <w:tcPr>
          <w:tcW w:type="dxa" w:w="4032"/>
          <w:tcMar>
            <w:top w:w="20" w:type="dxa"/>
            <w:start w:w="20" w:type="dxa"/>
            <w:bottom w:w="20" w:type="dxa"/>
            <w:end w:w="20" w:type="dxa"/>
          </w:tcMar>
        </w:tcPr>
        <w:p>
          <w:pPr>
            <w:jc w:val="center"/>
          </w:pPr>
          <w:r>
            <w:rPr>
              <w:rFonts w:ascii="Aptos" w:hAnsi="Aptos"/>
              <w:color w:val="666666"/>
              <w:sz w:val="14"/>
            </w:rPr>
            <w:t>Synthetic Internal Document</w:t>
          </w:r>
        </w:p>
      </w:tc>
      <w:tc>
        <w:tcPr>
          <w:tcW w:type="dxa" w:w="3024"/>
          <w:tcMar>
            <w:top w:w="20" w:type="dxa"/>
            <w:start w:w="20" w:type="dxa"/>
            <w:bottom w:w="20" w:type="dxa"/>
            <w:end w:w="20" w:type="dxa"/>
          </w:tcMar>
        </w:tcPr>
        <w:p>
          <w:pPr>
            <w:jc w:val="right"/>
          </w:pPr>
          <w:r>
            <w:rPr>
              <w:rFonts w:ascii="Aptos" w:hAnsi="Aptos"/>
              <w:color w:val="666666"/>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5"/>
      </w:rPr>
      <w:t>NORTHSTAR FINANCIAL  |  INTERNAL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ControlBullet">
    <w:name w:val="Control Bullet"/>
    <w:pPr>
      <w:spacing w:after="44"/>
      <w:ind w:left="259" w:hanging="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