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b/>
          <w:sz w:val="40"/>
        </w:rPr>
        <w:t>NORTHSTAR FINANCIAL</w:t>
      </w:r>
    </w:p>
    <w:p>
      <w:pPr>
        <w:jc w:val="center"/>
      </w:pPr>
      <w:r>
        <w:rPr>
          <w:b/>
          <w:sz w:val="38"/>
        </w:rPr>
        <w:t>Customer Onboarding Procedure</w:t>
      </w:r>
    </w:p>
    <w:p>
      <w:pPr>
        <w:jc w:val="center"/>
      </w:pPr>
      <w:r>
        <w:rPr>
          <w:b/>
          <w:sz w:val="24"/>
        </w:rPr>
        <w:t>COP-021</w:t>
      </w:r>
    </w:p>
    <w:p>
      <w:pPr>
        <w:jc w:val="center"/>
      </w:pPr>
      <w:r>
        <w:rPr>
          <w:b/>
        </w:rPr>
        <w:t>Version 1.2  |  Effective 15 July 2025</w:t>
      </w:r>
    </w:p>
    <w:p>
      <w:pPr>
        <w:jc w:val="center"/>
      </w:pPr>
      <w:r>
        <w:rPr>
          <w:b/>
        </w:rPr>
        <w:t>Classification: INTERNAL — CONTROLLED</w:t>
      </w:r>
    </w:p>
    <w:p>
      <w:pPr>
        <w:spacing w:before="280"/>
        <w:jc w:val="center"/>
      </w:pPr>
      <w:r>
        <w:rPr>
          <w:i/>
          <w:sz w:val="17"/>
        </w:rPr>
        <w:t>Northstar Financial — Synthetic Internal Document. This document is fictional and created solely for educational and software-development purposes. It does not represent an actual financial institution, regulatory requirement, legal obligation, or financial advice.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Document ID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COP-021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Document Title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Customer Onboarding Procedure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Policy / Procedure Owner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Devika Shah — Head of Customer Operations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Business Unit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Customer Operations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Approving Authority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Chief Operations Officer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Effective Date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15 July 2025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Previous Version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1.1 — 1 February 2024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Review Frequency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18 months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Classification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INTERNAL — CONTROLLED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Supersedes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COP-021 v1.1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Related Documents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KYC-004 v2.1; KEP-022; AML-003; LOP-002 v2.3; PLU-011 v1.4; LDP-013 v1.2</w:t>
            </w:r>
          </w:p>
        </w:tc>
      </w:tr>
    </w:tbl>
    <w:p>
      <w:pPr>
        <w:spacing w:after="20"/>
      </w:pPr>
    </w:p>
    <w:p>
      <w:pPr>
        <w:pStyle w:val="Heading2"/>
      </w:pPr>
      <w:r>
        <w:t>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Role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Name / Committee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Decision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Date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Approving Authority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Chief Operations Officer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Approved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4 July 2025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Control Owner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Devika Shah — Head of Customer Operations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Issued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10 July 2025</w:t>
            </w:r>
          </w:p>
        </w:tc>
      </w:tr>
    </w:tbl>
    <w:p>
      <w:pPr>
        <w:spacing w:after="2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Version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Effective date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Change summary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1.0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 August 2022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Initial onboarding workflow.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1.1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 February 2024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Added digital verification and duplicate-customer controls.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1.2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15 July 2025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Aligned new cases to KYC-004 v2.1 and introduced staged activation and stronger checker requirements.</w:t>
            </w:r>
          </w:p>
        </w:tc>
      </w:tr>
    </w:tbl>
    <w:p>
      <w:pPr>
        <w:spacing w:after="20"/>
      </w:pPr>
    </w:p>
    <w:p>
      <w:pPr>
        <w:ind w:left="259" w:right="259"/>
      </w:pPr>
      <w:r>
        <w:rPr>
          <w:i/>
          <w:sz w:val="16"/>
        </w:rPr>
        <w:t>Controlled copies are maintained in the Northstar Financial policy repository. Printed or locally saved copies are uncontrolled unless explicitly marked otherwise.</w:t>
      </w:r>
    </w:p>
    <w:p>
      <w:pPr>
        <w:pStyle w:val="Heading1"/>
      </w:pPr>
      <w:r>
        <w:t>Contents</w:t>
      </w:r>
    </w:p>
    <w:p>
      <w:r>
        <w:t>1. Purpose and Workflow Scope</w:t>
      </w:r>
    </w:p>
    <w:p>
      <w:r>
        <w:t>2. Roles and Segregation of Duties</w:t>
      </w:r>
    </w:p>
    <w:p>
      <w:r>
        <w:t>3. Application and Customer Intake</w:t>
      </w:r>
    </w:p>
    <w:p>
      <w:r>
        <w:t>4. Existing-Customer and Duplicate Checks</w:t>
      </w:r>
    </w:p>
    <w:p>
      <w:r>
        <w:t>5. Identity and Contact Data Capture</w:t>
      </w:r>
    </w:p>
    <w:p>
      <w:r>
        <w:t>6. Document Collection and Image Quality</w:t>
      </w:r>
    </w:p>
    <w:p>
      <w:r>
        <w:t>7. Electronic Verification and Digital Controls</w:t>
      </w:r>
    </w:p>
    <w:p>
      <w:r>
        <w:t>8. Address Reconciliation</w:t>
      </w:r>
    </w:p>
    <w:p>
      <w:r>
        <w:t>9. Entity and Beneficial-Ownership Capture</w:t>
      </w:r>
    </w:p>
    <w:p>
      <w:r>
        <w:t>10. KYC Screening and Risk Tier</w:t>
      </w:r>
    </w:p>
    <w:p>
      <w:r>
        <w:t>11. Fraud and Device Indicators</w:t>
      </w:r>
    </w:p>
    <w:p>
      <w:r>
        <w:t>12. Customer Consent and Disclosures</w:t>
      </w:r>
    </w:p>
    <w:p>
      <w:r>
        <w:t>13. Maker Review</w:t>
      </w:r>
    </w:p>
    <w:p>
      <w:r>
        <w:t>14. Checker Review and Staged Activation</w:t>
      </w:r>
    </w:p>
    <w:p>
      <w:r>
        <w:t>15. Incomplete, Abandoned and Withdrawn Cases</w:t>
      </w:r>
    </w:p>
    <w:p>
      <w:r>
        <w:t>16. Escalations and Restricted Cases</w:t>
      </w:r>
    </w:p>
    <w:p>
      <w:r>
        <w:t>17. Handover to Credit / Product Processing</w:t>
      </w:r>
    </w:p>
    <w:p>
      <w:r>
        <w:t>18. Post-Onboarding Corrections and QA</w:t>
      </w:r>
    </w:p>
    <w:p>
      <w:r>
        <w:t>19. Turnaround Standards and Management Information</w:t>
      </w:r>
    </w:p>
    <w:p>
      <w:r>
        <w:t>20. Records, Retention and Transition</w:t>
      </w:r>
    </w:p>
    <w:p>
      <w:r>
        <w:t>Appendix A. Onboarding Checklist</w:t>
      </w:r>
    </w:p>
    <w:p>
      <w:r>
        <w:t>Appendix B. Maker-Checker Matrix</w:t>
      </w:r>
    </w:p>
    <w:p>
      <w:r>
        <w:t>Appendix C. Restriction Codes</w:t>
      </w:r>
    </w:p>
    <w:p>
      <w:r>
        <w:t>Appendix D. Duplicate Customer Decision Tree</w:t>
      </w:r>
    </w:p>
    <w:p>
      <w:r>
        <w:t>Appendix E. Transition Cases</w:t>
      </w:r>
    </w:p>
    <w:p>
      <w:pPr>
        <w:ind w:left="259" w:right="259"/>
      </w:pPr>
      <w:r>
        <w:rPr>
          <w:i/>
          <w:sz w:val="16"/>
        </w:rPr>
        <w:t>Section numbering in this document is authoritative. Cross-references are subject to the version and effective-date rules stated in the referenced document.</w:t>
      </w:r>
    </w:p>
    <w:p>
      <w:pPr>
        <w:pStyle w:val="Heading1"/>
      </w:pPr>
      <w:r>
        <w:t>1. Purpose and Workflow Scope</w:t>
      </w:r>
    </w:p>
    <w:p>
      <w:r>
        <w:t>This Procedure describes how Customer Operations creates and verifies a customer record from initial intake through activation or controlled handover. It operationalizes KYC-004 and does not replace credit, AML, sanctions or product approval requirements.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Each onboarding case shall have a unique workflow reference and assigned maker.</w:t>
      </w:r>
    </w:p>
    <w:p>
      <w:pPr>
        <w:ind w:left="259" w:hanging="202"/>
      </w:pPr>
      <w:r>
        <w:rPr>
          <w:b/>
        </w:rPr>
        <w:t xml:space="preserve">• </w:t>
      </w:r>
      <w:r>
        <w:t>No customer shall be treated as fully onboarded solely because an application record exists.</w:t>
      </w:r>
    </w:p>
    <w:p>
      <w:pPr>
        <w:ind w:left="259" w:hanging="202"/>
      </w:pPr>
      <w:r>
        <w:rPr>
          <w:b/>
        </w:rPr>
        <w:t xml:space="preserve">• </w:t>
      </w:r>
      <w:r>
        <w:t>Where this Procedure is more restrictive than KYC-004 for a specific channel, this Procedure applies operationally.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Onboarding workflow record, customer ID, source channel, status history.</w:t>
      </w:r>
    </w:p>
    <w:p>
      <w:pPr>
        <w:pStyle w:val="Heading1"/>
      </w:pPr>
      <w:r>
        <w:t>2. Roles and Segregation of Duties</w:t>
      </w:r>
    </w:p>
    <w:p>
      <w:r>
        <w:t>The onboarding maker performs intake, evidence capture and initial verification. Checkers review cases triggered by risk, channel, discrepancy or manual override rules.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A maker shall not perform the final checker action on the same high-risk case.</w:t>
      </w:r>
    </w:p>
    <w:p>
      <w:pPr>
        <w:ind w:left="259" w:hanging="202"/>
      </w:pPr>
      <w:r>
        <w:rPr>
          <w:b/>
        </w:rPr>
        <w:t xml:space="preserve">• </w:t>
      </w:r>
      <w:r>
        <w:t>Credit approvers are not substitutes for KYC checkers.</w:t>
      </w:r>
    </w:p>
    <w:p>
      <w:pPr>
        <w:ind w:left="259" w:hanging="202"/>
      </w:pPr>
      <w:r>
        <w:rPr>
          <w:b/>
        </w:rPr>
        <w:t xml:space="preserve">• </w:t>
      </w:r>
      <w:r>
        <w:t>AML Compliance resolves PEP and sanctions matters; Fraud Risk resolves suspected impersonation or document manipulation.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Role entitlement, maker/checker timestamps, escalations.</w:t>
      </w:r>
    </w:p>
    <w:p>
      <w:pPr>
        <w:pStyle w:val="Heading1"/>
      </w:pPr>
      <w:r>
        <w:t>3. Application and Customer Intake</w:t>
      </w:r>
    </w:p>
    <w:p>
      <w:r>
        <w:t>Customer data shall be captured from the original application or authenticated digital journey without unrecorded interpretation. Intake must distinguish customer-entered information from staff-added corrections.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Mandatory fields must be completed before verification begins, except fields explicitly permitted to remain pending.</w:t>
      </w:r>
    </w:p>
    <w:p>
      <w:pPr>
        <w:ind w:left="259" w:hanging="202"/>
      </w:pPr>
      <w:r>
        <w:rPr>
          <w:b/>
        </w:rPr>
        <w:t xml:space="preserve">• </w:t>
      </w:r>
      <w:r>
        <w:t>Customer-declared occupation, employer, income range and purpose shall be captured where required by product.</w:t>
      </w:r>
    </w:p>
    <w:p>
      <w:pPr>
        <w:ind w:left="259" w:hanging="202"/>
      </w:pPr>
      <w:r>
        <w:rPr>
          <w:b/>
        </w:rPr>
        <w:t xml:space="preserve">• </w:t>
      </w:r>
      <w:r>
        <w:t>Data changes after verification must create an audit event and may invalidate prior checks.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Application source, field history, consent capture, intake timestamp.</w:t>
      </w:r>
    </w:p>
    <w:p>
      <w:pPr>
        <w:pStyle w:val="Heading1"/>
      </w:pPr>
      <w:r>
        <w:t>4. Existing-Customer and Duplicate Checks</w:t>
      </w:r>
    </w:p>
    <w:p>
      <w:r>
        <w:t>Operations shall search for an existing Northstar customer record before creating a new customer ID. Duplicate records create screening, exposure and servicing risk.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Duplicate search shall use name, date of birth, PAN/approved identifier, mobile and email where available.</w:t>
      </w:r>
    </w:p>
    <w:p>
      <w:pPr>
        <w:ind w:left="259" w:hanging="202"/>
      </w:pPr>
      <w:r>
        <w:rPr>
          <w:b/>
        </w:rPr>
        <w:t xml:space="preserve">• </w:t>
      </w:r>
      <w:r>
        <w:t>Probable duplicates must be merged or linked under the approved master-data process before unrestricted activation.</w:t>
      </w:r>
    </w:p>
    <w:p>
      <w:pPr>
        <w:ind w:left="259" w:hanging="202"/>
      </w:pPr>
      <w:r>
        <w:rPr>
          <w:b/>
        </w:rPr>
        <w:t xml:space="preserve">• </w:t>
      </w:r>
      <w:r>
        <w:t>Multiple loan applications may remain separate, but customer identity shall remain linked to one approved customer master record unless a controlled exception exists.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Duplicate-search result, merge/link record, override reason.</w:t>
      </w:r>
    </w:p>
    <w:p>
      <w:pPr>
        <w:pStyle w:val="Heading1"/>
      </w:pPr>
      <w:r>
        <w:t>5. Identity and Contact Data Capture</w:t>
      </w:r>
    </w:p>
    <w:p>
      <w:r>
        <w:t>Identity fields shall be transcribed or electronically captured accurately and normalized only under approved data standards.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Names must preserve meaningful components; initials may not be expanded without evidence.</w:t>
      </w:r>
    </w:p>
    <w:p>
      <w:pPr>
        <w:ind w:left="259" w:hanging="202"/>
      </w:pPr>
      <w:r>
        <w:rPr>
          <w:b/>
        </w:rPr>
        <w:t xml:space="preserve">• </w:t>
      </w:r>
      <w:r>
        <w:t>Mobile and email ownership or possession checks shall be completed where the channel supports them.</w:t>
      </w:r>
    </w:p>
    <w:p>
      <w:pPr>
        <w:ind w:left="259" w:hanging="202"/>
      </w:pPr>
      <w:r>
        <w:rPr>
          <w:b/>
        </w:rPr>
        <w:t xml:space="preserve">• </w:t>
      </w:r>
      <w:r>
        <w:t>Contact-point mismatch with an existing customer record requires customer authentication and review.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Identity data, contact verification result, correction history.</w:t>
      </w:r>
    </w:p>
    <w:p>
      <w:pPr>
        <w:pStyle w:val="Heading1"/>
      </w:pPr>
      <w:r>
        <w:t>6. Document Collection and Image Quality</w:t>
      </w:r>
    </w:p>
    <w:p>
      <w:r>
        <w:t>Document images shall be readable, complete and sufficient to support verification. Low-quality images that prevent reasonable review shall be recollected.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Front and back images shall be captured where the document design requires both.</w:t>
      </w:r>
    </w:p>
    <w:p>
      <w:pPr>
        <w:ind w:left="259" w:hanging="202"/>
      </w:pPr>
      <w:r>
        <w:rPr>
          <w:b/>
        </w:rPr>
        <w:t xml:space="preserve">• </w:t>
      </w:r>
      <w:r>
        <w:t>Cropping may not remove document edges or security features needed for review.</w:t>
      </w:r>
    </w:p>
    <w:p>
      <w:pPr>
        <w:ind w:left="259" w:hanging="202"/>
      </w:pPr>
      <w:r>
        <w:rPr>
          <w:b/>
        </w:rPr>
        <w:t xml:space="preserve">• </w:t>
      </w:r>
      <w:r>
        <w:t>Documents with visible alteration, inconsistent fonts or unexplained overwriting must be escalated for fraud review.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Document image, quality result, recollection request, fraud referral where applicable.</w:t>
      </w:r>
    </w:p>
    <w:p>
      <w:pPr>
        <w:pStyle w:val="Heading1"/>
      </w:pPr>
      <w:r>
        <w:t>7. Electronic Verification and Digital Controls</w:t>
      </w:r>
    </w:p>
    <w:p>
      <w:r>
        <w:t>Digital onboarding uses automated checks to supplement, not eliminate, reviewer judgement. System results must be preserved with the case.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Identity verification result, liveness result, contact possession and device-risk result shall be retained.</w:t>
      </w:r>
    </w:p>
    <w:p>
      <w:pPr>
        <w:ind w:left="259" w:hanging="202"/>
      </w:pPr>
      <w:r>
        <w:rPr>
          <w:b/>
        </w:rPr>
        <w:t xml:space="preserve">• </w:t>
      </w:r>
      <w:r>
        <w:t>Two failed liveness attempts require manual review; a third attempt is not permitted unless Fraud Risk or KYC authorizes reset.</w:t>
      </w:r>
    </w:p>
    <w:p>
      <w:pPr>
        <w:ind w:left="259" w:hanging="202"/>
      </w:pPr>
      <w:r>
        <w:rPr>
          <w:b/>
        </w:rPr>
        <w:t xml:space="preserve">• </w:t>
      </w:r>
      <w:r>
        <w:t>Manual fallback after electronic failure requires a reason code and checker review for Medium or High-risk customers.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Verification logs, device result, reset approval, manual fallback reason.</w:t>
      </w:r>
    </w:p>
    <w:p>
      <w:pPr>
        <w:pStyle w:val="Heading1"/>
      </w:pPr>
      <w:r>
        <w:t>8. Address Reconciliation</w:t>
      </w:r>
    </w:p>
    <w:p>
      <w:r>
        <w:t>Where address evidence differs, the maker shall determine whether the difference reflects old information, mailing versus residential address, formatting or a material inconsistency.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Same residence with different abbreviations may be normalized without checker approval.</w:t>
      </w:r>
    </w:p>
    <w:p>
      <w:pPr>
        <w:ind w:left="259" w:hanging="202"/>
      </w:pPr>
      <w:r>
        <w:rPr>
          <w:b/>
        </w:rPr>
        <w:t xml:space="preserve">• </w:t>
      </w:r>
      <w:r>
        <w:t>Different city or state requires supporting evidence and checker review when the customer is Medium or High risk.</w:t>
      </w:r>
    </w:p>
    <w:p>
      <w:pPr>
        <w:ind w:left="259" w:hanging="202"/>
      </w:pPr>
      <w:r>
        <w:rPr>
          <w:b/>
        </w:rPr>
        <w:t xml:space="preserve">• </w:t>
      </w:r>
      <w:r>
        <w:t>A recent digital address confirmation may supplement, but not automatically replace, a contradictory documentary address.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Address comparison, explanation, supporting evidence, checker note.</w:t>
      </w:r>
    </w:p>
    <w:p>
      <w:pPr>
        <w:pStyle w:val="Heading1"/>
      </w:pPr>
      <w:r>
        <w:t>9. Entity and Beneficial-Ownership Capture</w:t>
      </w:r>
    </w:p>
    <w:p>
      <w:r>
        <w:t>Entity onboarding shall capture constitution, authorized signatories, ownership and control information before activation.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Standard corporate customers require beneficial-owner identification at the 25% ownership/control threshold.</w:t>
      </w:r>
    </w:p>
    <w:p>
      <w:pPr>
        <w:ind w:left="259" w:hanging="202"/>
      </w:pPr>
      <w:r>
        <w:rPr>
          <w:b/>
        </w:rPr>
        <w:t xml:space="preserve">• </w:t>
      </w:r>
      <w:r>
        <w:t>High-risk or materially layered structures require additional ownership/control information down to 10% in line with KYC-004 v2.1.</w:t>
      </w:r>
    </w:p>
    <w:p>
      <w:pPr>
        <w:ind w:left="259" w:hanging="202"/>
      </w:pPr>
      <w:r>
        <w:rPr>
          <w:b/>
        </w:rPr>
        <w:t xml:space="preserve">• </w:t>
      </w:r>
      <w:r>
        <w:t>An ownership chart shall be retained where more than two ownership layers exist.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Entity record, ownership worksheet, chart, signatory authority evidence.</w:t>
      </w:r>
    </w:p>
    <w:p>
      <w:pPr>
        <w:pStyle w:val="Heading1"/>
      </w:pPr>
      <w:r>
        <w:t>10. KYC Screening and Risk Tier</w:t>
      </w:r>
    </w:p>
    <w:p>
      <w:r>
        <w:t>The maker shall initiate required screening and assign the preliminary KYC risk tier. Screening cannot be treated as complete while a material alert remains open.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Potential PEP and sanctions alerts must be routed to the designated queue.</w:t>
      </w:r>
    </w:p>
    <w:p>
      <w:pPr>
        <w:ind w:left="259" w:hanging="202"/>
      </w:pPr>
      <w:r>
        <w:rPr>
          <w:b/>
        </w:rPr>
        <w:t xml:space="preserve">• </w:t>
      </w:r>
      <w:r>
        <w:t>High KYC risk requires checker approval.</w:t>
      </w:r>
    </w:p>
    <w:p>
      <w:pPr>
        <w:ind w:left="259" w:hanging="202"/>
      </w:pPr>
      <w:r>
        <w:rPr>
          <w:b/>
        </w:rPr>
        <w:t xml:space="preserve">• </w:t>
      </w:r>
      <w:r>
        <w:t>An AML risk outcome may be higher than the preliminary KYC tier; the higher downstream restriction applies.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Screening IDs, risk tier, alert queue, checker result.</w:t>
      </w:r>
    </w:p>
    <w:p>
      <w:pPr>
        <w:pStyle w:val="Heading1"/>
      </w:pPr>
      <w:r>
        <w:t>11. Fraud and Device Indicators</w:t>
      </w:r>
    </w:p>
    <w:p>
      <w:r>
        <w:t>Onboarding shall consider fraud indicators separately from KYC identity verification. A customer may pass identity checks yet still present material fraud concerns.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Velocity, emulator/rooted device, unusual device-sharing or repeated document attempts shall be routed according to Fraud Risk rules.</w:t>
      </w:r>
    </w:p>
    <w:p>
      <w:pPr>
        <w:ind w:left="259" w:hanging="202"/>
      </w:pPr>
      <w:r>
        <w:rPr>
          <w:b/>
        </w:rPr>
        <w:t xml:space="preserve">• </w:t>
      </w:r>
      <w:r>
        <w:t>Known shared household devices are not automatically fraudulent; the business context must be considered.</w:t>
      </w:r>
    </w:p>
    <w:p>
      <w:pPr>
        <w:ind w:left="259" w:hanging="202"/>
      </w:pPr>
      <w:r>
        <w:rPr>
          <w:b/>
        </w:rPr>
        <w:t xml:space="preserve">• </w:t>
      </w:r>
      <w:r>
        <w:t>Fraud holds prevent handover to disbursement even where KYC is otherwise complete.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Fraud score, device events, referral outcome, hold code.</w:t>
      </w:r>
    </w:p>
    <w:p>
      <w:pPr>
        <w:pStyle w:val="Heading1"/>
      </w:pPr>
      <w:r>
        <w:t>12. Customer Consent and Disclosures</w:t>
      </w:r>
    </w:p>
    <w:p>
      <w:r>
        <w:t>Required customer acknowledgements shall be captured in a durable form appropriate to the channel.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Consent evidence must identify version, timestamp and channel.</w:t>
      </w:r>
    </w:p>
    <w:p>
      <w:pPr>
        <w:ind w:left="259" w:hanging="202"/>
      </w:pPr>
      <w:r>
        <w:rPr>
          <w:b/>
        </w:rPr>
        <w:t xml:space="preserve">• </w:t>
      </w:r>
      <w:r>
        <w:t>Operations shall not backdate or recreate consent to cure a missing record.</w:t>
      </w:r>
    </w:p>
    <w:p>
      <w:pPr>
        <w:ind w:left="259" w:hanging="202"/>
      </w:pPr>
      <w:r>
        <w:rPr>
          <w:b/>
        </w:rPr>
        <w:t xml:space="preserve">• </w:t>
      </w:r>
      <w:r>
        <w:t>Where consent is missing, the case remains incomplete until validly obtained or formally withdrawn.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Consent record, disclosure version, customer acknowledgement.</w:t>
      </w:r>
    </w:p>
    <w:p>
      <w:pPr>
        <w:pStyle w:val="Heading1"/>
      </w:pPr>
      <w:r>
        <w:t>13. Maker Review</w:t>
      </w:r>
    </w:p>
    <w:p>
      <w:r>
        <w:t>Before submitting a case for checker review or completion, the maker shall confirm the completeness and internal consistency of the onboarding record.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Mandatory identity, contact, screening and risk fields must be complete.</w:t>
      </w:r>
    </w:p>
    <w:p>
      <w:pPr>
        <w:ind w:left="259" w:hanging="202"/>
      </w:pPr>
      <w:r>
        <w:rPr>
          <w:b/>
        </w:rPr>
        <w:t xml:space="preserve">• </w:t>
      </w:r>
      <w:r>
        <w:t>Unresolved alerts, material discrepancies and fraud holds must be visible in the workflow.</w:t>
      </w:r>
    </w:p>
    <w:p>
      <w:pPr>
        <w:ind w:left="259" w:hanging="202"/>
      </w:pPr>
      <w:r>
        <w:rPr>
          <w:b/>
        </w:rPr>
        <w:t xml:space="preserve">• </w:t>
      </w:r>
      <w:r>
        <w:t>Maker notes shall be factual and concise and shall not direct the checker to approve.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Maker checklist, notes, submission timestamp.</w:t>
      </w:r>
    </w:p>
    <w:p>
      <w:pPr>
        <w:pStyle w:val="Heading1"/>
      </w:pPr>
      <w:r>
        <w:t>14. Checker Review and Staged Activation</w:t>
      </w:r>
    </w:p>
    <w:p>
      <w:r>
        <w:t>Staged activation allows limited progress where some downstream controls remain pending, but it does not permit unrestricted use contrary to KYC-004.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High-risk non-face-to-face cases require checker approval before unrestricted activation.</w:t>
      </w:r>
    </w:p>
    <w:p>
      <w:pPr>
        <w:ind w:left="259" w:hanging="202"/>
      </w:pPr>
      <w:r>
        <w:rPr>
          <w:b/>
        </w:rPr>
        <w:t xml:space="preserve">• </w:t>
      </w:r>
      <w:r>
        <w:t>A customer may receive a customer ID before checker completion, but the relationship status shall remain Restricted-KYC.</w:t>
      </w:r>
    </w:p>
    <w:p>
      <w:pPr>
        <w:ind w:left="259" w:hanging="202"/>
      </w:pPr>
      <w:r>
        <w:rPr>
          <w:b/>
        </w:rPr>
        <w:t xml:space="preserve">• </w:t>
      </w:r>
      <w:r>
        <w:t>For lending, a credit decision may be recorded while KYC remains restricted, but LDP-013 prohibits disbursement until release conditions are satisfied.</w:t>
      </w:r>
    </w:p>
    <w:p>
      <w:pPr>
        <w:pStyle w:val="Heading2"/>
      </w:pPr>
      <w:r>
        <w:t>Activation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Case type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Checker requirement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Permitted status before checker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Low-risk branch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Rule based / not always required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Active where all controls pass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Medium-risk remote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Required on manual fallback or discrepancy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Restricted-KYC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High-risk any channel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Restricted-KYC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Potential PEP/sanctions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AML disposition + checker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Restricted-Screening</w:t>
            </w:r>
          </w:p>
        </w:tc>
      </w:tr>
    </w:tbl>
    <w:p>
      <w:pPr>
        <w:spacing w:after="20"/>
      </w:pP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Checker checklist, activation status, restriction code, release timestamp.</w:t>
      </w:r>
    </w:p>
    <w:p>
      <w:pPr>
        <w:pStyle w:val="Heading1"/>
      </w:pPr>
      <w:r>
        <w:t>15. Incomplete, Abandoned and Withdrawn Cases</w:t>
      </w:r>
    </w:p>
    <w:p>
      <w:r>
        <w:t>Incomplete cases shall not remain indefinitely in active processing queues. Operations shall apply controlled expiry and archive rules.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Cases with no customer action for 30 calendar days may be marked Abandoned unless product rules require a shorter period.</w:t>
      </w:r>
    </w:p>
    <w:p>
      <w:pPr>
        <w:ind w:left="259" w:hanging="202"/>
      </w:pPr>
      <w:r>
        <w:rPr>
          <w:b/>
        </w:rPr>
        <w:t xml:space="preserve">• </w:t>
      </w:r>
      <w:r>
        <w:t>Withdrawn applications retain the underlying customer verification record according to the records schedule.</w:t>
      </w:r>
    </w:p>
    <w:p>
      <w:pPr>
        <w:ind w:left="259" w:hanging="202"/>
      </w:pPr>
      <w:r>
        <w:rPr>
          <w:b/>
        </w:rPr>
        <w:t xml:space="preserve">• </w:t>
      </w:r>
      <w:r>
        <w:t>A restarted application after material expiry may require fresh verification rather than reusing stale results.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Status history, customer contact attempts, expiry/withdrawal reason.</w:t>
      </w:r>
    </w:p>
    <w:p>
      <w:pPr>
        <w:pStyle w:val="Heading1"/>
      </w:pPr>
      <w:r>
        <w:t>16. Escalations and Restricted Cases</w:t>
      </w:r>
    </w:p>
    <w:p>
      <w:r>
        <w:t>KEP-022 defines formal KYC escalation levels. Operations may place a restriction immediately where identity, screening or ownership concerns require review.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Restrictions shall use standardized codes and include the reason, owner and review date.</w:t>
      </w:r>
    </w:p>
    <w:p>
      <w:pPr>
        <w:ind w:left="259" w:hanging="202"/>
      </w:pPr>
      <w:r>
        <w:rPr>
          <w:b/>
        </w:rPr>
        <w:t xml:space="preserve">• </w:t>
      </w:r>
      <w:r>
        <w:t>Front-line staff may not remove AML or sanctions restrictions.</w:t>
      </w:r>
    </w:p>
    <w:p>
      <w:pPr>
        <w:ind w:left="259" w:hanging="202"/>
      </w:pPr>
      <w:r>
        <w:rPr>
          <w:b/>
        </w:rPr>
        <w:t xml:space="preserve">• </w:t>
      </w:r>
      <w:r>
        <w:t>Where an escalation remains unresolved for more than five business days, the queue owner shall review aging and customer communication.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Restriction code, escalation ID, aging report, communication log.</w:t>
      </w:r>
    </w:p>
    <w:p>
      <w:pPr>
        <w:pStyle w:val="Heading1"/>
      </w:pPr>
      <w:r>
        <w:t>17. Handover to Credit / Product Processing</w:t>
      </w:r>
    </w:p>
    <w:p>
      <w:r>
        <w:t>Customer onboarding and credit processing may run in parallel after minimum identity data are captured, but a completed credit decision does not prove KYC completion.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LOP-002 intake may begin using a provisional customer ID where the workflow is configured for it.</w:t>
      </w:r>
    </w:p>
    <w:p>
      <w:pPr>
        <w:ind w:left="259" w:hanging="202"/>
      </w:pPr>
      <w:r>
        <w:rPr>
          <w:b/>
        </w:rPr>
        <w:t xml:space="preserve">• </w:t>
      </w:r>
      <w:r>
        <w:t>Credit must use the verified identity and obligation information available at the decision time.</w:t>
      </w:r>
    </w:p>
    <w:p>
      <w:pPr>
        <w:ind w:left="259" w:hanging="202"/>
      </w:pPr>
      <w:r>
        <w:rPr>
          <w:b/>
        </w:rPr>
        <w:t xml:space="preserve">• </w:t>
      </w:r>
      <w:r>
        <w:t>Disbursement handover requires KYC complete or an approved status explicitly permitted by LDP-013; a generic “customer created” status is insufficient.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Handover status, product application link, restriction flags.</w:t>
      </w:r>
    </w:p>
    <w:p>
      <w:pPr>
        <w:pStyle w:val="Heading1"/>
      </w:pPr>
      <w:r>
        <w:t>18. Post-Onboarding Corrections and QA</w:t>
      </w:r>
    </w:p>
    <w:p>
      <w:r>
        <w:t>Corrections after activation shall preserve the original value, reason and approving user where the field is material.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Critical identity-field corrections require checker review.</w:t>
      </w:r>
    </w:p>
    <w:p>
      <w:pPr>
        <w:ind w:left="259" w:hanging="202"/>
      </w:pPr>
      <w:r>
        <w:rPr>
          <w:b/>
        </w:rPr>
        <w:t xml:space="preserve">• </w:t>
      </w:r>
      <w:r>
        <w:t>QA shall sample both straight-through and manually reviewed cases.</w:t>
      </w:r>
    </w:p>
    <w:p>
      <w:pPr>
        <w:ind w:left="259" w:hanging="202"/>
      </w:pPr>
      <w:r>
        <w:rPr>
          <w:b/>
        </w:rPr>
        <w:t xml:space="preserve">• </w:t>
      </w:r>
      <w:r>
        <w:t>A defect affecting screening or beneficial ownership shall be assessed for retrospective customer review.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Correction log, QA result, retrospective-review population.</w:t>
      </w:r>
    </w:p>
    <w:p>
      <w:pPr>
        <w:pStyle w:val="Heading1"/>
      </w:pPr>
      <w:r>
        <w:t>19. Turnaround Standards and Management Information</w:t>
      </w:r>
    </w:p>
    <w:p>
      <w:r>
        <w:t>Turnaround targets are service objectives and do not override control completion. Management information shall separate customer-caused delay from internal processing delay.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Standard straight-through digital onboarding target: same business day.</w:t>
      </w:r>
    </w:p>
    <w:p>
      <w:pPr>
        <w:ind w:left="259" w:hanging="202"/>
      </w:pPr>
      <w:r>
        <w:rPr>
          <w:b/>
        </w:rPr>
        <w:t xml:space="preserve">• </w:t>
      </w:r>
      <w:r>
        <w:t>Manual KYC review target: two business days where no external information is pending.</w:t>
      </w:r>
    </w:p>
    <w:p>
      <w:pPr>
        <w:ind w:left="259" w:hanging="202"/>
      </w:pPr>
      <w:r>
        <w:rPr>
          <w:b/>
        </w:rPr>
        <w:t xml:space="preserve">• </w:t>
      </w:r>
      <w:r>
        <w:t>High-risk/PEP cases have no guaranteed completion target; aging must nevertheless be monitored.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Queue aging, turnaround report, exception reasons.</w:t>
      </w:r>
    </w:p>
    <w:p>
      <w:pPr>
        <w:pStyle w:val="Heading1"/>
      </w:pPr>
      <w:r>
        <w:t>20. Records, Retention and Transition</w:t>
      </w:r>
    </w:p>
    <w:p>
      <w:r>
        <w:t>Version 1.2 applies to cases initiated on or after 15 July 2025. Cases initiated from 1–14 July 2025 under KYC-004 v2.1 but COP-021 v1.1 may use the prior workflow where no high-risk digital or PEP trigger is present.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Any case still incomplete on 15 August 2025 shall be moved to the v1.2 checker and staged-activation rules.</w:t>
      </w:r>
    </w:p>
    <w:p>
      <w:pPr>
        <w:ind w:left="259" w:hanging="202"/>
      </w:pPr>
      <w:r>
        <w:rPr>
          <w:b/>
        </w:rPr>
        <w:t xml:space="preserve">• </w:t>
      </w:r>
      <w:r>
        <w:t>Historical workflow statuses may remain visible in the repository; they shall not be re-labelled solely for cosmetic consistency.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Transition population, workflow version, archive record.</w:t>
      </w:r>
    </w:p>
    <w:p>
      <w:r>
        <w:br w:type="page"/>
      </w:r>
    </w:p>
    <w:p>
      <w:pPr>
        <w:pStyle w:val="Heading1"/>
      </w:pPr>
      <w:r>
        <w:t>Appendix A. Onboarding Checklist</w:t>
      </w:r>
    </w:p>
    <w:p>
      <w:r>
        <w:t>Minimum operational checkpoints before completion.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Checkpoint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Maker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Checker when triggered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Customer master duplicate search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Review unresolved duplicates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Identity verification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Review manual/inconclusive outcome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Address reconciliation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Review material mismatch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Screening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Initiate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Required for material alerts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Risk tier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Assign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Required for High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Restrictions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Set where needed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Confirm/remove only with authority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B. Maker-Checker Matrix</w:t>
      </w:r>
    </w:p>
    <w:p>
      <w:r>
        <w:t>Checker scope depends on risk and event triggers.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Trigger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Checker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High KYC risk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Senior KYC Checker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Manual digital fallback — Medium/High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KYC Checker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Material address/identity discrepancy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Senior KYC Checker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Potential PEP/sanctions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AML reviewer plus KYC checker as applicable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Beneficial ownership unresolved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Senior KYC Checker / Compliance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C. Restriction Codes</w:t>
      </w:r>
    </w:p>
    <w:p>
      <w:r>
        <w:t>Illustrative internal operational status codes.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Code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Meaning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Release authority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R-KYC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KYC verification incomplete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KYC Checker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R-SCR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Screening alert open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AML Compliance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R-BO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Beneficial ownership unresolved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Senior KYC / Compliance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R-FRD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Fraud review hold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Fraud Risk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R-DOC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Critical document deficiency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KYC Checker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D. Duplicate Customer Decision Tree</w:t>
      </w:r>
    </w:p>
    <w:p>
      <w:r>
        <w:t>Duplicate resolution shall preserve one customer master where practical.</w:t>
      </w:r>
    </w:p>
    <w:p>
      <w:pPr>
        <w:ind w:left="259" w:hanging="202"/>
      </w:pPr>
      <w:r>
        <w:rPr>
          <w:b/>
        </w:rPr>
        <w:t xml:space="preserve">• </w:t>
      </w:r>
      <w:r>
        <w:t>Exact PAN/identifier + matching name/DOB: treat as same customer unless fraud indicator exists.</w:t>
      </w:r>
    </w:p>
    <w:p>
      <w:pPr>
        <w:ind w:left="259" w:hanging="202"/>
      </w:pPr>
      <w:r>
        <w:rPr>
          <w:b/>
        </w:rPr>
        <w:t xml:space="preserve">• </w:t>
      </w:r>
      <w:r>
        <w:t>Matching name/DOB/mobile but different PAN: stop and investigate identity or data error.</w:t>
      </w:r>
    </w:p>
    <w:p>
      <w:pPr>
        <w:ind w:left="259" w:hanging="202"/>
      </w:pPr>
      <w:r>
        <w:rPr>
          <w:b/>
        </w:rPr>
        <w:t xml:space="preserve">• </w:t>
      </w:r>
      <w:r>
        <w:t>Similar name only: continue with additional identifiers.</w:t>
      </w:r>
    </w:p>
    <w:p>
      <w:pPr>
        <w:ind w:left="259" w:hanging="202"/>
      </w:pPr>
      <w:r>
        <w:rPr>
          <w:b/>
        </w:rPr>
        <w:t xml:space="preserve">• </w:t>
      </w:r>
      <w:r>
        <w:t>Two active customer IDs confirmed for same person: refer to master-data merge process and ensure exposure/screening links are preserved.</w:t>
      </w:r>
    </w:p>
    <w:p>
      <w:r>
        <w:br w:type="page"/>
      </w:r>
    </w:p>
    <w:p>
      <w:pPr>
        <w:pStyle w:val="Heading1"/>
      </w:pPr>
      <w:r>
        <w:t>Appendix E. Transition Cases</w:t>
      </w:r>
    </w:p>
    <w:p>
      <w:r>
        <w:t>The procedure intentionally contains a short transition mismatch with the KYC policy effective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Period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Applicable treatment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1–14 July 2025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KYC-004 v2.1 policy; COP-021 v1.1 workflow may continue for eligible in-flight cases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15 July–15 August 2025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COP-021 v1.2 for new cases; migration of long-running in-flight cases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After 15 August 2025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v1.2 workflow required for all incomplete cases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835" w:left="936" w:header="317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Northstar Financial — Synthetic Internal Document  |  INTERNAL — CONTROLLED  |  Page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sz w:val="15"/>
      </w:rPr>
      <w:t>NORTHSTAR FINANCIAL  |  COP-021  |  Customer Onboarding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