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17365D"/>
          <w:sz w:val="30"/>
        </w:rPr>
        <w:t>NORTHSTAR FINANCIAL</w:t>
      </w:r>
    </w:p>
    <w:p>
      <w:pPr>
        <w:spacing w:before="440"/>
        <w:jc w:val="center"/>
      </w:pPr>
      <w:r>
        <w:rPr>
          <w:rFonts w:ascii="Aptos" w:hAnsi="Aptos"/>
          <w:b/>
          <w:color w:val="17365D"/>
          <w:sz w:val="48"/>
        </w:rPr>
        <w:t>Customer Risk Rating Procedure</w:t>
      </w:r>
    </w:p>
    <w:p>
      <w:pPr>
        <w:spacing w:before="160"/>
        <w:jc w:val="center"/>
      </w:pPr>
      <w:r>
        <w:rPr>
          <w:rFonts w:ascii="Aptos" w:hAnsi="Aptos"/>
          <w:b/>
          <w:color w:val="365F91"/>
          <w:sz w:val="26"/>
        </w:rPr>
        <w:t>CRR-033</w:t>
      </w:r>
    </w:p>
    <w:p>
      <w:pPr>
        <w:jc w:val="center"/>
      </w:pPr>
      <w:r>
        <w:rPr>
          <w:rFonts w:ascii="Aptos" w:hAnsi="Aptos"/>
          <w:color w:val="666666"/>
          <w:sz w:val="21"/>
        </w:rPr>
        <w:t>Version 1.0  |  Effective 1 November 2025</w:t>
      </w:r>
    </w:p>
    <w:p>
      <w:pPr>
        <w:jc w:val="center"/>
      </w:pPr>
      <w:r>
        <w:rPr>
          <w:rFonts w:ascii="Aptos" w:hAnsi="Aptos"/>
          <w:b/>
          <w:color w:val="666666"/>
          <w:sz w:val="18"/>
        </w:rPr>
        <w:t>Classification: INTERNAL — CONTROLLED</w:t>
      </w:r>
    </w:p>
    <w:p/>
    <w:p>
      <w:pPr>
        <w:ind w:left="504" w:right="504"/>
        <w:jc w:val="center"/>
      </w:pPr>
      <w:r>
        <w:rPr>
          <w:rFonts w:ascii="Aptos" w:hAnsi="Aptos"/>
          <w:i/>
          <w:color w:val="666666"/>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7"/>
              </w:rPr>
              <w:t>Field</w:t>
            </w:r>
          </w:p>
        </w:tc>
        <w:tc>
          <w:tcPr>
            <w:tcW w:type="dxa" w:w="7920"/>
            <w:shd w:fill="17365D"/>
            <w:vAlign w:val="center"/>
            <w:tcMar>
              <w:top w:w="80" w:type="dxa"/>
              <w:start w:w="90" w:type="dxa"/>
              <w:bottom w:w="80" w:type="dxa"/>
              <w:end w:w="90" w:type="dxa"/>
            </w:tcMar>
          </w:tcPr>
          <w:p>
            <w:r>
              <w:rPr>
                <w:rFonts w:ascii="Aptos" w:hAnsi="Aptos"/>
                <w:b/>
                <w:color w:val="FFFFFF"/>
                <w:sz w:val="17"/>
              </w:rPr>
              <w:t>Controlled Value</w:t>
            </w:r>
          </w:p>
        </w:tc>
      </w:tr>
      <w:tr>
        <w:tc>
          <w:tcPr>
            <w:tcW w:type="dxa" w:w="2448"/>
            <w:tcMar>
              <w:top w:w="80" w:type="dxa"/>
              <w:start w:w="90" w:type="dxa"/>
              <w:bottom w:w="80" w:type="dxa"/>
              <w:end w:w="90" w:type="dxa"/>
            </w:tcMar>
            <w:vAlign w:val="top"/>
          </w:tcPr>
          <w:p>
            <w:r>
              <w:rPr>
                <w:rFonts w:ascii="Aptos" w:hAnsi="Aptos"/>
                <w:b/>
                <w:sz w:val="17"/>
              </w:rPr>
              <w:t>Document ID</w:t>
            </w:r>
          </w:p>
        </w:tc>
        <w:tc>
          <w:tcPr>
            <w:tcW w:type="dxa" w:w="7920"/>
            <w:tcMar>
              <w:top w:w="80" w:type="dxa"/>
              <w:start w:w="90" w:type="dxa"/>
              <w:bottom w:w="80" w:type="dxa"/>
              <w:end w:w="90" w:type="dxa"/>
            </w:tcMar>
            <w:vAlign w:val="top"/>
          </w:tcPr>
          <w:p>
            <w:r>
              <w:rPr>
                <w:rFonts w:ascii="Aptos" w:hAnsi="Aptos"/>
                <w:b w:val="0"/>
                <w:sz w:val="17"/>
              </w:rPr>
              <w:t>CRR-033</w:t>
            </w:r>
          </w:p>
        </w:tc>
      </w:tr>
      <w:tr>
        <w:tc>
          <w:tcPr>
            <w:tcW w:type="dxa" w:w="2448"/>
            <w:tcMar>
              <w:top w:w="80" w:type="dxa"/>
              <w:start w:w="90" w:type="dxa"/>
              <w:bottom w:w="80" w:type="dxa"/>
              <w:end w:w="90" w:type="dxa"/>
            </w:tcMar>
            <w:vAlign w:val="top"/>
            <w:shd w:fill="F7FAFC"/>
          </w:tcPr>
          <w:p>
            <w:r>
              <w:rPr>
                <w:rFonts w:ascii="Aptos" w:hAnsi="Aptos"/>
                <w:b/>
                <w:sz w:val="17"/>
              </w:rPr>
              <w:t>Document Title</w:t>
            </w:r>
          </w:p>
        </w:tc>
        <w:tc>
          <w:tcPr>
            <w:tcW w:type="dxa" w:w="7920"/>
            <w:tcMar>
              <w:top w:w="80" w:type="dxa"/>
              <w:start w:w="90" w:type="dxa"/>
              <w:bottom w:w="80" w:type="dxa"/>
              <w:end w:w="90" w:type="dxa"/>
            </w:tcMar>
            <w:vAlign w:val="top"/>
            <w:shd w:fill="F7FAFC"/>
          </w:tcPr>
          <w:p>
            <w:r>
              <w:rPr>
                <w:rFonts w:ascii="Aptos" w:hAnsi="Aptos"/>
                <w:b w:val="0"/>
                <w:sz w:val="17"/>
              </w:rPr>
              <w:t>Customer Risk Rating Procedure</w:t>
            </w:r>
          </w:p>
        </w:tc>
      </w:tr>
      <w:tr>
        <w:tc>
          <w:tcPr>
            <w:tcW w:type="dxa" w:w="2448"/>
            <w:tcMar>
              <w:top w:w="80" w:type="dxa"/>
              <w:start w:w="90" w:type="dxa"/>
              <w:bottom w:w="80" w:type="dxa"/>
              <w:end w:w="90" w:type="dxa"/>
            </w:tcMar>
            <w:vAlign w:val="top"/>
          </w:tcPr>
          <w:p>
            <w:r>
              <w:rPr>
                <w:rFonts w:ascii="Aptos" w:hAnsi="Aptos"/>
                <w:b/>
                <w:sz w:val="17"/>
              </w:rPr>
              <w:t>Version</w:t>
            </w:r>
          </w:p>
        </w:tc>
        <w:tc>
          <w:tcPr>
            <w:tcW w:type="dxa" w:w="7920"/>
            <w:tcMar>
              <w:top w:w="80" w:type="dxa"/>
              <w:start w:w="90" w:type="dxa"/>
              <w:bottom w:w="80" w:type="dxa"/>
              <w:end w:w="90" w:type="dxa"/>
            </w:tcMar>
            <w:vAlign w:val="top"/>
          </w:tcPr>
          <w:p>
            <w:r>
              <w:rPr>
                <w:rFonts w:ascii="Aptos" w:hAnsi="Aptos"/>
                <w:b w:val="0"/>
                <w:sz w:val="17"/>
              </w:rPr>
              <w:t>1.0</w:t>
            </w:r>
          </w:p>
        </w:tc>
      </w:tr>
      <w:tr>
        <w:tc>
          <w:tcPr>
            <w:tcW w:type="dxa" w:w="2448"/>
            <w:tcMar>
              <w:top w:w="80" w:type="dxa"/>
              <w:start w:w="90" w:type="dxa"/>
              <w:bottom w:w="80" w:type="dxa"/>
              <w:end w:w="90" w:type="dxa"/>
            </w:tcMar>
            <w:vAlign w:val="top"/>
            <w:shd w:fill="F7FAFC"/>
          </w:tcPr>
          <w:p>
            <w:r>
              <w:rPr>
                <w:rFonts w:ascii="Aptos" w:hAnsi="Aptos"/>
                <w:b/>
                <w:sz w:val="17"/>
              </w:rPr>
              <w:t>Policy Owner</w:t>
            </w:r>
          </w:p>
        </w:tc>
        <w:tc>
          <w:tcPr>
            <w:tcW w:type="dxa" w:w="7920"/>
            <w:tcMar>
              <w:top w:w="80" w:type="dxa"/>
              <w:start w:w="90" w:type="dxa"/>
              <w:bottom w:w="80" w:type="dxa"/>
              <w:end w:w="90" w:type="dxa"/>
            </w:tcMar>
            <w:vAlign w:val="top"/>
            <w:shd w:fill="F7FAFC"/>
          </w:tcPr>
          <w:p>
            <w:r>
              <w:rPr>
                <w:rFonts w:ascii="Aptos" w:hAnsi="Aptos"/>
                <w:b w:val="0"/>
                <w:sz w:val="17"/>
              </w:rPr>
              <w:t>Rohan Batra — Chief AML Officer</w:t>
            </w:r>
          </w:p>
        </w:tc>
      </w:tr>
      <w:tr>
        <w:tc>
          <w:tcPr>
            <w:tcW w:type="dxa" w:w="2448"/>
            <w:tcMar>
              <w:top w:w="80" w:type="dxa"/>
              <w:start w:w="90" w:type="dxa"/>
              <w:bottom w:w="80" w:type="dxa"/>
              <w:end w:w="90" w:type="dxa"/>
            </w:tcMar>
            <w:vAlign w:val="top"/>
          </w:tcPr>
          <w:p>
            <w:r>
              <w:rPr>
                <w:rFonts w:ascii="Aptos" w:hAnsi="Aptos"/>
                <w:b/>
                <w:sz w:val="17"/>
              </w:rPr>
              <w:t>Business Unit</w:t>
            </w:r>
          </w:p>
        </w:tc>
        <w:tc>
          <w:tcPr>
            <w:tcW w:type="dxa" w:w="7920"/>
            <w:tcMar>
              <w:top w:w="80" w:type="dxa"/>
              <w:start w:w="90" w:type="dxa"/>
              <w:bottom w:w="80" w:type="dxa"/>
              <w:end w:w="90" w:type="dxa"/>
            </w:tcMar>
            <w:vAlign w:val="top"/>
          </w:tcPr>
          <w:p>
            <w:r>
              <w:rPr>
                <w:rFonts w:ascii="Aptos" w:hAnsi="Aptos"/>
                <w:b w:val="0"/>
                <w:sz w:val="17"/>
              </w:rPr>
              <w:t>AML Compliance</w:t>
            </w:r>
          </w:p>
        </w:tc>
      </w:tr>
      <w:tr>
        <w:tc>
          <w:tcPr>
            <w:tcW w:type="dxa" w:w="2448"/>
            <w:tcMar>
              <w:top w:w="80" w:type="dxa"/>
              <w:start w:w="90" w:type="dxa"/>
              <w:bottom w:w="80" w:type="dxa"/>
              <w:end w:w="90" w:type="dxa"/>
            </w:tcMar>
            <w:vAlign w:val="top"/>
            <w:shd w:fill="F7FAFC"/>
          </w:tcPr>
          <w:p>
            <w:r>
              <w:rPr>
                <w:rFonts w:ascii="Aptos" w:hAnsi="Aptos"/>
                <w:b/>
                <w:sz w:val="17"/>
              </w:rPr>
              <w:t>Approving Authority</w:t>
            </w:r>
          </w:p>
        </w:tc>
        <w:tc>
          <w:tcPr>
            <w:tcW w:type="dxa" w:w="7920"/>
            <w:tcMar>
              <w:top w:w="80" w:type="dxa"/>
              <w:start w:w="90" w:type="dxa"/>
              <w:bottom w:w="80" w:type="dxa"/>
              <w:end w:w="90" w:type="dxa"/>
            </w:tcMar>
            <w:vAlign w:val="top"/>
            <w:shd w:fill="F7FAFC"/>
          </w:tcPr>
          <w:p>
            <w:r>
              <w:rPr>
                <w:rFonts w:ascii="Aptos" w:hAnsi="Aptos"/>
                <w:b w:val="0"/>
                <w:sz w:val="17"/>
              </w:rPr>
              <w:t>AML &amp; Financial Crime Committee</w:t>
            </w:r>
          </w:p>
        </w:tc>
      </w:tr>
      <w:tr>
        <w:tc>
          <w:tcPr>
            <w:tcW w:type="dxa" w:w="2448"/>
            <w:tcMar>
              <w:top w:w="80" w:type="dxa"/>
              <w:start w:w="90" w:type="dxa"/>
              <w:bottom w:w="80" w:type="dxa"/>
              <w:end w:w="90" w:type="dxa"/>
            </w:tcMar>
            <w:vAlign w:val="top"/>
          </w:tcPr>
          <w:p>
            <w:r>
              <w:rPr>
                <w:rFonts w:ascii="Aptos" w:hAnsi="Aptos"/>
                <w:b/>
                <w:sz w:val="17"/>
              </w:rPr>
              <w:t>Effective Date</w:t>
            </w:r>
          </w:p>
        </w:tc>
        <w:tc>
          <w:tcPr>
            <w:tcW w:type="dxa" w:w="7920"/>
            <w:tcMar>
              <w:top w:w="80" w:type="dxa"/>
              <w:start w:w="90" w:type="dxa"/>
              <w:bottom w:w="80" w:type="dxa"/>
              <w:end w:w="90" w:type="dxa"/>
            </w:tcMar>
            <w:vAlign w:val="top"/>
          </w:tcPr>
          <w:p>
            <w:r>
              <w:rPr>
                <w:rFonts w:ascii="Aptos" w:hAnsi="Aptos"/>
                <w:b w:val="0"/>
                <w:sz w:val="17"/>
              </w:rPr>
              <w:t>1 November 2025</w:t>
            </w:r>
          </w:p>
        </w:tc>
      </w:tr>
      <w:tr>
        <w:tc>
          <w:tcPr>
            <w:tcW w:type="dxa" w:w="2448"/>
            <w:tcMar>
              <w:top w:w="80" w:type="dxa"/>
              <w:start w:w="90" w:type="dxa"/>
              <w:bottom w:w="80" w:type="dxa"/>
              <w:end w:w="90" w:type="dxa"/>
            </w:tcMar>
            <w:vAlign w:val="top"/>
            <w:shd w:fill="F7FAFC"/>
          </w:tcPr>
          <w:p>
            <w:r>
              <w:rPr>
                <w:rFonts w:ascii="Aptos" w:hAnsi="Aptos"/>
                <w:b/>
                <w:sz w:val="17"/>
              </w:rPr>
              <w:t>Previous Version</w:t>
            </w:r>
          </w:p>
        </w:tc>
        <w:tc>
          <w:tcPr>
            <w:tcW w:type="dxa" w:w="7920"/>
            <w:tcMar>
              <w:top w:w="80" w:type="dxa"/>
              <w:start w:w="90" w:type="dxa"/>
              <w:bottom w:w="80" w:type="dxa"/>
              <w:end w:w="90" w:type="dxa"/>
            </w:tcMar>
            <w:vAlign w:val="top"/>
            <w:shd w:fill="F7FAFC"/>
          </w:tcPr>
          <w:p>
            <w:r>
              <w:rPr>
                <w:rFonts w:ascii="Aptos" w:hAnsi="Aptos"/>
                <w:b w:val="0"/>
                <w:sz w:val="17"/>
              </w:rPr>
              <w:t>Interim scoring methodology embedded in AML-003 v2.2</w:t>
            </w:r>
          </w:p>
        </w:tc>
      </w:tr>
      <w:tr>
        <w:tc>
          <w:tcPr>
            <w:tcW w:type="dxa" w:w="2448"/>
            <w:tcMar>
              <w:top w:w="80" w:type="dxa"/>
              <w:start w:w="90" w:type="dxa"/>
              <w:bottom w:w="80" w:type="dxa"/>
              <w:end w:w="90" w:type="dxa"/>
            </w:tcMar>
            <w:vAlign w:val="top"/>
          </w:tcPr>
          <w:p>
            <w:r>
              <w:rPr>
                <w:rFonts w:ascii="Aptos" w:hAnsi="Aptos"/>
                <w:b/>
                <w:sz w:val="17"/>
              </w:rPr>
              <w:t>Review Frequency</w:t>
            </w:r>
          </w:p>
        </w:tc>
        <w:tc>
          <w:tcPr>
            <w:tcW w:type="dxa" w:w="7920"/>
            <w:tcMar>
              <w:top w:w="80" w:type="dxa"/>
              <w:start w:w="90" w:type="dxa"/>
              <w:bottom w:w="80" w:type="dxa"/>
              <w:end w:w="90" w:type="dxa"/>
            </w:tcMar>
            <w:vAlign w:val="top"/>
          </w:tcPr>
          <w:p>
            <w:r>
              <w:rPr>
                <w:rFonts w:ascii="Aptos" w:hAnsi="Aptos"/>
                <w:b w:val="0"/>
                <w:sz w:val="17"/>
              </w:rPr>
              <w:t>Annual with semiannual parameter review</w:t>
            </w:r>
          </w:p>
        </w:tc>
      </w:tr>
      <w:tr>
        <w:tc>
          <w:tcPr>
            <w:tcW w:type="dxa" w:w="2448"/>
            <w:tcMar>
              <w:top w:w="80" w:type="dxa"/>
              <w:start w:w="90" w:type="dxa"/>
              <w:bottom w:w="80" w:type="dxa"/>
              <w:end w:w="90" w:type="dxa"/>
            </w:tcMar>
            <w:vAlign w:val="top"/>
            <w:shd w:fill="F7FAFC"/>
          </w:tcPr>
          <w:p>
            <w:r>
              <w:rPr>
                <w:rFonts w:ascii="Aptos" w:hAnsi="Aptos"/>
                <w:b/>
                <w:sz w:val="17"/>
              </w:rPr>
              <w:t>Classification</w:t>
            </w:r>
          </w:p>
        </w:tc>
        <w:tc>
          <w:tcPr>
            <w:tcW w:type="dxa" w:w="7920"/>
            <w:tcMar>
              <w:top w:w="80" w:type="dxa"/>
              <w:start w:w="90" w:type="dxa"/>
              <w:bottom w:w="80" w:type="dxa"/>
              <w:end w:w="90" w:type="dxa"/>
            </w:tcMar>
            <w:vAlign w:val="top"/>
            <w:shd w:fill="F7FAFC"/>
          </w:tcPr>
          <w:p>
            <w:r>
              <w:rPr>
                <w:rFonts w:ascii="Aptos" w:hAnsi="Aptos"/>
                <w:b w:val="0"/>
                <w:sz w:val="17"/>
              </w:rPr>
              <w:t>INTERNAL — CONTROLLED</w:t>
            </w:r>
          </w:p>
        </w:tc>
      </w:tr>
      <w:tr>
        <w:tc>
          <w:tcPr>
            <w:tcW w:type="dxa" w:w="2448"/>
            <w:tcMar>
              <w:top w:w="80" w:type="dxa"/>
              <w:start w:w="90" w:type="dxa"/>
              <w:bottom w:w="80" w:type="dxa"/>
              <w:end w:w="90" w:type="dxa"/>
            </w:tcMar>
            <w:vAlign w:val="top"/>
          </w:tcPr>
          <w:p>
            <w:r>
              <w:rPr>
                <w:rFonts w:ascii="Aptos" w:hAnsi="Aptos"/>
                <w:b/>
                <w:sz w:val="17"/>
              </w:rPr>
              <w:t>Status</w:t>
            </w:r>
          </w:p>
        </w:tc>
        <w:tc>
          <w:tcPr>
            <w:tcW w:type="dxa" w:w="7920"/>
            <w:tcMar>
              <w:top w:w="80" w:type="dxa"/>
              <w:start w:w="90" w:type="dxa"/>
              <w:bottom w:w="80" w:type="dxa"/>
              <w:end w:w="90" w:type="dxa"/>
            </w:tcMar>
            <w:vAlign w:val="top"/>
          </w:tcPr>
          <w:p>
            <w:r>
              <w:rPr>
                <w:rFonts w:ascii="Aptos" w:hAnsi="Aptos"/>
                <w:b w:val="0"/>
                <w:sz w:val="17"/>
              </w:rPr>
              <w:t>Approved</w:t>
            </w:r>
          </w:p>
        </w:tc>
      </w:tr>
      <w:tr>
        <w:tc>
          <w:tcPr>
            <w:tcW w:type="dxa" w:w="2448"/>
            <w:tcMar>
              <w:top w:w="80" w:type="dxa"/>
              <w:start w:w="90" w:type="dxa"/>
              <w:bottom w:w="80" w:type="dxa"/>
              <w:end w:w="90" w:type="dxa"/>
            </w:tcMar>
            <w:vAlign w:val="top"/>
            <w:shd w:fill="F7FAFC"/>
          </w:tcPr>
          <w:p>
            <w:r>
              <w:rPr>
                <w:rFonts w:ascii="Aptos" w:hAnsi="Aptos"/>
                <w:b/>
                <w:sz w:val="17"/>
              </w:rPr>
              <w:t>Supersedes</w:t>
            </w:r>
          </w:p>
        </w:tc>
        <w:tc>
          <w:tcPr>
            <w:tcW w:type="dxa" w:w="7920"/>
            <w:tcMar>
              <w:top w:w="80" w:type="dxa"/>
              <w:start w:w="90" w:type="dxa"/>
              <w:bottom w:w="80" w:type="dxa"/>
              <w:end w:w="90" w:type="dxa"/>
            </w:tcMar>
            <w:vAlign w:val="top"/>
            <w:shd w:fill="F7FAFC"/>
          </w:tcPr>
          <w:p>
            <w:r>
              <w:rPr>
                <w:rFonts w:ascii="Aptos" w:hAnsi="Aptos"/>
                <w:b w:val="0"/>
                <w:sz w:val="17"/>
              </w:rPr>
              <w:t>Interim AML customer-risk scoring guidance issued 1 Sep 2025</w:t>
            </w:r>
          </w:p>
        </w:tc>
      </w:tr>
      <w:tr>
        <w:tc>
          <w:tcPr>
            <w:tcW w:type="dxa" w:w="2448"/>
            <w:tcMar>
              <w:top w:w="80" w:type="dxa"/>
              <w:start w:w="90" w:type="dxa"/>
              <w:bottom w:w="80" w:type="dxa"/>
              <w:end w:w="90" w:type="dxa"/>
            </w:tcMar>
            <w:vAlign w:val="top"/>
          </w:tcPr>
          <w:p>
            <w:r>
              <w:rPr>
                <w:rFonts w:ascii="Aptos" w:hAnsi="Aptos"/>
                <w:b/>
                <w:sz w:val="17"/>
              </w:rPr>
              <w:t>Related Documents</w:t>
            </w:r>
          </w:p>
        </w:tc>
        <w:tc>
          <w:tcPr>
            <w:tcW w:type="dxa" w:w="7920"/>
            <w:tcMar>
              <w:top w:w="80" w:type="dxa"/>
              <w:start w:w="90" w:type="dxa"/>
              <w:bottom w:w="80" w:type="dxa"/>
              <w:end w:w="90" w:type="dxa"/>
            </w:tcMar>
            <w:vAlign w:val="top"/>
          </w:tcPr>
          <w:p>
            <w:r>
              <w:rPr>
                <w:rFonts w:ascii="Aptos" w:hAnsi="Aptos"/>
                <w:b w:val="0"/>
                <w:sz w:val="17"/>
              </w:rPr>
              <w:t>AML-003; CDD-005; KYC-004; EDD-032; ATM-031</w:t>
            </w:r>
          </w:p>
        </w:tc>
      </w:tr>
    </w:tbl>
    <w:p/>
    <w:p>
      <w:pPr>
        <w:pStyle w:val="Heading2"/>
      </w:pPr>
      <w:r>
        <w:t>Approval Record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Role</w:t>
            </w:r>
          </w:p>
        </w:tc>
        <w:tc>
          <w:tcPr>
            <w:tcW w:type="dxa" w:w="4032"/>
            <w:shd w:fill="17365D"/>
            <w:vAlign w:val="center"/>
            <w:tcMar>
              <w:top w:w="80" w:type="dxa"/>
              <w:start w:w="90" w:type="dxa"/>
              <w:bottom w:w="80" w:type="dxa"/>
              <w:end w:w="90" w:type="dxa"/>
            </w:tcMar>
          </w:tcPr>
          <w:p>
            <w:r>
              <w:rPr>
                <w:rFonts w:ascii="Aptos" w:hAnsi="Aptos"/>
                <w:b/>
                <w:color w:val="FFFFFF"/>
                <w:sz w:val="16"/>
              </w:rPr>
              <w:t>Approver / Function</w:t>
            </w:r>
          </w:p>
        </w:tc>
        <w:tc>
          <w:tcPr>
            <w:tcW w:type="dxa" w:w="1728"/>
            <w:shd w:fill="17365D"/>
            <w:vAlign w:val="center"/>
            <w:tcMar>
              <w:top w:w="80" w:type="dxa"/>
              <w:start w:w="90" w:type="dxa"/>
              <w:bottom w:w="80" w:type="dxa"/>
              <w:end w:w="90" w:type="dxa"/>
            </w:tcMar>
          </w:tcPr>
          <w:p>
            <w:r>
              <w:rPr>
                <w:rFonts w:ascii="Aptos" w:hAnsi="Aptos"/>
                <w:b/>
                <w:color w:val="FFFFFF"/>
                <w:sz w:val="16"/>
              </w:rPr>
              <w:t>Approval Date</w:t>
            </w:r>
          </w:p>
        </w:tc>
        <w:tc>
          <w:tcPr>
            <w:tcW w:type="dxa" w:w="2160"/>
            <w:shd w:fill="17365D"/>
            <w:vAlign w:val="center"/>
            <w:tcMar>
              <w:top w:w="80" w:type="dxa"/>
              <w:start w:w="90" w:type="dxa"/>
              <w:bottom w:w="80" w:type="dxa"/>
              <w:end w:w="90" w:type="dxa"/>
            </w:tcMar>
          </w:tcPr>
          <w:p>
            <w:r>
              <w:rPr>
                <w:rFonts w:ascii="Aptos" w:hAnsi="Aptos"/>
                <w:b/>
                <w:color w:val="FFFFFF"/>
                <w:sz w:val="16"/>
              </w:rPr>
              <w:t>Decision</w:t>
            </w:r>
          </w:p>
        </w:tc>
      </w:tr>
      <w:tr>
        <w:tc>
          <w:tcPr>
            <w:tcW w:type="dxa" w:w="2448"/>
            <w:tcMar>
              <w:top w:w="80" w:type="dxa"/>
              <w:start w:w="90" w:type="dxa"/>
              <w:bottom w:w="80" w:type="dxa"/>
              <w:end w:w="90" w:type="dxa"/>
            </w:tcMar>
            <w:vAlign w:val="top"/>
          </w:tcPr>
          <w:p>
            <w:r>
              <w:rPr>
                <w:rFonts w:ascii="Aptos" w:hAnsi="Aptos"/>
                <w:b w:val="0"/>
                <w:sz w:val="16"/>
              </w:rPr>
              <w:t>Document Owner</w:t>
            </w:r>
          </w:p>
        </w:tc>
        <w:tc>
          <w:tcPr>
            <w:tcW w:type="dxa" w:w="4032"/>
            <w:tcMar>
              <w:top w:w="80" w:type="dxa"/>
              <w:start w:w="90" w:type="dxa"/>
              <w:bottom w:w="80" w:type="dxa"/>
              <w:end w:w="90" w:type="dxa"/>
            </w:tcMar>
            <w:vAlign w:val="top"/>
          </w:tcPr>
          <w:p>
            <w:r>
              <w:rPr>
                <w:rFonts w:ascii="Aptos" w:hAnsi="Aptos"/>
                <w:b w:val="0"/>
                <w:sz w:val="16"/>
              </w:rPr>
              <w:t>Rohan Batra — Chief AML Officer</w:t>
            </w:r>
          </w:p>
        </w:tc>
        <w:tc>
          <w:tcPr>
            <w:tcW w:type="dxa" w:w="1728"/>
            <w:tcMar>
              <w:top w:w="80" w:type="dxa"/>
              <w:start w:w="90" w:type="dxa"/>
              <w:bottom w:w="80" w:type="dxa"/>
              <w:end w:w="90" w:type="dxa"/>
            </w:tcMar>
            <w:vAlign w:val="top"/>
          </w:tcPr>
          <w:p>
            <w:r>
              <w:rPr>
                <w:rFonts w:ascii="Aptos" w:hAnsi="Aptos"/>
                <w:b w:val="0"/>
                <w:sz w:val="16"/>
              </w:rPr>
              <w:t>20 October 2025</w:t>
            </w:r>
          </w:p>
        </w:tc>
        <w:tc>
          <w:tcPr>
            <w:tcW w:type="dxa" w:w="2160"/>
            <w:tcMar>
              <w:top w:w="80" w:type="dxa"/>
              <w:start w:w="90" w:type="dxa"/>
              <w:bottom w:w="80" w:type="dxa"/>
              <w:end w:w="90" w:type="dxa"/>
            </w:tcMar>
            <w:vAlign w:val="top"/>
          </w:tcPr>
          <w:p>
            <w:r>
              <w:rPr>
                <w:rFonts w:ascii="Aptos" w:hAnsi="Aptos"/>
                <w:b w:val="0"/>
                <w:sz w:val="16"/>
              </w:rPr>
              <w:t>Approved</w:t>
            </w:r>
          </w:p>
        </w:tc>
      </w:tr>
      <w:tr>
        <w:tc>
          <w:tcPr>
            <w:tcW w:type="dxa" w:w="2448"/>
            <w:tcMar>
              <w:top w:w="80" w:type="dxa"/>
              <w:start w:w="90" w:type="dxa"/>
              <w:bottom w:w="80" w:type="dxa"/>
              <w:end w:w="90" w:type="dxa"/>
            </w:tcMar>
            <w:vAlign w:val="top"/>
            <w:shd w:fill="F7FAFC"/>
          </w:tcPr>
          <w:p>
            <w:r>
              <w:rPr>
                <w:rFonts w:ascii="Aptos" w:hAnsi="Aptos"/>
                <w:b w:val="0"/>
                <w:sz w:val="16"/>
              </w:rPr>
              <w:t>Control Function Review</w:t>
            </w:r>
          </w:p>
        </w:tc>
        <w:tc>
          <w:tcPr>
            <w:tcW w:type="dxa" w:w="4032"/>
            <w:tcMar>
              <w:top w:w="80" w:type="dxa"/>
              <w:start w:w="90" w:type="dxa"/>
              <w:bottom w:w="80" w:type="dxa"/>
              <w:end w:w="90" w:type="dxa"/>
            </w:tcMar>
            <w:vAlign w:val="top"/>
            <w:shd w:fill="F7FAFC"/>
          </w:tcPr>
          <w:p>
            <w:r>
              <w:rPr>
                <w:rFonts w:ascii="Aptos" w:hAnsi="Aptos"/>
                <w:b w:val="0"/>
                <w:sz w:val="16"/>
              </w:rPr>
              <w:t>Legal / Compliance Advisory</w:t>
            </w:r>
          </w:p>
        </w:tc>
        <w:tc>
          <w:tcPr>
            <w:tcW w:type="dxa" w:w="1728"/>
            <w:tcMar>
              <w:top w:w="80" w:type="dxa"/>
              <w:start w:w="90" w:type="dxa"/>
              <w:bottom w:w="80" w:type="dxa"/>
              <w:end w:w="90" w:type="dxa"/>
            </w:tcMar>
            <w:vAlign w:val="top"/>
            <w:shd w:fill="F7FAFC"/>
          </w:tcPr>
          <w:p>
            <w:r>
              <w:rPr>
                <w:rFonts w:ascii="Aptos" w:hAnsi="Aptos"/>
                <w:b w:val="0"/>
                <w:sz w:val="16"/>
              </w:rPr>
              <w:t>20 October 2025</w:t>
            </w:r>
          </w:p>
        </w:tc>
        <w:tc>
          <w:tcPr>
            <w:tcW w:type="dxa" w:w="2160"/>
            <w:tcMar>
              <w:top w:w="80" w:type="dxa"/>
              <w:start w:w="90" w:type="dxa"/>
              <w:bottom w:w="80" w:type="dxa"/>
              <w:end w:w="90" w:type="dxa"/>
            </w:tcMar>
            <w:vAlign w:val="top"/>
            <w:shd w:fill="F7FAFC"/>
          </w:tcPr>
          <w:p>
            <w:r>
              <w:rPr>
                <w:rFonts w:ascii="Aptos" w:hAnsi="Aptos"/>
                <w:b w:val="0"/>
                <w:sz w:val="16"/>
              </w:rPr>
              <w:t>No objection</w:t>
            </w:r>
          </w:p>
        </w:tc>
      </w:tr>
      <w:tr>
        <w:tc>
          <w:tcPr>
            <w:tcW w:type="dxa" w:w="2448"/>
            <w:tcMar>
              <w:top w:w="80" w:type="dxa"/>
              <w:start w:w="90" w:type="dxa"/>
              <w:bottom w:w="80" w:type="dxa"/>
              <w:end w:w="90" w:type="dxa"/>
            </w:tcMar>
            <w:vAlign w:val="top"/>
          </w:tcPr>
          <w:p>
            <w:r>
              <w:rPr>
                <w:rFonts w:ascii="Aptos" w:hAnsi="Aptos"/>
                <w:b w:val="0"/>
                <w:sz w:val="16"/>
              </w:rPr>
              <w:t>Approving Authority</w:t>
            </w:r>
          </w:p>
        </w:tc>
        <w:tc>
          <w:tcPr>
            <w:tcW w:type="dxa" w:w="4032"/>
            <w:tcMar>
              <w:top w:w="80" w:type="dxa"/>
              <w:start w:w="90" w:type="dxa"/>
              <w:bottom w:w="80" w:type="dxa"/>
              <w:end w:w="90" w:type="dxa"/>
            </w:tcMar>
            <w:vAlign w:val="top"/>
          </w:tcPr>
          <w:p>
            <w:r>
              <w:rPr>
                <w:rFonts w:ascii="Aptos" w:hAnsi="Aptos"/>
                <w:b w:val="0"/>
                <w:sz w:val="16"/>
              </w:rPr>
              <w:t>AML &amp; Financial Crime Committee</w:t>
            </w:r>
          </w:p>
        </w:tc>
        <w:tc>
          <w:tcPr>
            <w:tcW w:type="dxa" w:w="1728"/>
            <w:tcMar>
              <w:top w:w="80" w:type="dxa"/>
              <w:start w:w="90" w:type="dxa"/>
              <w:bottom w:w="80" w:type="dxa"/>
              <w:end w:w="90" w:type="dxa"/>
            </w:tcMar>
            <w:vAlign w:val="top"/>
          </w:tcPr>
          <w:p>
            <w:r>
              <w:rPr>
                <w:rFonts w:ascii="Aptos" w:hAnsi="Aptos"/>
                <w:b w:val="0"/>
                <w:sz w:val="16"/>
              </w:rPr>
              <w:t>20 October 2025</w:t>
            </w:r>
          </w:p>
        </w:tc>
        <w:tc>
          <w:tcPr>
            <w:tcW w:type="dxa" w:w="2160"/>
            <w:tcMar>
              <w:top w:w="80" w:type="dxa"/>
              <w:start w:w="90" w:type="dxa"/>
              <w:bottom w:w="80" w:type="dxa"/>
              <w:end w:w="90" w:type="dxa"/>
            </w:tcMar>
            <w:vAlign w:val="top"/>
          </w:tcPr>
          <w:p>
            <w:r>
              <w:rPr>
                <w:rFonts w:ascii="Aptos" w:hAnsi="Aptos"/>
                <w:b w:val="0"/>
                <w:sz w:val="16"/>
              </w:rPr>
              <w:t>Approved for controlled release</w:t>
            </w:r>
          </w:p>
        </w:tc>
      </w:tr>
    </w:tbl>
    <w:p/>
    <w:p>
      <w:pPr>
        <w:pStyle w:val="Heading2"/>
      </w:pPr>
      <w: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7365D"/>
            <w:vAlign w:val="center"/>
            <w:tcMar>
              <w:top w:w="80" w:type="dxa"/>
              <w:start w:w="90" w:type="dxa"/>
              <w:bottom w:w="80" w:type="dxa"/>
              <w:end w:w="90" w:type="dxa"/>
            </w:tcMar>
          </w:tcPr>
          <w:p>
            <w:r>
              <w:rPr>
                <w:rFonts w:ascii="Aptos" w:hAnsi="Aptos"/>
                <w:b/>
                <w:color w:val="FFFFFF"/>
                <w:sz w:val="16"/>
              </w:rPr>
              <w:t>Version</w:t>
            </w:r>
          </w:p>
        </w:tc>
        <w:tc>
          <w:tcPr>
            <w:tcW w:type="dxa" w:w="1728"/>
            <w:shd w:fill="17365D"/>
            <w:vAlign w:val="center"/>
            <w:tcMar>
              <w:top w:w="80" w:type="dxa"/>
              <w:start w:w="90" w:type="dxa"/>
              <w:bottom w:w="80" w:type="dxa"/>
              <w:end w:w="90" w:type="dxa"/>
            </w:tcMar>
          </w:tcPr>
          <w:p>
            <w:r>
              <w:rPr>
                <w:rFonts w:ascii="Aptos" w:hAnsi="Aptos"/>
                <w:b/>
                <w:color w:val="FFFFFF"/>
                <w:sz w:val="16"/>
              </w:rPr>
              <w:t>Effective Date</w:t>
            </w:r>
          </w:p>
        </w:tc>
        <w:tc>
          <w:tcPr>
            <w:tcW w:type="dxa" w:w="5616"/>
            <w:shd w:fill="17365D"/>
            <w:vAlign w:val="center"/>
            <w:tcMar>
              <w:top w:w="80" w:type="dxa"/>
              <w:start w:w="90" w:type="dxa"/>
              <w:bottom w:w="80" w:type="dxa"/>
              <w:end w:w="90" w:type="dxa"/>
            </w:tcMar>
          </w:tcPr>
          <w:p>
            <w:r>
              <w:rPr>
                <w:rFonts w:ascii="Aptos" w:hAnsi="Aptos"/>
                <w:b/>
                <w:color w:val="FFFFFF"/>
                <w:sz w:val="16"/>
              </w:rPr>
              <w:t>Summary of Change</w:t>
            </w:r>
          </w:p>
        </w:tc>
        <w:tc>
          <w:tcPr>
            <w:tcW w:type="dxa" w:w="2160"/>
            <w:shd w:fill="17365D"/>
            <w:vAlign w:val="center"/>
            <w:tcMar>
              <w:top w:w="80" w:type="dxa"/>
              <w:start w:w="90" w:type="dxa"/>
              <w:bottom w:w="80" w:type="dxa"/>
              <w:end w:w="90" w:type="dxa"/>
            </w:tcMar>
          </w:tcPr>
          <w:p>
            <w:r>
              <w:rPr>
                <w:rFonts w:ascii="Aptos" w:hAnsi="Aptos"/>
                <w:b/>
                <w:color w:val="FFFFFF"/>
                <w:sz w:val="16"/>
              </w:rPr>
              <w:t>Owner</w:t>
            </w:r>
          </w:p>
        </w:tc>
      </w:tr>
      <w:tr>
        <w:tc>
          <w:tcPr>
            <w:tcW w:type="dxa" w:w="1152"/>
            <w:tcMar>
              <w:top w:w="80" w:type="dxa"/>
              <w:start w:w="90" w:type="dxa"/>
              <w:bottom w:w="80" w:type="dxa"/>
              <w:end w:w="90" w:type="dxa"/>
            </w:tcMar>
            <w:vAlign w:val="top"/>
          </w:tcPr>
          <w:p>
            <w:r>
              <w:rPr>
                <w:rFonts w:ascii="Aptos" w:hAnsi="Aptos"/>
                <w:b w:val="0"/>
                <w:sz w:val="16"/>
              </w:rPr>
              <w:t>0.8</w:t>
            </w:r>
          </w:p>
        </w:tc>
        <w:tc>
          <w:tcPr>
            <w:tcW w:type="dxa" w:w="1728"/>
            <w:tcMar>
              <w:top w:w="80" w:type="dxa"/>
              <w:start w:w="90" w:type="dxa"/>
              <w:bottom w:w="80" w:type="dxa"/>
              <w:end w:w="90" w:type="dxa"/>
            </w:tcMar>
            <w:vAlign w:val="top"/>
          </w:tcPr>
          <w:p>
            <w:r>
              <w:rPr>
                <w:rFonts w:ascii="Aptos" w:hAnsi="Aptos"/>
                <w:b w:val="0"/>
                <w:sz w:val="16"/>
              </w:rPr>
              <w:t>1 Sep 2025</w:t>
            </w:r>
          </w:p>
        </w:tc>
        <w:tc>
          <w:tcPr>
            <w:tcW w:type="dxa" w:w="5616"/>
            <w:tcMar>
              <w:top w:w="80" w:type="dxa"/>
              <w:start w:w="90" w:type="dxa"/>
              <w:bottom w:w="80" w:type="dxa"/>
              <w:end w:w="90" w:type="dxa"/>
            </w:tcMar>
            <w:vAlign w:val="top"/>
          </w:tcPr>
          <w:p>
            <w:r>
              <w:rPr>
                <w:rFonts w:ascii="Aptos" w:hAnsi="Aptos"/>
                <w:b w:val="0"/>
                <w:sz w:val="16"/>
              </w:rPr>
              <w:t>Interim factor scoring used during AML-003 v2.2 implementation.</w:t>
            </w:r>
          </w:p>
        </w:tc>
        <w:tc>
          <w:tcPr>
            <w:tcW w:type="dxa" w:w="2160"/>
            <w:tcMar>
              <w:top w:w="80" w:type="dxa"/>
              <w:start w:w="90" w:type="dxa"/>
              <w:bottom w:w="80" w:type="dxa"/>
              <w:end w:w="90" w:type="dxa"/>
            </w:tcMar>
            <w:vAlign w:val="top"/>
          </w:tcPr>
          <w:p>
            <w:r>
              <w:rPr>
                <w:rFonts w:ascii="Aptos" w:hAnsi="Aptos"/>
                <w:b w:val="0"/>
                <w:sz w:val="16"/>
              </w:rPr>
              <w:t>AML Compliance</w:t>
            </w:r>
          </w:p>
        </w:tc>
      </w:tr>
      <w:tr>
        <w:tc>
          <w:tcPr>
            <w:tcW w:type="dxa" w:w="1152"/>
            <w:tcMar>
              <w:top w:w="80" w:type="dxa"/>
              <w:start w:w="90" w:type="dxa"/>
              <w:bottom w:w="80" w:type="dxa"/>
              <w:end w:w="90" w:type="dxa"/>
            </w:tcMar>
            <w:vAlign w:val="top"/>
            <w:shd w:fill="F7FAFC"/>
          </w:tcPr>
          <w:p>
            <w:r>
              <w:rPr>
                <w:rFonts w:ascii="Aptos" w:hAnsi="Aptos"/>
                <w:b w:val="0"/>
                <w:sz w:val="16"/>
              </w:rPr>
              <w:t>0.9</w:t>
            </w:r>
          </w:p>
        </w:tc>
        <w:tc>
          <w:tcPr>
            <w:tcW w:type="dxa" w:w="1728"/>
            <w:tcMar>
              <w:top w:w="80" w:type="dxa"/>
              <w:start w:w="90" w:type="dxa"/>
              <w:bottom w:w="80" w:type="dxa"/>
              <w:end w:w="90" w:type="dxa"/>
            </w:tcMar>
            <w:vAlign w:val="top"/>
            <w:shd w:fill="F7FAFC"/>
          </w:tcPr>
          <w:p>
            <w:r>
              <w:rPr>
                <w:rFonts w:ascii="Aptos" w:hAnsi="Aptos"/>
                <w:b w:val="0"/>
                <w:sz w:val="16"/>
              </w:rPr>
              <w:t>1 Oct 2025</w:t>
            </w:r>
          </w:p>
        </w:tc>
        <w:tc>
          <w:tcPr>
            <w:tcW w:type="dxa" w:w="5616"/>
            <w:tcMar>
              <w:top w:w="80" w:type="dxa"/>
              <w:start w:w="90" w:type="dxa"/>
              <w:bottom w:w="80" w:type="dxa"/>
              <w:end w:w="90" w:type="dxa"/>
            </w:tcMar>
            <w:vAlign w:val="top"/>
            <w:shd w:fill="F7FAFC"/>
          </w:tcPr>
          <w:p>
            <w:r>
              <w:rPr>
                <w:rFonts w:ascii="Aptos" w:hAnsi="Aptos"/>
                <w:b w:val="0"/>
                <w:sz w:val="16"/>
              </w:rPr>
              <w:t>Pilot mandatory floors and override controls.</w:t>
            </w:r>
          </w:p>
        </w:tc>
        <w:tc>
          <w:tcPr>
            <w:tcW w:type="dxa" w:w="2160"/>
            <w:tcMar>
              <w:top w:w="80" w:type="dxa"/>
              <w:start w:w="90" w:type="dxa"/>
              <w:bottom w:w="80" w:type="dxa"/>
              <w:end w:w="90" w:type="dxa"/>
            </w:tcMar>
            <w:vAlign w:val="top"/>
            <w:shd w:fill="F7FAFC"/>
          </w:tcPr>
          <w:p>
            <w:r>
              <w:rPr>
                <w:rFonts w:ascii="Aptos" w:hAnsi="Aptos"/>
                <w:b w:val="0"/>
                <w:sz w:val="16"/>
              </w:rPr>
              <w:t>AML Compliance</w:t>
            </w:r>
          </w:p>
        </w:tc>
      </w:tr>
      <w:tr>
        <w:tc>
          <w:tcPr>
            <w:tcW w:type="dxa" w:w="1152"/>
            <w:tcMar>
              <w:top w:w="80" w:type="dxa"/>
              <w:start w:w="90" w:type="dxa"/>
              <w:bottom w:w="80" w:type="dxa"/>
              <w:end w:w="90" w:type="dxa"/>
            </w:tcMar>
            <w:vAlign w:val="top"/>
          </w:tcPr>
          <w:p>
            <w:r>
              <w:rPr>
                <w:rFonts w:ascii="Aptos" w:hAnsi="Aptos"/>
                <w:b w:val="0"/>
                <w:sz w:val="16"/>
              </w:rPr>
              <w:t>1.0</w:t>
            </w:r>
          </w:p>
        </w:tc>
        <w:tc>
          <w:tcPr>
            <w:tcW w:type="dxa" w:w="1728"/>
            <w:tcMar>
              <w:top w:w="80" w:type="dxa"/>
              <w:start w:w="90" w:type="dxa"/>
              <w:bottom w:w="80" w:type="dxa"/>
              <w:end w:w="90" w:type="dxa"/>
            </w:tcMar>
            <w:vAlign w:val="top"/>
          </w:tcPr>
          <w:p>
            <w:r>
              <w:rPr>
                <w:rFonts w:ascii="Aptos" w:hAnsi="Aptos"/>
                <w:b w:val="0"/>
                <w:sz w:val="16"/>
              </w:rPr>
              <w:t>1 Nov 2025</w:t>
            </w:r>
          </w:p>
        </w:tc>
        <w:tc>
          <w:tcPr>
            <w:tcW w:type="dxa" w:w="5616"/>
            <w:tcMar>
              <w:top w:w="80" w:type="dxa"/>
              <w:start w:w="90" w:type="dxa"/>
              <w:bottom w:w="80" w:type="dxa"/>
              <w:end w:w="90" w:type="dxa"/>
            </w:tcMar>
            <w:vAlign w:val="top"/>
          </w:tcPr>
          <w:p>
            <w:r>
              <w:rPr>
                <w:rFonts w:ascii="Aptos" w:hAnsi="Aptos"/>
                <w:b w:val="0"/>
                <w:sz w:val="16"/>
              </w:rPr>
              <w:t>First controlled standalone customer-risk rating procedure.</w:t>
            </w:r>
          </w:p>
        </w:tc>
        <w:tc>
          <w:tcPr>
            <w:tcW w:type="dxa" w:w="2160"/>
            <w:tcMar>
              <w:top w:w="80" w:type="dxa"/>
              <w:start w:w="90" w:type="dxa"/>
              <w:bottom w:w="80" w:type="dxa"/>
              <w:end w:w="90" w:type="dxa"/>
            </w:tcMar>
            <w:vAlign w:val="top"/>
          </w:tcPr>
          <w:p>
            <w:r>
              <w:rPr>
                <w:rFonts w:ascii="Aptos" w:hAnsi="Aptos"/>
                <w:b w:val="0"/>
                <w:sz w:val="16"/>
              </w:rPr>
              <w:t>Rohan Batra</w:t>
            </w:r>
          </w:p>
        </w:tc>
      </w:tr>
    </w:tbl>
    <w:p/>
    <w:p>
      <w:pPr>
        <w:pStyle w:val="SmallNote"/>
      </w:pPr>
      <w:r>
        <w:t>Controlled copies are maintained in the Northstar Financial internal policy repository. Printed, exported or locally saved copies may become superseded. Users shall confirm document status before applying a threshold, approval route or transitional provision.</w:t>
      </w:r>
    </w:p>
    <w:p>
      <w:r>
        <w:br w:type="page"/>
      </w:r>
    </w:p>
    <w:p>
      <w:pPr>
        <w:pStyle w:val="Heading1"/>
      </w:pPr>
      <w:r>
        <w:t>Contents</w:t>
      </w:r>
    </w:p>
    <w:p>
      <w:pPr>
        <w:spacing w:after="24"/>
      </w:pPr>
      <w:r>
        <w:rPr>
          <w:rFonts w:ascii="Aptos" w:hAnsi="Aptos"/>
          <w:sz w:val="18"/>
        </w:rPr>
        <w:t>1. Purpose and Methodology Scope</w:t>
      </w:r>
    </w:p>
    <w:p>
      <w:pPr>
        <w:spacing w:after="24"/>
      </w:pPr>
      <w:r>
        <w:rPr>
          <w:rFonts w:ascii="Aptos" w:hAnsi="Aptos"/>
          <w:sz w:val="18"/>
        </w:rPr>
        <w:t>2. Scoring Architecture</w:t>
      </w:r>
    </w:p>
    <w:p>
      <w:pPr>
        <w:spacing w:after="24"/>
      </w:pPr>
      <w:r>
        <w:rPr>
          <w:rFonts w:ascii="Aptos" w:hAnsi="Aptos"/>
          <w:sz w:val="18"/>
        </w:rPr>
        <w:t>3. Risk Bands and Review Frequency</w:t>
      </w:r>
    </w:p>
    <w:p>
      <w:pPr>
        <w:spacing w:after="24"/>
      </w:pPr>
      <w:r>
        <w:rPr>
          <w:rFonts w:ascii="Aptos" w:hAnsi="Aptos"/>
          <w:sz w:val="18"/>
        </w:rPr>
        <w:t>4. Customer and Business Factor</w:t>
      </w:r>
    </w:p>
    <w:p>
      <w:pPr>
        <w:spacing w:after="24"/>
      </w:pPr>
      <w:r>
        <w:rPr>
          <w:rFonts w:ascii="Aptos" w:hAnsi="Aptos"/>
          <w:sz w:val="18"/>
        </w:rPr>
        <w:t>5. Geography Factor</w:t>
      </w:r>
    </w:p>
    <w:p>
      <w:pPr>
        <w:spacing w:after="24"/>
      </w:pPr>
      <w:r>
        <w:rPr>
          <w:rFonts w:ascii="Aptos" w:hAnsi="Aptos"/>
          <w:sz w:val="18"/>
        </w:rPr>
        <w:t>6. Product and Service Factor</w:t>
      </w:r>
    </w:p>
    <w:p>
      <w:pPr>
        <w:spacing w:after="24"/>
      </w:pPr>
      <w:r>
        <w:rPr>
          <w:rFonts w:ascii="Aptos" w:hAnsi="Aptos"/>
          <w:sz w:val="18"/>
        </w:rPr>
        <w:t>7. Channel and Intermediary Factor</w:t>
      </w:r>
    </w:p>
    <w:p>
      <w:pPr>
        <w:spacing w:after="24"/>
      </w:pPr>
      <w:r>
        <w:rPr>
          <w:rFonts w:ascii="Aptos" w:hAnsi="Aptos"/>
          <w:sz w:val="18"/>
        </w:rPr>
        <w:t>8. Ownership and Structure Factor</w:t>
      </w:r>
    </w:p>
    <w:p>
      <w:pPr>
        <w:spacing w:after="24"/>
      </w:pPr>
      <w:r>
        <w:rPr>
          <w:rFonts w:ascii="Aptos" w:hAnsi="Aptos"/>
          <w:sz w:val="18"/>
        </w:rPr>
        <w:t>9. Behaviour and Transaction Factor</w:t>
      </w:r>
    </w:p>
    <w:p>
      <w:pPr>
        <w:spacing w:after="24"/>
      </w:pPr>
      <w:r>
        <w:rPr>
          <w:rFonts w:ascii="Aptos" w:hAnsi="Aptos"/>
          <w:sz w:val="18"/>
        </w:rPr>
        <w:t>10. Mandatory Risk Floors</w:t>
      </w:r>
    </w:p>
    <w:p>
      <w:pPr>
        <w:spacing w:after="24"/>
      </w:pPr>
      <w:r>
        <w:rPr>
          <w:rFonts w:ascii="Aptos" w:hAnsi="Aptos"/>
          <w:sz w:val="18"/>
        </w:rPr>
        <w:t>11. Overrides and Expert Judgment</w:t>
      </w:r>
    </w:p>
    <w:p>
      <w:pPr>
        <w:spacing w:after="24"/>
      </w:pPr>
      <w:r>
        <w:rPr>
          <w:rFonts w:ascii="Aptos" w:hAnsi="Aptos"/>
          <w:sz w:val="18"/>
        </w:rPr>
        <w:t>12. New Customer Rating Workflow</w:t>
      </w:r>
    </w:p>
    <w:p>
      <w:pPr>
        <w:spacing w:after="24"/>
      </w:pPr>
      <w:r>
        <w:rPr>
          <w:rFonts w:ascii="Aptos" w:hAnsi="Aptos"/>
          <w:sz w:val="18"/>
        </w:rPr>
        <w:t>13. Trigger-Event Reassessment</w:t>
      </w:r>
    </w:p>
    <w:p>
      <w:pPr>
        <w:spacing w:after="24"/>
      </w:pPr>
      <w:r>
        <w:rPr>
          <w:rFonts w:ascii="Aptos" w:hAnsi="Aptos"/>
          <w:sz w:val="18"/>
        </w:rPr>
        <w:t>14. Periodic Review and Rating Ageing</w:t>
      </w:r>
    </w:p>
    <w:p>
      <w:pPr>
        <w:spacing w:after="24"/>
      </w:pPr>
      <w:r>
        <w:rPr>
          <w:rFonts w:ascii="Aptos" w:hAnsi="Aptos"/>
          <w:sz w:val="18"/>
        </w:rPr>
        <w:t>15. Model Governance, Calibration and Change Control</w:t>
      </w:r>
    </w:p>
    <w:p>
      <w:pPr>
        <w:spacing w:after="24"/>
      </w:pPr>
      <w:r>
        <w:rPr>
          <w:rFonts w:ascii="Aptos" w:hAnsi="Aptos"/>
          <w:sz w:val="18"/>
        </w:rPr>
        <w:t>16. Quality Assurance, Reporting and Records</w:t>
      </w:r>
    </w:p>
    <w:p>
      <w:pPr>
        <w:spacing w:after="24"/>
      </w:pPr>
      <w:r>
        <w:rPr>
          <w:rFonts w:ascii="Aptos" w:hAnsi="Aptos"/>
          <w:sz w:val="18"/>
        </w:rPr>
        <w:t>17. Illustrative Scoring Examples</w:t>
      </w:r>
    </w:p>
    <w:p>
      <w:pPr>
        <w:spacing w:after="24"/>
      </w:pPr>
      <w:r>
        <w:rPr>
          <w:rFonts w:ascii="Aptos" w:hAnsi="Aptos"/>
          <w:sz w:val="18"/>
        </w:rPr>
        <w:t>18. Factor Documentation Checklist</w:t>
      </w:r>
    </w:p>
    <w:p>
      <w:pPr>
        <w:spacing w:after="24"/>
      </w:pPr>
      <w:r>
        <w:rPr>
          <w:rFonts w:ascii="Aptos" w:hAnsi="Aptos"/>
          <w:sz w:val="18"/>
        </w:rPr>
        <w:t>19. Risk Rating Change Log Minimum Fields</w:t>
      </w:r>
      <w:r>
        <w:br/>
        <w:t>20. Detailed Scoring Parameter Guide</w:t>
      </w:r>
      <w:r>
        <w:br/>
        <w:t>21. Override and Mandatory-Floor Reason Codes</w:t>
      </w:r>
      <w:r>
        <w:br/>
        <w:t>22. Risk Migration Examples</w:t>
      </w:r>
    </w:p>
    <w:p>
      <w:r>
        <w:br w:type="page"/>
      </w:r>
    </w:p>
    <w:p>
      <w:pPr>
        <w:pStyle w:val="Heading1"/>
        <w:keepNext/>
      </w:pPr>
      <w:r>
        <w:t>1. Purpose and Methodology Scope</w:t>
      </w:r>
    </w:p>
    <w:p>
      <w:r>
        <w:t>This Procedure defines Northstar Financial’s internal AML customer-risk rating methodology. The rating is used to determine due-diligence intensity, review frequency, approval and monitoring. It is not a credit score and shall not be substituted for borrower risk grading.</w:t>
      </w:r>
    </w:p>
    <w:p>
      <w:pPr>
        <w:pStyle w:val="ControlBullet"/>
      </w:pPr>
      <w:r>
        <w:rPr>
          <w:b/>
        </w:rPr>
        <w:t xml:space="preserve">• </w:t>
      </w:r>
      <w:r>
        <w:t>AML customer risk is calculated from customer, geography, product, channel, ownership/structure and behavioural factors.</w:t>
      </w:r>
    </w:p>
    <w:p>
      <w:pPr>
        <w:pStyle w:val="ControlBullet"/>
      </w:pPr>
      <w:r>
        <w:rPr>
          <w:b/>
        </w:rPr>
        <w:t xml:space="preserve">• </w:t>
      </w:r>
      <w:r>
        <w:t>KYC operational Low/Medium/High status may differ from the AML customer-risk rating.</w:t>
      </w:r>
    </w:p>
    <w:p>
      <w:pPr>
        <w:pStyle w:val="ControlBullet"/>
      </w:pPr>
      <w:r>
        <w:rPr>
          <w:b/>
        </w:rPr>
        <w:t xml:space="preserve">• </w:t>
      </w:r>
      <w:r>
        <w:t>Score outputs are subject to mandatory floors and expert overrides where facts are not adequately captured by points.</w:t>
      </w:r>
    </w:p>
    <w:p>
      <w:pPr>
        <w:pStyle w:val="ControlBullet"/>
      </w:pPr>
      <w:r>
        <w:rPr>
          <w:b/>
        </w:rPr>
        <w:t xml:space="preserve">• </w:t>
      </w:r>
      <w:r>
        <w:t>Historical ratings retain the methodology version used at the time of decision.</w:t>
      </w:r>
    </w:p>
    <w:p>
      <w:pPr>
        <w:pStyle w:val="Heading1"/>
        <w:keepNext/>
      </w:pPr>
      <w:r>
        <w:t>2. Scoring Architecture</w:t>
      </w:r>
    </w:p>
    <w:p>
      <w:r>
        <w:t>The current model produces a score from 0 to 100. Factors are additive within controlled caps. The model is intentionally transparent so analysts can identify which facts drive the rating and can explain overrides.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vAlign w:val="center"/>
            <w:tcMar>
              <w:top w:w="80" w:type="dxa"/>
              <w:start w:w="90" w:type="dxa"/>
              <w:bottom w:w="80" w:type="dxa"/>
              <w:end w:w="90" w:type="dxa"/>
            </w:tcMar>
          </w:tcPr>
          <w:p>
            <w:r>
              <w:rPr>
                <w:rFonts w:ascii="Aptos" w:hAnsi="Aptos"/>
                <w:b/>
                <w:color w:val="FFFFFF"/>
                <w:sz w:val="16"/>
              </w:rPr>
              <w:t>Factor</w:t>
            </w:r>
          </w:p>
        </w:tc>
        <w:tc>
          <w:tcPr>
            <w:tcW w:type="dxa" w:w="1872"/>
            <w:shd w:fill="17365D"/>
            <w:vAlign w:val="center"/>
            <w:tcMar>
              <w:top w:w="80" w:type="dxa"/>
              <w:start w:w="90" w:type="dxa"/>
              <w:bottom w:w="80" w:type="dxa"/>
              <w:end w:w="90" w:type="dxa"/>
            </w:tcMar>
          </w:tcPr>
          <w:p>
            <w:r>
              <w:rPr>
                <w:rFonts w:ascii="Aptos" w:hAnsi="Aptos"/>
                <w:b/>
                <w:color w:val="FFFFFF"/>
                <w:sz w:val="16"/>
              </w:rPr>
              <w:t>Maximum Points</w:t>
            </w:r>
          </w:p>
        </w:tc>
        <w:tc>
          <w:tcPr>
            <w:tcW w:type="dxa" w:w="5616"/>
            <w:shd w:fill="17365D"/>
            <w:vAlign w:val="center"/>
            <w:tcMar>
              <w:top w:w="80" w:type="dxa"/>
              <w:start w:w="90" w:type="dxa"/>
              <w:bottom w:w="80" w:type="dxa"/>
              <w:end w:w="90" w:type="dxa"/>
            </w:tcMar>
          </w:tcPr>
          <w:p>
            <w:r>
              <w:rPr>
                <w:rFonts w:ascii="Aptos" w:hAnsi="Aptos"/>
                <w:b/>
                <w:color w:val="FFFFFF"/>
                <w:sz w:val="16"/>
              </w:rPr>
              <w:t>Examples of Drivers</w:t>
            </w:r>
          </w:p>
        </w:tc>
      </w:tr>
      <w:tr>
        <w:tc>
          <w:tcPr>
            <w:tcW w:type="dxa" w:w="3456"/>
            <w:tcMar>
              <w:top w:w="80" w:type="dxa"/>
              <w:start w:w="90" w:type="dxa"/>
              <w:bottom w:w="80" w:type="dxa"/>
              <w:end w:w="90" w:type="dxa"/>
            </w:tcMar>
            <w:vAlign w:val="top"/>
          </w:tcPr>
          <w:p>
            <w:r>
              <w:rPr>
                <w:rFonts w:ascii="Aptos" w:hAnsi="Aptos"/>
                <w:b w:val="0"/>
                <w:sz w:val="16"/>
              </w:rPr>
              <w:t>Customer / occupation / business</w:t>
            </w:r>
          </w:p>
        </w:tc>
        <w:tc>
          <w:tcPr>
            <w:tcW w:type="dxa" w:w="1872"/>
            <w:tcMar>
              <w:top w:w="80" w:type="dxa"/>
              <w:start w:w="90" w:type="dxa"/>
              <w:bottom w:w="80" w:type="dxa"/>
              <w:end w:w="90" w:type="dxa"/>
            </w:tcMar>
            <w:vAlign w:val="top"/>
          </w:tcPr>
          <w:p>
            <w:r>
              <w:rPr>
                <w:rFonts w:ascii="Aptos" w:hAnsi="Aptos"/>
                <w:b w:val="0"/>
                <w:sz w:val="16"/>
              </w:rPr>
              <w:t>25</w:t>
            </w:r>
          </w:p>
        </w:tc>
        <w:tc>
          <w:tcPr>
            <w:tcW w:type="dxa" w:w="5616"/>
            <w:tcMar>
              <w:top w:w="80" w:type="dxa"/>
              <w:start w:w="90" w:type="dxa"/>
              <w:bottom w:w="80" w:type="dxa"/>
              <w:end w:w="90" w:type="dxa"/>
            </w:tcMar>
            <w:vAlign w:val="top"/>
          </w:tcPr>
          <w:p>
            <w:r>
              <w:rPr>
                <w:rFonts w:ascii="Aptos" w:hAnsi="Aptos"/>
                <w:b w:val="0"/>
                <w:sz w:val="16"/>
              </w:rPr>
              <w:t>Customer type, industry, cash intensity, integrity indicators</w:t>
            </w:r>
          </w:p>
        </w:tc>
      </w:tr>
      <w:tr>
        <w:tc>
          <w:tcPr>
            <w:tcW w:type="dxa" w:w="3456"/>
            <w:tcMar>
              <w:top w:w="80" w:type="dxa"/>
              <w:start w:w="90" w:type="dxa"/>
              <w:bottom w:w="80" w:type="dxa"/>
              <w:end w:w="90" w:type="dxa"/>
            </w:tcMar>
            <w:vAlign w:val="top"/>
            <w:shd w:fill="F7FAFC"/>
          </w:tcPr>
          <w:p>
            <w:r>
              <w:rPr>
                <w:rFonts w:ascii="Aptos" w:hAnsi="Aptos"/>
                <w:b w:val="0"/>
                <w:sz w:val="16"/>
              </w:rPr>
              <w:t>Geography</w:t>
            </w:r>
          </w:p>
        </w:tc>
        <w:tc>
          <w:tcPr>
            <w:tcW w:type="dxa" w:w="1872"/>
            <w:tcMar>
              <w:top w:w="80" w:type="dxa"/>
              <w:start w:w="90" w:type="dxa"/>
              <w:bottom w:w="80" w:type="dxa"/>
              <w:end w:w="90" w:type="dxa"/>
            </w:tcMar>
            <w:vAlign w:val="top"/>
            <w:shd w:fill="F7FAFC"/>
          </w:tcPr>
          <w:p>
            <w:r>
              <w:rPr>
                <w:rFonts w:ascii="Aptos" w:hAnsi="Aptos"/>
                <w:b w:val="0"/>
                <w:sz w:val="16"/>
              </w:rPr>
              <w:t>20</w:t>
            </w:r>
          </w:p>
        </w:tc>
        <w:tc>
          <w:tcPr>
            <w:tcW w:type="dxa" w:w="5616"/>
            <w:tcMar>
              <w:top w:w="80" w:type="dxa"/>
              <w:start w:w="90" w:type="dxa"/>
              <w:bottom w:w="80" w:type="dxa"/>
              <w:end w:w="90" w:type="dxa"/>
            </w:tcMar>
            <w:vAlign w:val="top"/>
            <w:shd w:fill="F7FAFC"/>
          </w:tcPr>
          <w:p>
            <w:r>
              <w:rPr>
                <w:rFonts w:ascii="Aptos" w:hAnsi="Aptos"/>
                <w:b w:val="0"/>
                <w:sz w:val="16"/>
              </w:rPr>
              <w:t>Residence, operations, counterparties and material fund-flow geographies</w:t>
            </w:r>
          </w:p>
        </w:tc>
      </w:tr>
      <w:tr>
        <w:tc>
          <w:tcPr>
            <w:tcW w:type="dxa" w:w="3456"/>
            <w:tcMar>
              <w:top w:w="80" w:type="dxa"/>
              <w:start w:w="90" w:type="dxa"/>
              <w:bottom w:w="80" w:type="dxa"/>
              <w:end w:w="90" w:type="dxa"/>
            </w:tcMar>
            <w:vAlign w:val="top"/>
          </w:tcPr>
          <w:p>
            <w:r>
              <w:rPr>
                <w:rFonts w:ascii="Aptos" w:hAnsi="Aptos"/>
                <w:b w:val="0"/>
                <w:sz w:val="16"/>
              </w:rPr>
              <w:t>Product / service</w:t>
            </w:r>
          </w:p>
        </w:tc>
        <w:tc>
          <w:tcPr>
            <w:tcW w:type="dxa" w:w="1872"/>
            <w:tcMar>
              <w:top w:w="80" w:type="dxa"/>
              <w:start w:w="90" w:type="dxa"/>
              <w:bottom w:w="80" w:type="dxa"/>
              <w:end w:w="90" w:type="dxa"/>
            </w:tcMar>
            <w:vAlign w:val="top"/>
          </w:tcPr>
          <w:p>
            <w:r>
              <w:rPr>
                <w:rFonts w:ascii="Aptos" w:hAnsi="Aptos"/>
                <w:b w:val="0"/>
                <w:sz w:val="16"/>
              </w:rPr>
              <w:t>15</w:t>
            </w:r>
          </w:p>
        </w:tc>
        <w:tc>
          <w:tcPr>
            <w:tcW w:type="dxa" w:w="5616"/>
            <w:tcMar>
              <w:top w:w="80" w:type="dxa"/>
              <w:start w:w="90" w:type="dxa"/>
              <w:bottom w:w="80" w:type="dxa"/>
              <w:end w:w="90" w:type="dxa"/>
            </w:tcMar>
            <w:vAlign w:val="top"/>
          </w:tcPr>
          <w:p>
            <w:r>
              <w:rPr>
                <w:rFonts w:ascii="Aptos" w:hAnsi="Aptos"/>
                <w:b w:val="0"/>
                <w:sz w:val="16"/>
              </w:rPr>
              <w:t>Liquidity, third-party funding, transaction capability, complexity</w:t>
            </w:r>
          </w:p>
        </w:tc>
      </w:tr>
      <w:tr>
        <w:tc>
          <w:tcPr>
            <w:tcW w:type="dxa" w:w="3456"/>
            <w:tcMar>
              <w:top w:w="80" w:type="dxa"/>
              <w:start w:w="90" w:type="dxa"/>
              <w:bottom w:w="80" w:type="dxa"/>
              <w:end w:w="90" w:type="dxa"/>
            </w:tcMar>
            <w:vAlign w:val="top"/>
            <w:shd w:fill="F7FAFC"/>
          </w:tcPr>
          <w:p>
            <w:r>
              <w:rPr>
                <w:rFonts w:ascii="Aptos" w:hAnsi="Aptos"/>
                <w:b w:val="0"/>
                <w:sz w:val="16"/>
              </w:rPr>
              <w:t>Channel / intermediary</w:t>
            </w:r>
          </w:p>
        </w:tc>
        <w:tc>
          <w:tcPr>
            <w:tcW w:type="dxa" w:w="1872"/>
            <w:tcMar>
              <w:top w:w="80" w:type="dxa"/>
              <w:start w:w="90" w:type="dxa"/>
              <w:bottom w:w="80" w:type="dxa"/>
              <w:end w:w="90" w:type="dxa"/>
            </w:tcMar>
            <w:vAlign w:val="top"/>
            <w:shd w:fill="F7FAFC"/>
          </w:tcPr>
          <w:p>
            <w:r>
              <w:rPr>
                <w:rFonts w:ascii="Aptos" w:hAnsi="Aptos"/>
                <w:b w:val="0"/>
                <w:sz w:val="16"/>
              </w:rPr>
              <w:t>10</w:t>
            </w:r>
          </w:p>
        </w:tc>
        <w:tc>
          <w:tcPr>
            <w:tcW w:type="dxa" w:w="5616"/>
            <w:tcMar>
              <w:top w:w="80" w:type="dxa"/>
              <w:start w:w="90" w:type="dxa"/>
              <w:bottom w:w="80" w:type="dxa"/>
              <w:end w:w="90" w:type="dxa"/>
            </w:tcMar>
            <w:vAlign w:val="top"/>
            <w:shd w:fill="F7FAFC"/>
          </w:tcPr>
          <w:p>
            <w:r>
              <w:rPr>
                <w:rFonts w:ascii="Aptos" w:hAnsi="Aptos"/>
                <w:b w:val="0"/>
                <w:sz w:val="16"/>
              </w:rPr>
              <w:t>Remote onboarding, introduced business, device/control strength</w:t>
            </w:r>
          </w:p>
        </w:tc>
      </w:tr>
      <w:tr>
        <w:tc>
          <w:tcPr>
            <w:tcW w:type="dxa" w:w="3456"/>
            <w:tcMar>
              <w:top w:w="80" w:type="dxa"/>
              <w:start w:w="90" w:type="dxa"/>
              <w:bottom w:w="80" w:type="dxa"/>
              <w:end w:w="90" w:type="dxa"/>
            </w:tcMar>
            <w:vAlign w:val="top"/>
          </w:tcPr>
          <w:p>
            <w:r>
              <w:rPr>
                <w:rFonts w:ascii="Aptos" w:hAnsi="Aptos"/>
                <w:b w:val="0"/>
                <w:sz w:val="16"/>
              </w:rPr>
              <w:t>Ownership / structure</w:t>
            </w:r>
          </w:p>
        </w:tc>
        <w:tc>
          <w:tcPr>
            <w:tcW w:type="dxa" w:w="1872"/>
            <w:tcMar>
              <w:top w:w="80" w:type="dxa"/>
              <w:start w:w="90" w:type="dxa"/>
              <w:bottom w:w="80" w:type="dxa"/>
              <w:end w:w="90" w:type="dxa"/>
            </w:tcMar>
            <w:vAlign w:val="top"/>
          </w:tcPr>
          <w:p>
            <w:r>
              <w:rPr>
                <w:rFonts w:ascii="Aptos" w:hAnsi="Aptos"/>
                <w:b w:val="0"/>
                <w:sz w:val="16"/>
              </w:rPr>
              <w:t>15</w:t>
            </w:r>
          </w:p>
        </w:tc>
        <w:tc>
          <w:tcPr>
            <w:tcW w:type="dxa" w:w="5616"/>
            <w:tcMar>
              <w:top w:w="80" w:type="dxa"/>
              <w:start w:w="90" w:type="dxa"/>
              <w:bottom w:w="80" w:type="dxa"/>
              <w:end w:w="90" w:type="dxa"/>
            </w:tcMar>
            <w:vAlign w:val="top"/>
          </w:tcPr>
          <w:p>
            <w:r>
              <w:rPr>
                <w:rFonts w:ascii="Aptos" w:hAnsi="Aptos"/>
                <w:b w:val="0"/>
                <w:sz w:val="16"/>
              </w:rPr>
              <w:t>Layering, trusts, nominees, control transparency</w:t>
            </w:r>
          </w:p>
        </w:tc>
      </w:tr>
      <w:tr>
        <w:tc>
          <w:tcPr>
            <w:tcW w:type="dxa" w:w="3456"/>
            <w:tcMar>
              <w:top w:w="80" w:type="dxa"/>
              <w:start w:w="90" w:type="dxa"/>
              <w:bottom w:w="80" w:type="dxa"/>
              <w:end w:w="90" w:type="dxa"/>
            </w:tcMar>
            <w:vAlign w:val="top"/>
            <w:shd w:fill="F7FAFC"/>
          </w:tcPr>
          <w:p>
            <w:r>
              <w:rPr>
                <w:rFonts w:ascii="Aptos" w:hAnsi="Aptos"/>
                <w:b w:val="0"/>
                <w:sz w:val="16"/>
              </w:rPr>
              <w:t>Behaviour / activity</w:t>
            </w:r>
          </w:p>
        </w:tc>
        <w:tc>
          <w:tcPr>
            <w:tcW w:type="dxa" w:w="1872"/>
            <w:tcMar>
              <w:top w:w="80" w:type="dxa"/>
              <w:start w:w="90" w:type="dxa"/>
              <w:bottom w:w="80" w:type="dxa"/>
              <w:end w:w="90" w:type="dxa"/>
            </w:tcMar>
            <w:vAlign w:val="top"/>
            <w:shd w:fill="F7FAFC"/>
          </w:tcPr>
          <w:p>
            <w:r>
              <w:rPr>
                <w:rFonts w:ascii="Aptos" w:hAnsi="Aptos"/>
                <w:b w:val="0"/>
                <w:sz w:val="16"/>
              </w:rPr>
              <w:t>15</w:t>
            </w:r>
          </w:p>
        </w:tc>
        <w:tc>
          <w:tcPr>
            <w:tcW w:type="dxa" w:w="5616"/>
            <w:tcMar>
              <w:top w:w="80" w:type="dxa"/>
              <w:start w:w="90" w:type="dxa"/>
              <w:bottom w:w="80" w:type="dxa"/>
              <w:end w:w="90" w:type="dxa"/>
            </w:tcMar>
            <w:vAlign w:val="top"/>
            <w:shd w:fill="F7FAFC"/>
          </w:tcPr>
          <w:p>
            <w:r>
              <w:rPr>
                <w:rFonts w:ascii="Aptos" w:hAnsi="Aptos"/>
                <w:b w:val="0"/>
                <w:sz w:val="16"/>
              </w:rPr>
              <w:t>Profile deviation, alert history, rapid movement, unexplained third-party flows</w:t>
            </w:r>
          </w:p>
        </w:tc>
      </w:tr>
    </w:tbl>
    <w:p/>
    <w:p>
      <w:pPr>
        <w:pStyle w:val="Heading1"/>
        <w:keepNext/>
      </w:pPr>
      <w:r>
        <w:t>3. Risk Bands and Review Frequency</w:t>
      </w:r>
    </w:p>
    <w:p>
      <w:r>
        <w:t>The base score maps to the current risk bands below. A mandatory floor or override may increase the final rating. Downward override is exceptional and requires specific approval.</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28"/>
            <w:shd w:fill="17365D"/>
            <w:vAlign w:val="center"/>
            <w:tcMar>
              <w:top w:w="80" w:type="dxa"/>
              <w:start w:w="90" w:type="dxa"/>
              <w:bottom w:w="80" w:type="dxa"/>
              <w:end w:w="90" w:type="dxa"/>
            </w:tcMar>
          </w:tcPr>
          <w:p>
            <w:r>
              <w:rPr>
                <w:rFonts w:ascii="Aptos" w:hAnsi="Aptos"/>
                <w:b/>
                <w:color w:val="FFFFFF"/>
                <w:sz w:val="16"/>
              </w:rPr>
              <w:t>Score</w:t>
            </w:r>
          </w:p>
        </w:tc>
        <w:tc>
          <w:tcPr>
            <w:tcW w:type="dxa" w:w="2016"/>
            <w:shd w:fill="17365D"/>
            <w:vAlign w:val="center"/>
            <w:tcMar>
              <w:top w:w="80" w:type="dxa"/>
              <w:start w:w="90" w:type="dxa"/>
              <w:bottom w:w="80" w:type="dxa"/>
              <w:end w:w="90" w:type="dxa"/>
            </w:tcMar>
          </w:tcPr>
          <w:p>
            <w:r>
              <w:rPr>
                <w:rFonts w:ascii="Aptos" w:hAnsi="Aptos"/>
                <w:b/>
                <w:color w:val="FFFFFF"/>
                <w:sz w:val="16"/>
              </w:rPr>
              <w:t>Base Risk</w:t>
            </w:r>
          </w:p>
        </w:tc>
        <w:tc>
          <w:tcPr>
            <w:tcW w:type="dxa" w:w="2592"/>
            <w:shd w:fill="17365D"/>
            <w:vAlign w:val="center"/>
            <w:tcMar>
              <w:top w:w="80" w:type="dxa"/>
              <w:start w:w="90" w:type="dxa"/>
              <w:bottom w:w="80" w:type="dxa"/>
              <w:end w:w="90" w:type="dxa"/>
            </w:tcMar>
          </w:tcPr>
          <w:p>
            <w:r>
              <w:rPr>
                <w:rFonts w:ascii="Aptos" w:hAnsi="Aptos"/>
                <w:b/>
                <w:color w:val="FFFFFF"/>
                <w:sz w:val="16"/>
              </w:rPr>
              <w:t>Scheduled Review</w:t>
            </w:r>
          </w:p>
        </w:tc>
        <w:tc>
          <w:tcPr>
            <w:tcW w:type="dxa" w:w="4608"/>
            <w:shd w:fill="17365D"/>
            <w:vAlign w:val="center"/>
            <w:tcMar>
              <w:top w:w="80" w:type="dxa"/>
              <w:start w:w="90" w:type="dxa"/>
              <w:bottom w:w="80" w:type="dxa"/>
              <w:end w:w="90" w:type="dxa"/>
            </w:tcMar>
          </w:tcPr>
          <w:p>
            <w:r>
              <w:rPr>
                <w:rFonts w:ascii="Aptos" w:hAnsi="Aptos"/>
                <w:b/>
                <w:color w:val="FFFFFF"/>
                <w:sz w:val="16"/>
              </w:rPr>
              <w:t>General Treatment</w:t>
            </w:r>
          </w:p>
        </w:tc>
      </w:tr>
      <w:tr>
        <w:tc>
          <w:tcPr>
            <w:tcW w:type="dxa" w:w="1728"/>
            <w:tcMar>
              <w:top w:w="80" w:type="dxa"/>
              <w:start w:w="90" w:type="dxa"/>
              <w:bottom w:w="80" w:type="dxa"/>
              <w:end w:w="90" w:type="dxa"/>
            </w:tcMar>
            <w:vAlign w:val="top"/>
          </w:tcPr>
          <w:p>
            <w:r>
              <w:rPr>
                <w:rFonts w:ascii="Aptos" w:hAnsi="Aptos"/>
                <w:b w:val="0"/>
                <w:sz w:val="16"/>
              </w:rPr>
              <w:t>0–29</w:t>
            </w:r>
          </w:p>
        </w:tc>
        <w:tc>
          <w:tcPr>
            <w:tcW w:type="dxa" w:w="2016"/>
            <w:tcMar>
              <w:top w:w="80" w:type="dxa"/>
              <w:start w:w="90" w:type="dxa"/>
              <w:bottom w:w="80" w:type="dxa"/>
              <w:end w:w="90" w:type="dxa"/>
            </w:tcMar>
            <w:vAlign w:val="top"/>
          </w:tcPr>
          <w:p>
            <w:r>
              <w:rPr>
                <w:rFonts w:ascii="Aptos" w:hAnsi="Aptos"/>
                <w:b w:val="0"/>
                <w:sz w:val="16"/>
              </w:rPr>
              <w:t>Low</w:t>
            </w:r>
          </w:p>
        </w:tc>
        <w:tc>
          <w:tcPr>
            <w:tcW w:type="dxa" w:w="2592"/>
            <w:tcMar>
              <w:top w:w="80" w:type="dxa"/>
              <w:start w:w="90" w:type="dxa"/>
              <w:bottom w:w="80" w:type="dxa"/>
              <w:end w:w="90" w:type="dxa"/>
            </w:tcMar>
            <w:vAlign w:val="top"/>
          </w:tcPr>
          <w:p>
            <w:r>
              <w:rPr>
                <w:rFonts w:ascii="Aptos" w:hAnsi="Aptos"/>
                <w:b w:val="0"/>
                <w:sz w:val="16"/>
              </w:rPr>
              <w:t>60 months</w:t>
            </w:r>
          </w:p>
        </w:tc>
        <w:tc>
          <w:tcPr>
            <w:tcW w:type="dxa" w:w="4608"/>
            <w:tcMar>
              <w:top w:w="80" w:type="dxa"/>
              <w:start w:w="90" w:type="dxa"/>
              <w:bottom w:w="80" w:type="dxa"/>
              <w:end w:w="90" w:type="dxa"/>
            </w:tcMar>
            <w:vAlign w:val="top"/>
          </w:tcPr>
          <w:p>
            <w:r>
              <w:rPr>
                <w:rFonts w:ascii="Aptos" w:hAnsi="Aptos"/>
                <w:b w:val="0"/>
                <w:sz w:val="16"/>
              </w:rPr>
              <w:t>Standard CDD; SiDD may be available if separately eligible</w:t>
            </w:r>
          </w:p>
        </w:tc>
      </w:tr>
      <w:tr>
        <w:tc>
          <w:tcPr>
            <w:tcW w:type="dxa" w:w="1728"/>
            <w:tcMar>
              <w:top w:w="80" w:type="dxa"/>
              <w:start w:w="90" w:type="dxa"/>
              <w:bottom w:w="80" w:type="dxa"/>
              <w:end w:w="90" w:type="dxa"/>
            </w:tcMar>
            <w:vAlign w:val="top"/>
            <w:shd w:fill="F7FAFC"/>
          </w:tcPr>
          <w:p>
            <w:r>
              <w:rPr>
                <w:rFonts w:ascii="Aptos" w:hAnsi="Aptos"/>
                <w:b w:val="0"/>
                <w:sz w:val="16"/>
              </w:rPr>
              <w:t>30–59</w:t>
            </w:r>
          </w:p>
        </w:tc>
        <w:tc>
          <w:tcPr>
            <w:tcW w:type="dxa" w:w="2016"/>
            <w:tcMar>
              <w:top w:w="80" w:type="dxa"/>
              <w:start w:w="90" w:type="dxa"/>
              <w:bottom w:w="80" w:type="dxa"/>
              <w:end w:w="90" w:type="dxa"/>
            </w:tcMar>
            <w:vAlign w:val="top"/>
            <w:shd w:fill="F7FAFC"/>
          </w:tcPr>
          <w:p>
            <w:r>
              <w:rPr>
                <w:rFonts w:ascii="Aptos" w:hAnsi="Aptos"/>
                <w:b w:val="0"/>
                <w:sz w:val="16"/>
              </w:rPr>
              <w:t>Medium</w:t>
            </w:r>
          </w:p>
        </w:tc>
        <w:tc>
          <w:tcPr>
            <w:tcW w:type="dxa" w:w="2592"/>
            <w:tcMar>
              <w:top w:w="80" w:type="dxa"/>
              <w:start w:w="90" w:type="dxa"/>
              <w:bottom w:w="80" w:type="dxa"/>
              <w:end w:w="90" w:type="dxa"/>
            </w:tcMar>
            <w:vAlign w:val="top"/>
            <w:shd w:fill="F7FAFC"/>
          </w:tcPr>
          <w:p>
            <w:r>
              <w:rPr>
                <w:rFonts w:ascii="Aptos" w:hAnsi="Aptos"/>
                <w:b w:val="0"/>
                <w:sz w:val="16"/>
              </w:rPr>
              <w:t>36 months</w:t>
            </w:r>
          </w:p>
        </w:tc>
        <w:tc>
          <w:tcPr>
            <w:tcW w:type="dxa" w:w="4608"/>
            <w:tcMar>
              <w:top w:w="80" w:type="dxa"/>
              <w:start w:w="90" w:type="dxa"/>
              <w:bottom w:w="80" w:type="dxa"/>
              <w:end w:w="90" w:type="dxa"/>
            </w:tcMar>
            <w:vAlign w:val="top"/>
            <w:shd w:fill="F7FAFC"/>
          </w:tcPr>
          <w:p>
            <w:r>
              <w:rPr>
                <w:rFonts w:ascii="Aptos" w:hAnsi="Aptos"/>
                <w:b w:val="0"/>
                <w:sz w:val="16"/>
              </w:rPr>
              <w:t>Standard CDD with additional evidence as indicated</w:t>
            </w:r>
          </w:p>
        </w:tc>
      </w:tr>
      <w:tr>
        <w:tc>
          <w:tcPr>
            <w:tcW w:type="dxa" w:w="1728"/>
            <w:tcMar>
              <w:top w:w="80" w:type="dxa"/>
              <w:start w:w="90" w:type="dxa"/>
              <w:bottom w:w="80" w:type="dxa"/>
              <w:end w:w="90" w:type="dxa"/>
            </w:tcMar>
            <w:vAlign w:val="top"/>
          </w:tcPr>
          <w:p>
            <w:r>
              <w:rPr>
                <w:rFonts w:ascii="Aptos" w:hAnsi="Aptos"/>
                <w:b w:val="0"/>
                <w:sz w:val="16"/>
              </w:rPr>
              <w:t>60–100</w:t>
            </w:r>
          </w:p>
        </w:tc>
        <w:tc>
          <w:tcPr>
            <w:tcW w:type="dxa" w:w="2016"/>
            <w:tcMar>
              <w:top w:w="80" w:type="dxa"/>
              <w:start w:w="90" w:type="dxa"/>
              <w:bottom w:w="80" w:type="dxa"/>
              <w:end w:w="90" w:type="dxa"/>
            </w:tcMar>
            <w:vAlign w:val="top"/>
          </w:tcPr>
          <w:p>
            <w:r>
              <w:rPr>
                <w:rFonts w:ascii="Aptos" w:hAnsi="Aptos"/>
                <w:b w:val="0"/>
                <w:sz w:val="16"/>
              </w:rPr>
              <w:t>High</w:t>
            </w:r>
          </w:p>
        </w:tc>
        <w:tc>
          <w:tcPr>
            <w:tcW w:type="dxa" w:w="2592"/>
            <w:tcMar>
              <w:top w:w="80" w:type="dxa"/>
              <w:start w:w="90" w:type="dxa"/>
              <w:bottom w:w="80" w:type="dxa"/>
              <w:end w:w="90" w:type="dxa"/>
            </w:tcMar>
            <w:vAlign w:val="top"/>
          </w:tcPr>
          <w:p>
            <w:r>
              <w:rPr>
                <w:rFonts w:ascii="Aptos" w:hAnsi="Aptos"/>
                <w:b w:val="0"/>
                <w:sz w:val="16"/>
              </w:rPr>
              <w:t>12 months</w:t>
            </w:r>
          </w:p>
        </w:tc>
        <w:tc>
          <w:tcPr>
            <w:tcW w:type="dxa" w:w="4608"/>
            <w:tcMar>
              <w:top w:w="80" w:type="dxa"/>
              <w:start w:w="90" w:type="dxa"/>
              <w:bottom w:w="80" w:type="dxa"/>
              <w:end w:w="90" w:type="dxa"/>
            </w:tcMar>
            <w:vAlign w:val="top"/>
          </w:tcPr>
          <w:p>
            <w:r>
              <w:rPr>
                <w:rFonts w:ascii="Aptos" w:hAnsi="Aptos"/>
                <w:b w:val="0"/>
                <w:sz w:val="16"/>
              </w:rPr>
              <w:t>EDD and enhanced monitoring/approval as applicable</w:t>
            </w:r>
          </w:p>
        </w:tc>
      </w:tr>
    </w:tbl>
    <w:p/>
    <w:p>
      <w:pPr>
        <w:pStyle w:val="Heading1"/>
        <w:keepNext/>
      </w:pPr>
      <w:r>
        <w:t>4. Customer and Business Factor</w:t>
      </w:r>
    </w:p>
    <w:p>
      <w:r>
        <w:t>The customer factor considers legal form, occupation or industry, cash intensity, financial transparency, integrity indicators and the ability to understand the economic purpose of the relationship.</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Driver</w:t>
            </w:r>
          </w:p>
        </w:tc>
        <w:tc>
          <w:tcPr>
            <w:tcW w:type="dxa" w:w="1872"/>
            <w:shd w:fill="17365D"/>
            <w:vAlign w:val="center"/>
            <w:tcMar>
              <w:top w:w="80" w:type="dxa"/>
              <w:start w:w="90" w:type="dxa"/>
              <w:bottom w:w="80" w:type="dxa"/>
              <w:end w:w="90" w:type="dxa"/>
            </w:tcMar>
          </w:tcPr>
          <w:p>
            <w:r>
              <w:rPr>
                <w:rFonts w:ascii="Aptos" w:hAnsi="Aptos"/>
                <w:b/>
                <w:color w:val="FFFFFF"/>
                <w:sz w:val="16"/>
              </w:rPr>
              <w:t>Points Guide</w:t>
            </w:r>
          </w:p>
        </w:tc>
        <w:tc>
          <w:tcPr>
            <w:tcW w:type="dxa" w:w="5328"/>
            <w:shd w:fill="17365D"/>
            <w:vAlign w:val="center"/>
            <w:tcMar>
              <w:top w:w="80" w:type="dxa"/>
              <w:start w:w="90" w:type="dxa"/>
              <w:bottom w:w="80" w:type="dxa"/>
              <w:end w:w="90" w:type="dxa"/>
            </w:tcMar>
          </w:tcPr>
          <w:p>
            <w:r>
              <w:rPr>
                <w:rFonts w:ascii="Aptos" w:hAnsi="Aptos"/>
                <w:b/>
                <w:color w:val="FFFFFF"/>
                <w:sz w:val="16"/>
              </w:rPr>
              <w:t>Notes</w:t>
            </w:r>
          </w:p>
        </w:tc>
      </w:tr>
      <w:tr>
        <w:tc>
          <w:tcPr>
            <w:tcW w:type="dxa" w:w="4032"/>
            <w:tcMar>
              <w:top w:w="80" w:type="dxa"/>
              <w:start w:w="90" w:type="dxa"/>
              <w:bottom w:w="80" w:type="dxa"/>
              <w:end w:w="90" w:type="dxa"/>
            </w:tcMar>
            <w:vAlign w:val="top"/>
          </w:tcPr>
          <w:p>
            <w:r>
              <w:rPr>
                <w:rFonts w:ascii="Aptos" w:hAnsi="Aptos"/>
                <w:b w:val="0"/>
                <w:sz w:val="16"/>
              </w:rPr>
              <w:t>Ordinary salaried / transparent personal profile</w:t>
            </w:r>
          </w:p>
        </w:tc>
        <w:tc>
          <w:tcPr>
            <w:tcW w:type="dxa" w:w="1872"/>
            <w:tcMar>
              <w:top w:w="80" w:type="dxa"/>
              <w:start w:w="90" w:type="dxa"/>
              <w:bottom w:w="80" w:type="dxa"/>
              <w:end w:w="90" w:type="dxa"/>
            </w:tcMar>
            <w:vAlign w:val="top"/>
          </w:tcPr>
          <w:p>
            <w:r>
              <w:rPr>
                <w:rFonts w:ascii="Aptos" w:hAnsi="Aptos"/>
                <w:b w:val="0"/>
                <w:sz w:val="16"/>
              </w:rPr>
              <w:t>0–4</w:t>
            </w:r>
          </w:p>
        </w:tc>
        <w:tc>
          <w:tcPr>
            <w:tcW w:type="dxa" w:w="5328"/>
            <w:tcMar>
              <w:top w:w="80" w:type="dxa"/>
              <w:start w:w="90" w:type="dxa"/>
              <w:bottom w:w="80" w:type="dxa"/>
              <w:end w:w="90" w:type="dxa"/>
            </w:tcMar>
            <w:vAlign w:val="top"/>
          </w:tcPr>
          <w:p>
            <w:r>
              <w:rPr>
                <w:rFonts w:ascii="Aptos" w:hAnsi="Aptos"/>
                <w:b w:val="0"/>
                <w:sz w:val="16"/>
              </w:rPr>
              <w:t>No material financial-crime indicators</w:t>
            </w:r>
          </w:p>
        </w:tc>
      </w:tr>
      <w:tr>
        <w:tc>
          <w:tcPr>
            <w:tcW w:type="dxa" w:w="4032"/>
            <w:tcMar>
              <w:top w:w="80" w:type="dxa"/>
              <w:start w:w="90" w:type="dxa"/>
              <w:bottom w:w="80" w:type="dxa"/>
              <w:end w:w="90" w:type="dxa"/>
            </w:tcMar>
            <w:vAlign w:val="top"/>
            <w:shd w:fill="F7FAFC"/>
          </w:tcPr>
          <w:p>
            <w:r>
              <w:rPr>
                <w:rFonts w:ascii="Aptos" w:hAnsi="Aptos"/>
                <w:b w:val="0"/>
                <w:sz w:val="16"/>
              </w:rPr>
              <w:t>Professional / self-employed / small business</w:t>
            </w:r>
          </w:p>
        </w:tc>
        <w:tc>
          <w:tcPr>
            <w:tcW w:type="dxa" w:w="1872"/>
            <w:tcMar>
              <w:top w:w="80" w:type="dxa"/>
              <w:start w:w="90" w:type="dxa"/>
              <w:bottom w:w="80" w:type="dxa"/>
              <w:end w:w="90" w:type="dxa"/>
            </w:tcMar>
            <w:vAlign w:val="top"/>
            <w:shd w:fill="F7FAFC"/>
          </w:tcPr>
          <w:p>
            <w:r>
              <w:rPr>
                <w:rFonts w:ascii="Aptos" w:hAnsi="Aptos"/>
                <w:b w:val="0"/>
                <w:sz w:val="16"/>
              </w:rPr>
              <w:t>3–8</w:t>
            </w:r>
          </w:p>
        </w:tc>
        <w:tc>
          <w:tcPr>
            <w:tcW w:type="dxa" w:w="5328"/>
            <w:tcMar>
              <w:top w:w="80" w:type="dxa"/>
              <w:start w:w="90" w:type="dxa"/>
              <w:bottom w:w="80" w:type="dxa"/>
              <w:end w:w="90" w:type="dxa"/>
            </w:tcMar>
            <w:vAlign w:val="top"/>
            <w:shd w:fill="F7FAFC"/>
          </w:tcPr>
          <w:p>
            <w:r>
              <w:rPr>
                <w:rFonts w:ascii="Aptos" w:hAnsi="Aptos"/>
                <w:b w:val="0"/>
                <w:sz w:val="16"/>
              </w:rPr>
              <w:t>Depends on business nature and transparency</w:t>
            </w:r>
          </w:p>
        </w:tc>
      </w:tr>
      <w:tr>
        <w:tc>
          <w:tcPr>
            <w:tcW w:type="dxa" w:w="4032"/>
            <w:tcMar>
              <w:top w:w="80" w:type="dxa"/>
              <w:start w:w="90" w:type="dxa"/>
              <w:bottom w:w="80" w:type="dxa"/>
              <w:end w:w="90" w:type="dxa"/>
            </w:tcMar>
            <w:vAlign w:val="top"/>
          </w:tcPr>
          <w:p>
            <w:r>
              <w:rPr>
                <w:rFonts w:ascii="Aptos" w:hAnsi="Aptos"/>
                <w:b w:val="0"/>
                <w:sz w:val="16"/>
              </w:rPr>
              <w:t>Cash-intensive or higher-misuse business</w:t>
            </w:r>
          </w:p>
        </w:tc>
        <w:tc>
          <w:tcPr>
            <w:tcW w:type="dxa" w:w="1872"/>
            <w:tcMar>
              <w:top w:w="80" w:type="dxa"/>
              <w:start w:w="90" w:type="dxa"/>
              <w:bottom w:w="80" w:type="dxa"/>
              <w:end w:w="90" w:type="dxa"/>
            </w:tcMar>
            <w:vAlign w:val="top"/>
          </w:tcPr>
          <w:p>
            <w:r>
              <w:rPr>
                <w:rFonts w:ascii="Aptos" w:hAnsi="Aptos"/>
                <w:b w:val="0"/>
                <w:sz w:val="16"/>
              </w:rPr>
              <w:t>8–15</w:t>
            </w:r>
          </w:p>
        </w:tc>
        <w:tc>
          <w:tcPr>
            <w:tcW w:type="dxa" w:w="5328"/>
            <w:tcMar>
              <w:top w:w="80" w:type="dxa"/>
              <w:start w:w="90" w:type="dxa"/>
              <w:bottom w:w="80" w:type="dxa"/>
              <w:end w:w="90" w:type="dxa"/>
            </w:tcMar>
            <w:vAlign w:val="top"/>
          </w:tcPr>
          <w:p>
            <w:r>
              <w:rPr>
                <w:rFonts w:ascii="Aptos" w:hAnsi="Aptos"/>
                <w:b w:val="0"/>
                <w:sz w:val="16"/>
              </w:rPr>
              <w:t>Evidence of controls and normal activity may moderate within band</w:t>
            </w:r>
          </w:p>
        </w:tc>
      </w:tr>
      <w:tr>
        <w:tc>
          <w:tcPr>
            <w:tcW w:type="dxa" w:w="4032"/>
            <w:tcMar>
              <w:top w:w="80" w:type="dxa"/>
              <w:start w:w="90" w:type="dxa"/>
              <w:bottom w:w="80" w:type="dxa"/>
              <w:end w:w="90" w:type="dxa"/>
            </w:tcMar>
            <w:vAlign w:val="top"/>
            <w:shd w:fill="F7FAFC"/>
          </w:tcPr>
          <w:p>
            <w:r>
              <w:rPr>
                <w:rFonts w:ascii="Aptos" w:hAnsi="Aptos"/>
                <w:b w:val="0"/>
                <w:sz w:val="16"/>
              </w:rPr>
              <w:t>Complex financial intermediary / high-risk business type</w:t>
            </w:r>
          </w:p>
        </w:tc>
        <w:tc>
          <w:tcPr>
            <w:tcW w:type="dxa" w:w="1872"/>
            <w:tcMar>
              <w:top w:w="80" w:type="dxa"/>
              <w:start w:w="90" w:type="dxa"/>
              <w:bottom w:w="80" w:type="dxa"/>
              <w:end w:w="90" w:type="dxa"/>
            </w:tcMar>
            <w:vAlign w:val="top"/>
            <w:shd w:fill="F7FAFC"/>
          </w:tcPr>
          <w:p>
            <w:r>
              <w:rPr>
                <w:rFonts w:ascii="Aptos" w:hAnsi="Aptos"/>
                <w:b w:val="0"/>
                <w:sz w:val="16"/>
              </w:rPr>
              <w:t>12–20</w:t>
            </w:r>
          </w:p>
        </w:tc>
        <w:tc>
          <w:tcPr>
            <w:tcW w:type="dxa" w:w="5328"/>
            <w:tcMar>
              <w:top w:w="80" w:type="dxa"/>
              <w:start w:w="90" w:type="dxa"/>
              <w:bottom w:w="80" w:type="dxa"/>
              <w:end w:w="90" w:type="dxa"/>
            </w:tcMar>
            <w:vAlign w:val="top"/>
            <w:shd w:fill="F7FAFC"/>
          </w:tcPr>
          <w:p>
            <w:r>
              <w:rPr>
                <w:rFonts w:ascii="Aptos" w:hAnsi="Aptos"/>
                <w:b w:val="0"/>
                <w:sz w:val="16"/>
              </w:rPr>
              <w:t>Requires clear rationale and ownership</w:t>
            </w:r>
          </w:p>
        </w:tc>
      </w:tr>
      <w:tr>
        <w:tc>
          <w:tcPr>
            <w:tcW w:type="dxa" w:w="4032"/>
            <w:tcMar>
              <w:top w:w="80" w:type="dxa"/>
              <w:start w:w="90" w:type="dxa"/>
              <w:bottom w:w="80" w:type="dxa"/>
              <w:end w:w="90" w:type="dxa"/>
            </w:tcMar>
            <w:vAlign w:val="top"/>
          </w:tcPr>
          <w:p>
            <w:r>
              <w:rPr>
                <w:rFonts w:ascii="Aptos" w:hAnsi="Aptos"/>
                <w:b w:val="0"/>
                <w:sz w:val="16"/>
              </w:rPr>
              <w:t>Material integrity/adverse information</w:t>
            </w:r>
          </w:p>
        </w:tc>
        <w:tc>
          <w:tcPr>
            <w:tcW w:type="dxa" w:w="1872"/>
            <w:tcMar>
              <w:top w:w="80" w:type="dxa"/>
              <w:start w:w="90" w:type="dxa"/>
              <w:bottom w:w="80" w:type="dxa"/>
              <w:end w:w="90" w:type="dxa"/>
            </w:tcMar>
            <w:vAlign w:val="top"/>
          </w:tcPr>
          <w:p>
            <w:r>
              <w:rPr>
                <w:rFonts w:ascii="Aptos" w:hAnsi="Aptos"/>
                <w:b w:val="0"/>
                <w:sz w:val="16"/>
              </w:rPr>
              <w:t>10–25</w:t>
            </w:r>
          </w:p>
        </w:tc>
        <w:tc>
          <w:tcPr>
            <w:tcW w:type="dxa" w:w="5328"/>
            <w:tcMar>
              <w:top w:w="80" w:type="dxa"/>
              <w:start w:w="90" w:type="dxa"/>
              <w:bottom w:w="80" w:type="dxa"/>
              <w:end w:w="90" w:type="dxa"/>
            </w:tcMar>
            <w:vAlign w:val="top"/>
          </w:tcPr>
          <w:p>
            <w:r>
              <w:rPr>
                <w:rFonts w:ascii="Aptos" w:hAnsi="Aptos"/>
                <w:b w:val="0"/>
                <w:sz w:val="16"/>
              </w:rPr>
              <w:t>May also trigger mandatory High floor</w:t>
            </w:r>
          </w:p>
        </w:tc>
      </w:tr>
    </w:tbl>
    <w:p/>
    <w:p>
      <w:pPr>
        <w:pStyle w:val="Heading1"/>
        <w:keepNext/>
      </w:pPr>
      <w:r>
        <w:t>5. Geography Factor</w:t>
      </w:r>
    </w:p>
    <w:p>
      <w:r>
        <w:t>Geographic points are based on the materiality and nature of the customer’s links rather than nationality alone. Internal country-risk categories are maintained by AML Compliance and may change without amending this Procedure.</w:t>
      </w:r>
    </w:p>
    <w:p>
      <w:pPr>
        <w:pStyle w:val="ControlBullet"/>
      </w:pPr>
      <w:r>
        <w:rPr>
          <w:b/>
        </w:rPr>
        <w:t xml:space="preserve">• </w:t>
      </w:r>
      <w:r>
        <w:t>Consider residence/registration, operating locations, material counterparties, source/destination of funds and expected cross-border activity.</w:t>
      </w:r>
    </w:p>
    <w:p>
      <w:pPr>
        <w:pStyle w:val="ControlBullet"/>
      </w:pPr>
      <w:r>
        <w:rPr>
          <w:b/>
        </w:rPr>
        <w:t xml:space="preserve">• </w:t>
      </w:r>
      <w:r>
        <w:t>A minor or incidental link should not receive the same points as a core business or funding link.</w:t>
      </w:r>
    </w:p>
    <w:p>
      <w:pPr>
        <w:pStyle w:val="ControlBullet"/>
      </w:pPr>
      <w:r>
        <w:rPr>
          <w:b/>
        </w:rPr>
        <w:t xml:space="preserve">• </w:t>
      </w:r>
      <w:r>
        <w:t>Multiple moderate-risk geographic exposures may aggregate to a higher score.</w:t>
      </w:r>
    </w:p>
    <w:p>
      <w:pPr>
        <w:pStyle w:val="ControlBullet"/>
      </w:pPr>
      <w:r>
        <w:rPr>
          <w:b/>
        </w:rPr>
        <w:t xml:space="preserve">• </w:t>
      </w:r>
      <w:r>
        <w:t>Material sanctioned exposure is handled through sanctions controls and may result in restriction regardless of score.</w:t>
      </w:r>
    </w:p>
    <w:p>
      <w:pPr>
        <w:pStyle w:val="Heading1"/>
        <w:keepNext/>
      </w:pPr>
      <w:r>
        <w:t>6. Product and Service Factor</w:t>
      </w:r>
    </w:p>
    <w:p>
      <w:r>
        <w:t>Product points reflect the ability to move value, transact with third parties, access liquidity, transact cross-border or obscure the economic purpose of activity. Product risk may be low even where credit risk is high, and vice versa.</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6912"/>
            <w:shd w:fill="17365D"/>
            <w:vAlign w:val="center"/>
            <w:tcMar>
              <w:top w:w="80" w:type="dxa"/>
              <w:start w:w="90" w:type="dxa"/>
              <w:bottom w:w="80" w:type="dxa"/>
              <w:end w:w="90" w:type="dxa"/>
            </w:tcMar>
          </w:tcPr>
          <w:p>
            <w:r>
              <w:rPr>
                <w:rFonts w:ascii="Aptos" w:hAnsi="Aptos"/>
                <w:b/>
                <w:color w:val="FFFFFF"/>
                <w:sz w:val="16"/>
              </w:rPr>
              <w:t>Product Feature</w:t>
            </w:r>
          </w:p>
        </w:tc>
        <w:tc>
          <w:tcPr>
            <w:tcW w:type="dxa" w:w="3456"/>
            <w:shd w:fill="17365D"/>
            <w:vAlign w:val="center"/>
            <w:tcMar>
              <w:top w:w="80" w:type="dxa"/>
              <w:start w:w="90" w:type="dxa"/>
              <w:bottom w:w="80" w:type="dxa"/>
              <w:end w:w="90" w:type="dxa"/>
            </w:tcMar>
          </w:tcPr>
          <w:p>
            <w:r>
              <w:rPr>
                <w:rFonts w:ascii="Aptos" w:hAnsi="Aptos"/>
                <w:b/>
                <w:color w:val="FFFFFF"/>
                <w:sz w:val="16"/>
              </w:rPr>
              <w:t>Indicative Points</w:t>
            </w:r>
          </w:p>
        </w:tc>
      </w:tr>
      <w:tr>
        <w:tc>
          <w:tcPr>
            <w:tcW w:type="dxa" w:w="6912"/>
            <w:tcMar>
              <w:top w:w="80" w:type="dxa"/>
              <w:start w:w="90" w:type="dxa"/>
              <w:bottom w:w="80" w:type="dxa"/>
              <w:end w:w="90" w:type="dxa"/>
            </w:tcMar>
            <w:vAlign w:val="top"/>
          </w:tcPr>
          <w:p>
            <w:r>
              <w:rPr>
                <w:rFonts w:ascii="Aptos" w:hAnsi="Aptos"/>
                <w:b w:val="0"/>
                <w:sz w:val="16"/>
              </w:rPr>
              <w:t>Simple term loan with controlled disbursement/repayment</w:t>
            </w:r>
          </w:p>
        </w:tc>
        <w:tc>
          <w:tcPr>
            <w:tcW w:type="dxa" w:w="3456"/>
            <w:tcMar>
              <w:top w:w="80" w:type="dxa"/>
              <w:start w:w="90" w:type="dxa"/>
              <w:bottom w:w="80" w:type="dxa"/>
              <w:end w:w="90" w:type="dxa"/>
            </w:tcMar>
            <w:vAlign w:val="top"/>
          </w:tcPr>
          <w:p>
            <w:r>
              <w:rPr>
                <w:rFonts w:ascii="Aptos" w:hAnsi="Aptos"/>
                <w:b w:val="0"/>
                <w:sz w:val="16"/>
              </w:rPr>
              <w:t>0–3</w:t>
            </w:r>
          </w:p>
        </w:tc>
      </w:tr>
      <w:tr>
        <w:tc>
          <w:tcPr>
            <w:tcW w:type="dxa" w:w="6912"/>
            <w:tcMar>
              <w:top w:w="80" w:type="dxa"/>
              <w:start w:w="90" w:type="dxa"/>
              <w:bottom w:w="80" w:type="dxa"/>
              <w:end w:w="90" w:type="dxa"/>
            </w:tcMar>
            <w:vAlign w:val="top"/>
            <w:shd w:fill="F7FAFC"/>
          </w:tcPr>
          <w:p>
            <w:r>
              <w:rPr>
                <w:rFonts w:ascii="Aptos" w:hAnsi="Aptos"/>
                <w:b w:val="0"/>
                <w:sz w:val="16"/>
              </w:rPr>
              <w:t>Deposit or transactional account with ordinary domestic use</w:t>
            </w:r>
          </w:p>
        </w:tc>
        <w:tc>
          <w:tcPr>
            <w:tcW w:type="dxa" w:w="3456"/>
            <w:tcMar>
              <w:top w:w="80" w:type="dxa"/>
              <w:start w:w="90" w:type="dxa"/>
              <w:bottom w:w="80" w:type="dxa"/>
              <w:end w:w="90" w:type="dxa"/>
            </w:tcMar>
            <w:vAlign w:val="top"/>
            <w:shd w:fill="F7FAFC"/>
          </w:tcPr>
          <w:p>
            <w:r>
              <w:rPr>
                <w:rFonts w:ascii="Aptos" w:hAnsi="Aptos"/>
                <w:b w:val="0"/>
                <w:sz w:val="16"/>
              </w:rPr>
              <w:t>2–6</w:t>
            </w:r>
          </w:p>
        </w:tc>
      </w:tr>
      <w:tr>
        <w:tc>
          <w:tcPr>
            <w:tcW w:type="dxa" w:w="6912"/>
            <w:tcMar>
              <w:top w:w="80" w:type="dxa"/>
              <w:start w:w="90" w:type="dxa"/>
              <w:bottom w:w="80" w:type="dxa"/>
              <w:end w:w="90" w:type="dxa"/>
            </w:tcMar>
            <w:vAlign w:val="top"/>
          </w:tcPr>
          <w:p>
            <w:r>
              <w:rPr>
                <w:rFonts w:ascii="Aptos" w:hAnsi="Aptos"/>
                <w:b w:val="0"/>
                <w:sz w:val="16"/>
              </w:rPr>
              <w:t>High liquidity / rapid movement capability</w:t>
            </w:r>
          </w:p>
        </w:tc>
        <w:tc>
          <w:tcPr>
            <w:tcW w:type="dxa" w:w="3456"/>
            <w:tcMar>
              <w:top w:w="80" w:type="dxa"/>
              <w:start w:w="90" w:type="dxa"/>
              <w:bottom w:w="80" w:type="dxa"/>
              <w:end w:w="90" w:type="dxa"/>
            </w:tcMar>
            <w:vAlign w:val="top"/>
          </w:tcPr>
          <w:p>
            <w:r>
              <w:rPr>
                <w:rFonts w:ascii="Aptos" w:hAnsi="Aptos"/>
                <w:b w:val="0"/>
                <w:sz w:val="16"/>
              </w:rPr>
              <w:t>5–10</w:t>
            </w:r>
          </w:p>
        </w:tc>
      </w:tr>
      <w:tr>
        <w:tc>
          <w:tcPr>
            <w:tcW w:type="dxa" w:w="6912"/>
            <w:tcMar>
              <w:top w:w="80" w:type="dxa"/>
              <w:start w:w="90" w:type="dxa"/>
              <w:bottom w:w="80" w:type="dxa"/>
              <w:end w:w="90" w:type="dxa"/>
            </w:tcMar>
            <w:vAlign w:val="top"/>
            <w:shd w:fill="F7FAFC"/>
          </w:tcPr>
          <w:p>
            <w:r>
              <w:rPr>
                <w:rFonts w:ascii="Aptos" w:hAnsi="Aptos"/>
                <w:b w:val="0"/>
                <w:sz w:val="16"/>
              </w:rPr>
              <w:t>Third-party settlement or broad cross-border capability</w:t>
            </w:r>
          </w:p>
        </w:tc>
        <w:tc>
          <w:tcPr>
            <w:tcW w:type="dxa" w:w="3456"/>
            <w:tcMar>
              <w:top w:w="80" w:type="dxa"/>
              <w:start w:w="90" w:type="dxa"/>
              <w:bottom w:w="80" w:type="dxa"/>
              <w:end w:w="90" w:type="dxa"/>
            </w:tcMar>
            <w:vAlign w:val="top"/>
            <w:shd w:fill="F7FAFC"/>
          </w:tcPr>
          <w:p>
            <w:r>
              <w:rPr>
                <w:rFonts w:ascii="Aptos" w:hAnsi="Aptos"/>
                <w:b w:val="0"/>
                <w:sz w:val="16"/>
              </w:rPr>
              <w:t>7–12</w:t>
            </w:r>
          </w:p>
        </w:tc>
      </w:tr>
      <w:tr>
        <w:tc>
          <w:tcPr>
            <w:tcW w:type="dxa" w:w="6912"/>
            <w:tcMar>
              <w:top w:w="80" w:type="dxa"/>
              <w:start w:w="90" w:type="dxa"/>
              <w:bottom w:w="80" w:type="dxa"/>
              <w:end w:w="90" w:type="dxa"/>
            </w:tcMar>
            <w:vAlign w:val="top"/>
          </w:tcPr>
          <w:p>
            <w:r>
              <w:rPr>
                <w:rFonts w:ascii="Aptos" w:hAnsi="Aptos"/>
                <w:b w:val="0"/>
                <w:sz w:val="16"/>
              </w:rPr>
              <w:t>Complex investment / settlement arrangements</w:t>
            </w:r>
          </w:p>
        </w:tc>
        <w:tc>
          <w:tcPr>
            <w:tcW w:type="dxa" w:w="3456"/>
            <w:tcMar>
              <w:top w:w="80" w:type="dxa"/>
              <w:start w:w="90" w:type="dxa"/>
              <w:bottom w:w="80" w:type="dxa"/>
              <w:end w:w="90" w:type="dxa"/>
            </w:tcMar>
            <w:vAlign w:val="top"/>
          </w:tcPr>
          <w:p>
            <w:r>
              <w:rPr>
                <w:rFonts w:ascii="Aptos" w:hAnsi="Aptos"/>
                <w:b w:val="0"/>
                <w:sz w:val="16"/>
              </w:rPr>
              <w:t>8–15</w:t>
            </w:r>
          </w:p>
        </w:tc>
      </w:tr>
    </w:tbl>
    <w:p/>
    <w:p>
      <w:pPr>
        <w:pStyle w:val="Heading1"/>
        <w:keepNext/>
      </w:pPr>
      <w:r>
        <w:t>7. Channel and Intermediary Factor</w:t>
      </w:r>
    </w:p>
    <w:p>
      <w:r>
        <w:t>Channel points assess the strength of identity interaction, device or digital verification, reliance on third parties and the transparency of the acquisition route. Approved remote onboarding is not automatically High risk.</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600"/>
            <w:shd w:fill="17365D"/>
            <w:vAlign w:val="center"/>
            <w:tcMar>
              <w:top w:w="80" w:type="dxa"/>
              <w:start w:w="90" w:type="dxa"/>
              <w:bottom w:w="80" w:type="dxa"/>
              <w:end w:w="90" w:type="dxa"/>
            </w:tcMar>
          </w:tcPr>
          <w:p>
            <w:r>
              <w:rPr>
                <w:rFonts w:ascii="Aptos" w:hAnsi="Aptos"/>
                <w:b/>
                <w:color w:val="FFFFFF"/>
                <w:sz w:val="16"/>
              </w:rPr>
              <w:t>Channel</w:t>
            </w:r>
          </w:p>
        </w:tc>
        <w:tc>
          <w:tcPr>
            <w:tcW w:type="dxa" w:w="2016"/>
            <w:shd w:fill="17365D"/>
            <w:vAlign w:val="center"/>
            <w:tcMar>
              <w:top w:w="80" w:type="dxa"/>
              <w:start w:w="90" w:type="dxa"/>
              <w:bottom w:w="80" w:type="dxa"/>
              <w:end w:w="90" w:type="dxa"/>
            </w:tcMar>
          </w:tcPr>
          <w:p>
            <w:r>
              <w:rPr>
                <w:rFonts w:ascii="Aptos" w:hAnsi="Aptos"/>
                <w:b/>
                <w:color w:val="FFFFFF"/>
                <w:sz w:val="16"/>
              </w:rPr>
              <w:t>Indicative Points</w:t>
            </w:r>
          </w:p>
        </w:tc>
        <w:tc>
          <w:tcPr>
            <w:tcW w:type="dxa" w:w="4752"/>
            <w:shd w:fill="17365D"/>
            <w:vAlign w:val="center"/>
            <w:tcMar>
              <w:top w:w="80" w:type="dxa"/>
              <w:start w:w="90" w:type="dxa"/>
              <w:bottom w:w="80" w:type="dxa"/>
              <w:end w:w="90" w:type="dxa"/>
            </w:tcMar>
          </w:tcPr>
          <w:p>
            <w:r>
              <w:rPr>
                <w:rFonts w:ascii="Aptos" w:hAnsi="Aptos"/>
                <w:b/>
                <w:color w:val="FFFFFF"/>
                <w:sz w:val="16"/>
              </w:rPr>
              <w:t>Control Considerations</w:t>
            </w:r>
          </w:p>
        </w:tc>
      </w:tr>
      <w:tr>
        <w:tc>
          <w:tcPr>
            <w:tcW w:type="dxa" w:w="3600"/>
            <w:tcMar>
              <w:top w:w="80" w:type="dxa"/>
              <w:start w:w="90" w:type="dxa"/>
              <w:bottom w:w="80" w:type="dxa"/>
              <w:end w:w="90" w:type="dxa"/>
            </w:tcMar>
            <w:vAlign w:val="top"/>
          </w:tcPr>
          <w:p>
            <w:r>
              <w:rPr>
                <w:rFonts w:ascii="Aptos" w:hAnsi="Aptos"/>
                <w:b w:val="0"/>
                <w:sz w:val="16"/>
              </w:rPr>
              <w:t>Established branch / assisted relationship</w:t>
            </w:r>
          </w:p>
        </w:tc>
        <w:tc>
          <w:tcPr>
            <w:tcW w:type="dxa" w:w="2016"/>
            <w:tcMar>
              <w:top w:w="80" w:type="dxa"/>
              <w:start w:w="90" w:type="dxa"/>
              <w:bottom w:w="80" w:type="dxa"/>
              <w:end w:w="90" w:type="dxa"/>
            </w:tcMar>
            <w:vAlign w:val="top"/>
          </w:tcPr>
          <w:p>
            <w:r>
              <w:rPr>
                <w:rFonts w:ascii="Aptos" w:hAnsi="Aptos"/>
                <w:b w:val="0"/>
                <w:sz w:val="16"/>
              </w:rPr>
              <w:t>0–2</w:t>
            </w:r>
          </w:p>
        </w:tc>
        <w:tc>
          <w:tcPr>
            <w:tcW w:type="dxa" w:w="4752"/>
            <w:tcMar>
              <w:top w:w="80" w:type="dxa"/>
              <w:start w:w="90" w:type="dxa"/>
              <w:bottom w:w="80" w:type="dxa"/>
              <w:end w:w="90" w:type="dxa"/>
            </w:tcMar>
            <w:vAlign w:val="top"/>
          </w:tcPr>
          <w:p>
            <w:r>
              <w:rPr>
                <w:rFonts w:ascii="Aptos" w:hAnsi="Aptos"/>
                <w:b w:val="0"/>
                <w:sz w:val="16"/>
              </w:rPr>
              <w:t>Face-to-face does not remove other risk factors</w:t>
            </w:r>
          </w:p>
        </w:tc>
      </w:tr>
      <w:tr>
        <w:tc>
          <w:tcPr>
            <w:tcW w:type="dxa" w:w="3600"/>
            <w:tcMar>
              <w:top w:w="80" w:type="dxa"/>
              <w:start w:w="90" w:type="dxa"/>
              <w:bottom w:w="80" w:type="dxa"/>
              <w:end w:w="90" w:type="dxa"/>
            </w:tcMar>
            <w:vAlign w:val="top"/>
            <w:shd w:fill="F7FAFC"/>
          </w:tcPr>
          <w:p>
            <w:r>
              <w:rPr>
                <w:rFonts w:ascii="Aptos" w:hAnsi="Aptos"/>
                <w:b w:val="0"/>
                <w:sz w:val="16"/>
              </w:rPr>
              <w:t>Approved digital onboarding</w:t>
            </w:r>
          </w:p>
        </w:tc>
        <w:tc>
          <w:tcPr>
            <w:tcW w:type="dxa" w:w="2016"/>
            <w:tcMar>
              <w:top w:w="80" w:type="dxa"/>
              <w:start w:w="90" w:type="dxa"/>
              <w:bottom w:w="80" w:type="dxa"/>
              <w:end w:w="90" w:type="dxa"/>
            </w:tcMar>
            <w:vAlign w:val="top"/>
            <w:shd w:fill="F7FAFC"/>
          </w:tcPr>
          <w:p>
            <w:r>
              <w:rPr>
                <w:rFonts w:ascii="Aptos" w:hAnsi="Aptos"/>
                <w:b w:val="0"/>
                <w:sz w:val="16"/>
              </w:rPr>
              <w:t>1–4</w:t>
            </w:r>
          </w:p>
        </w:tc>
        <w:tc>
          <w:tcPr>
            <w:tcW w:type="dxa" w:w="4752"/>
            <w:tcMar>
              <w:top w:w="80" w:type="dxa"/>
              <w:start w:w="90" w:type="dxa"/>
              <w:bottom w:w="80" w:type="dxa"/>
              <w:end w:w="90" w:type="dxa"/>
            </w:tcMar>
            <w:vAlign w:val="top"/>
            <w:shd w:fill="F7FAFC"/>
          </w:tcPr>
          <w:p>
            <w:r>
              <w:rPr>
                <w:rFonts w:ascii="Aptos" w:hAnsi="Aptos"/>
                <w:b w:val="0"/>
                <w:sz w:val="16"/>
              </w:rPr>
              <w:t>Device, liveness/verification and duplicate controls</w:t>
            </w:r>
          </w:p>
        </w:tc>
      </w:tr>
      <w:tr>
        <w:tc>
          <w:tcPr>
            <w:tcW w:type="dxa" w:w="3600"/>
            <w:tcMar>
              <w:top w:w="80" w:type="dxa"/>
              <w:start w:w="90" w:type="dxa"/>
              <w:bottom w:w="80" w:type="dxa"/>
              <w:end w:w="90" w:type="dxa"/>
            </w:tcMar>
            <w:vAlign w:val="top"/>
          </w:tcPr>
          <w:p>
            <w:r>
              <w:rPr>
                <w:rFonts w:ascii="Aptos" w:hAnsi="Aptos"/>
                <w:b w:val="0"/>
                <w:sz w:val="16"/>
              </w:rPr>
              <w:t>Introduced / sourcing partner</w:t>
            </w:r>
          </w:p>
        </w:tc>
        <w:tc>
          <w:tcPr>
            <w:tcW w:type="dxa" w:w="2016"/>
            <w:tcMar>
              <w:top w:w="80" w:type="dxa"/>
              <w:start w:w="90" w:type="dxa"/>
              <w:bottom w:w="80" w:type="dxa"/>
              <w:end w:w="90" w:type="dxa"/>
            </w:tcMar>
            <w:vAlign w:val="top"/>
          </w:tcPr>
          <w:p>
            <w:r>
              <w:rPr>
                <w:rFonts w:ascii="Aptos" w:hAnsi="Aptos"/>
                <w:b w:val="0"/>
                <w:sz w:val="16"/>
              </w:rPr>
              <w:t>2–6</w:t>
            </w:r>
          </w:p>
        </w:tc>
        <w:tc>
          <w:tcPr>
            <w:tcW w:type="dxa" w:w="4752"/>
            <w:tcMar>
              <w:top w:w="80" w:type="dxa"/>
              <w:start w:w="90" w:type="dxa"/>
              <w:bottom w:w="80" w:type="dxa"/>
              <w:end w:w="90" w:type="dxa"/>
            </w:tcMar>
            <w:vAlign w:val="top"/>
          </w:tcPr>
          <w:p>
            <w:r>
              <w:rPr>
                <w:rFonts w:ascii="Aptos" w:hAnsi="Aptos"/>
                <w:b w:val="0"/>
                <w:sz w:val="16"/>
              </w:rPr>
              <w:t>Due diligence on partner and Northstar independent checks</w:t>
            </w:r>
          </w:p>
        </w:tc>
      </w:tr>
      <w:tr>
        <w:tc>
          <w:tcPr>
            <w:tcW w:type="dxa" w:w="3600"/>
            <w:tcMar>
              <w:top w:w="80" w:type="dxa"/>
              <w:start w:w="90" w:type="dxa"/>
              <w:bottom w:w="80" w:type="dxa"/>
              <w:end w:w="90" w:type="dxa"/>
            </w:tcMar>
            <w:vAlign w:val="top"/>
            <w:shd w:fill="F7FAFC"/>
          </w:tcPr>
          <w:p>
            <w:r>
              <w:rPr>
                <w:rFonts w:ascii="Aptos" w:hAnsi="Aptos"/>
                <w:b w:val="0"/>
                <w:sz w:val="16"/>
              </w:rPr>
              <w:t>Non-standard remote / exception process</w:t>
            </w:r>
          </w:p>
        </w:tc>
        <w:tc>
          <w:tcPr>
            <w:tcW w:type="dxa" w:w="2016"/>
            <w:tcMar>
              <w:top w:w="80" w:type="dxa"/>
              <w:start w:w="90" w:type="dxa"/>
              <w:bottom w:w="80" w:type="dxa"/>
              <w:end w:w="90" w:type="dxa"/>
            </w:tcMar>
            <w:vAlign w:val="top"/>
            <w:shd w:fill="F7FAFC"/>
          </w:tcPr>
          <w:p>
            <w:r>
              <w:rPr>
                <w:rFonts w:ascii="Aptos" w:hAnsi="Aptos"/>
                <w:b w:val="0"/>
                <w:sz w:val="16"/>
              </w:rPr>
              <w:t>5–10</w:t>
            </w:r>
          </w:p>
        </w:tc>
        <w:tc>
          <w:tcPr>
            <w:tcW w:type="dxa" w:w="4752"/>
            <w:tcMar>
              <w:top w:w="80" w:type="dxa"/>
              <w:start w:w="90" w:type="dxa"/>
              <w:bottom w:w="80" w:type="dxa"/>
              <w:end w:w="90" w:type="dxa"/>
            </w:tcMar>
            <w:vAlign w:val="top"/>
            <w:shd w:fill="F7FAFC"/>
          </w:tcPr>
          <w:p>
            <w:r>
              <w:rPr>
                <w:rFonts w:ascii="Aptos" w:hAnsi="Aptos"/>
                <w:b w:val="0"/>
                <w:sz w:val="16"/>
              </w:rPr>
              <w:t>Requires enhanced review and documented rationale</w:t>
            </w:r>
          </w:p>
        </w:tc>
      </w:tr>
    </w:tbl>
    <w:p/>
    <w:p>
      <w:pPr>
        <w:pStyle w:val="Heading1"/>
        <w:keepNext/>
      </w:pPr>
      <w:r>
        <w:t>8. Ownership and Structure Factor</w:t>
      </w:r>
    </w:p>
    <w:p>
      <w:r>
        <w:t>Ownership points capture opacity, layering, trusts/fiduciary features, nominees, unusual control rights and difficulty identifying natural persons. Complexity with clear commercial rationale and reliable evidence may score lower than simpler but opaque structures.</w:t>
      </w:r>
    </w:p>
    <w:p>
      <w:pPr>
        <w:pStyle w:val="ControlBullet"/>
      </w:pPr>
      <w:r>
        <w:rPr>
          <w:b/>
        </w:rPr>
        <w:t xml:space="preserve">• </w:t>
      </w:r>
      <w:r>
        <w:t>Transparent single-layer ownership typically receives 0–3 points.</w:t>
      </w:r>
    </w:p>
    <w:p>
      <w:pPr>
        <w:pStyle w:val="ControlBullet"/>
      </w:pPr>
      <w:r>
        <w:rPr>
          <w:b/>
        </w:rPr>
        <w:t xml:space="preserve">• </w:t>
      </w:r>
      <w:r>
        <w:t>Multiple domestic layers with clear rationale may receive 3–7 points.</w:t>
      </w:r>
    </w:p>
    <w:p>
      <w:pPr>
        <w:pStyle w:val="ControlBullet"/>
      </w:pPr>
      <w:r>
        <w:rPr>
          <w:b/>
        </w:rPr>
        <w:t xml:space="preserve">• </w:t>
      </w:r>
      <w:r>
        <w:t>Cross-border layers, trusts, nominee arrangements or unusual control rights may receive 7–15 points depending on transparency.</w:t>
      </w:r>
    </w:p>
    <w:p>
      <w:pPr>
        <w:pStyle w:val="ControlBullet"/>
      </w:pPr>
      <w:r>
        <w:rPr>
          <w:b/>
        </w:rPr>
        <w:t xml:space="preserve">• </w:t>
      </w:r>
      <w:r>
        <w:t>Inability to establish material beneficial ownership is a control blocker and may require restriction/decline rather than merely adding points.</w:t>
      </w:r>
    </w:p>
    <w:p>
      <w:pPr>
        <w:pStyle w:val="Heading1"/>
        <w:keepNext/>
      </w:pPr>
      <w:r>
        <w:t>9. Behaviour and Transaction Factor</w:t>
      </w:r>
    </w:p>
    <w:p>
      <w:r>
        <w:t>Behavioural points are updated when ongoing monitoring or investigations identify activity inconsistent with the expected profile. A single alert does not automatically increase risk; the outcome and pattern matter.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Behaviour</w:t>
            </w:r>
          </w:p>
        </w:tc>
        <w:tc>
          <w:tcPr>
            <w:tcW w:type="dxa" w:w="2160"/>
            <w:shd w:fill="17365D"/>
            <w:vAlign w:val="center"/>
            <w:tcMar>
              <w:top w:w="80" w:type="dxa"/>
              <w:start w:w="90" w:type="dxa"/>
              <w:bottom w:w="80" w:type="dxa"/>
              <w:end w:w="90" w:type="dxa"/>
            </w:tcMar>
          </w:tcPr>
          <w:p>
            <w:r>
              <w:rPr>
                <w:rFonts w:ascii="Aptos" w:hAnsi="Aptos"/>
                <w:b/>
                <w:color w:val="FFFFFF"/>
                <w:sz w:val="16"/>
              </w:rPr>
              <w:t>Indicative Points</w:t>
            </w:r>
          </w:p>
        </w:tc>
        <w:tc>
          <w:tcPr>
            <w:tcW w:type="dxa" w:w="4176"/>
            <w:shd w:fill="17365D"/>
            <w:vAlign w:val="center"/>
            <w:tcMar>
              <w:top w:w="80" w:type="dxa"/>
              <w:start w:w="90" w:type="dxa"/>
              <w:bottom w:w="80" w:type="dxa"/>
              <w:end w:w="90" w:type="dxa"/>
            </w:tcMar>
          </w:tcPr>
          <w:p>
            <w:r>
              <w:rPr>
                <w:rFonts w:ascii="Aptos" w:hAnsi="Aptos"/>
                <w:b/>
                <w:color w:val="FFFFFF"/>
                <w:sz w:val="16"/>
              </w:rPr>
              <w:t>Treatment</w:t>
            </w:r>
          </w:p>
        </w:tc>
      </w:tr>
      <w:tr>
        <w:tc>
          <w:tcPr>
            <w:tcW w:type="dxa" w:w="4032"/>
            <w:tcMar>
              <w:top w:w="80" w:type="dxa"/>
              <w:start w:w="90" w:type="dxa"/>
              <w:bottom w:w="80" w:type="dxa"/>
              <w:end w:w="90" w:type="dxa"/>
            </w:tcMar>
            <w:vAlign w:val="top"/>
          </w:tcPr>
          <w:p>
            <w:r>
              <w:rPr>
                <w:rFonts w:ascii="Aptos" w:hAnsi="Aptos"/>
                <w:b w:val="0"/>
                <w:sz w:val="16"/>
              </w:rPr>
              <w:t>Activity consistent with profile; alerts explainable</w:t>
            </w:r>
          </w:p>
        </w:tc>
        <w:tc>
          <w:tcPr>
            <w:tcW w:type="dxa" w:w="2160"/>
            <w:tcMar>
              <w:top w:w="80" w:type="dxa"/>
              <w:start w:w="90" w:type="dxa"/>
              <w:bottom w:w="80" w:type="dxa"/>
              <w:end w:w="90" w:type="dxa"/>
            </w:tcMar>
            <w:vAlign w:val="top"/>
          </w:tcPr>
          <w:p>
            <w:r>
              <w:rPr>
                <w:rFonts w:ascii="Aptos" w:hAnsi="Aptos"/>
                <w:b w:val="0"/>
                <w:sz w:val="16"/>
              </w:rPr>
              <w:t>0–2</w:t>
            </w:r>
          </w:p>
        </w:tc>
        <w:tc>
          <w:tcPr>
            <w:tcW w:type="dxa" w:w="4176"/>
            <w:tcMar>
              <w:top w:w="80" w:type="dxa"/>
              <w:start w:w="90" w:type="dxa"/>
              <w:bottom w:w="80" w:type="dxa"/>
              <w:end w:w="90" w:type="dxa"/>
            </w:tcMar>
            <w:vAlign w:val="top"/>
          </w:tcPr>
          <w:p>
            <w:r>
              <w:rPr>
                <w:rFonts w:ascii="Aptos" w:hAnsi="Aptos"/>
                <w:b w:val="0"/>
                <w:sz w:val="16"/>
              </w:rPr>
              <w:t>No change or minor profile update</w:t>
            </w:r>
          </w:p>
        </w:tc>
      </w:tr>
      <w:tr>
        <w:tc>
          <w:tcPr>
            <w:tcW w:type="dxa" w:w="4032"/>
            <w:tcMar>
              <w:top w:w="80" w:type="dxa"/>
              <w:start w:w="90" w:type="dxa"/>
              <w:bottom w:w="80" w:type="dxa"/>
              <w:end w:w="90" w:type="dxa"/>
            </w:tcMar>
            <w:vAlign w:val="top"/>
            <w:shd w:fill="F7FAFC"/>
          </w:tcPr>
          <w:p>
            <w:r>
              <w:rPr>
                <w:rFonts w:ascii="Aptos" w:hAnsi="Aptos"/>
                <w:b w:val="0"/>
                <w:sz w:val="16"/>
              </w:rPr>
              <w:t>Material but plausibly explained change</w:t>
            </w:r>
          </w:p>
        </w:tc>
        <w:tc>
          <w:tcPr>
            <w:tcW w:type="dxa" w:w="2160"/>
            <w:tcMar>
              <w:top w:w="80" w:type="dxa"/>
              <w:start w:w="90" w:type="dxa"/>
              <w:bottom w:w="80" w:type="dxa"/>
              <w:end w:w="90" w:type="dxa"/>
            </w:tcMar>
            <w:vAlign w:val="top"/>
            <w:shd w:fill="F7FAFC"/>
          </w:tcPr>
          <w:p>
            <w:r>
              <w:rPr>
                <w:rFonts w:ascii="Aptos" w:hAnsi="Aptos"/>
                <w:b w:val="0"/>
                <w:sz w:val="16"/>
              </w:rPr>
              <w:t>2–5</w:t>
            </w:r>
          </w:p>
        </w:tc>
        <w:tc>
          <w:tcPr>
            <w:tcW w:type="dxa" w:w="4176"/>
            <w:tcMar>
              <w:top w:w="80" w:type="dxa"/>
              <w:start w:w="90" w:type="dxa"/>
              <w:bottom w:w="80" w:type="dxa"/>
              <w:end w:w="90" w:type="dxa"/>
            </w:tcMar>
            <w:vAlign w:val="top"/>
            <w:shd w:fill="F7FAFC"/>
          </w:tcPr>
          <w:p>
            <w:r>
              <w:rPr>
                <w:rFonts w:ascii="Aptos" w:hAnsi="Aptos"/>
                <w:b w:val="0"/>
                <w:sz w:val="16"/>
              </w:rPr>
              <w:t>Update expected activity; monitor</w:t>
            </w:r>
          </w:p>
        </w:tc>
      </w:tr>
      <w:tr>
        <w:tc>
          <w:tcPr>
            <w:tcW w:type="dxa" w:w="4032"/>
            <w:tcMar>
              <w:top w:w="80" w:type="dxa"/>
              <w:start w:w="90" w:type="dxa"/>
              <w:bottom w:w="80" w:type="dxa"/>
              <w:end w:w="90" w:type="dxa"/>
            </w:tcMar>
            <w:vAlign w:val="top"/>
          </w:tcPr>
          <w:p>
            <w:r>
              <w:rPr>
                <w:rFonts w:ascii="Aptos" w:hAnsi="Aptos"/>
                <w:b w:val="0"/>
                <w:sz w:val="16"/>
              </w:rPr>
              <w:t>Repeated unexplained third-party transfers</w:t>
            </w:r>
          </w:p>
        </w:tc>
        <w:tc>
          <w:tcPr>
            <w:tcW w:type="dxa" w:w="2160"/>
            <w:tcMar>
              <w:top w:w="80" w:type="dxa"/>
              <w:start w:w="90" w:type="dxa"/>
              <w:bottom w:w="80" w:type="dxa"/>
              <w:end w:w="90" w:type="dxa"/>
            </w:tcMar>
            <w:vAlign w:val="top"/>
          </w:tcPr>
          <w:p>
            <w:r>
              <w:rPr>
                <w:rFonts w:ascii="Aptos" w:hAnsi="Aptos"/>
                <w:b w:val="0"/>
                <w:sz w:val="16"/>
              </w:rPr>
              <w:t>5–10</w:t>
            </w:r>
          </w:p>
        </w:tc>
        <w:tc>
          <w:tcPr>
            <w:tcW w:type="dxa" w:w="4176"/>
            <w:tcMar>
              <w:top w:w="80" w:type="dxa"/>
              <w:start w:w="90" w:type="dxa"/>
              <w:bottom w:w="80" w:type="dxa"/>
              <w:end w:w="90" w:type="dxa"/>
            </w:tcMar>
            <w:vAlign w:val="top"/>
          </w:tcPr>
          <w:p>
            <w:r>
              <w:rPr>
                <w:rFonts w:ascii="Aptos" w:hAnsi="Aptos"/>
                <w:b w:val="0"/>
                <w:sz w:val="16"/>
              </w:rPr>
              <w:t>EDD / monitoring condition</w:t>
            </w:r>
          </w:p>
        </w:tc>
      </w:tr>
      <w:tr>
        <w:tc>
          <w:tcPr>
            <w:tcW w:type="dxa" w:w="4032"/>
            <w:tcMar>
              <w:top w:w="80" w:type="dxa"/>
              <w:start w:w="90" w:type="dxa"/>
              <w:bottom w:w="80" w:type="dxa"/>
              <w:end w:w="90" w:type="dxa"/>
            </w:tcMar>
            <w:vAlign w:val="top"/>
            <w:shd w:fill="F7FAFC"/>
          </w:tcPr>
          <w:p>
            <w:r>
              <w:rPr>
                <w:rFonts w:ascii="Aptos" w:hAnsi="Aptos"/>
                <w:b w:val="0"/>
                <w:sz w:val="16"/>
              </w:rPr>
              <w:t>Rapid movement inconsistent with stated purpose</w:t>
            </w:r>
          </w:p>
        </w:tc>
        <w:tc>
          <w:tcPr>
            <w:tcW w:type="dxa" w:w="2160"/>
            <w:tcMar>
              <w:top w:w="80" w:type="dxa"/>
              <w:start w:w="90" w:type="dxa"/>
              <w:bottom w:w="80" w:type="dxa"/>
              <w:end w:w="90" w:type="dxa"/>
            </w:tcMar>
            <w:vAlign w:val="top"/>
            <w:shd w:fill="F7FAFC"/>
          </w:tcPr>
          <w:p>
            <w:r>
              <w:rPr>
                <w:rFonts w:ascii="Aptos" w:hAnsi="Aptos"/>
                <w:b w:val="0"/>
                <w:sz w:val="16"/>
              </w:rPr>
              <w:t>7–12</w:t>
            </w:r>
          </w:p>
        </w:tc>
        <w:tc>
          <w:tcPr>
            <w:tcW w:type="dxa" w:w="4176"/>
            <w:tcMar>
              <w:top w:w="80" w:type="dxa"/>
              <w:start w:w="90" w:type="dxa"/>
              <w:bottom w:w="80" w:type="dxa"/>
              <w:end w:w="90" w:type="dxa"/>
            </w:tcMar>
            <w:vAlign w:val="top"/>
            <w:shd w:fill="F7FAFC"/>
          </w:tcPr>
          <w:p>
            <w:r>
              <w:rPr>
                <w:rFonts w:ascii="Aptos" w:hAnsi="Aptos"/>
                <w:b w:val="0"/>
                <w:sz w:val="16"/>
              </w:rPr>
              <w:t>Investigate and consider High floor</w:t>
            </w:r>
          </w:p>
        </w:tc>
      </w:tr>
      <w:tr>
        <w:tc>
          <w:tcPr>
            <w:tcW w:type="dxa" w:w="4032"/>
            <w:tcMar>
              <w:top w:w="80" w:type="dxa"/>
              <w:start w:w="90" w:type="dxa"/>
              <w:bottom w:w="80" w:type="dxa"/>
              <w:end w:w="90" w:type="dxa"/>
            </w:tcMar>
            <w:vAlign w:val="top"/>
          </w:tcPr>
          <w:p>
            <w:r>
              <w:rPr>
                <w:rFonts w:ascii="Aptos" w:hAnsi="Aptos"/>
                <w:b w:val="0"/>
                <w:sz w:val="16"/>
              </w:rPr>
              <w:t>Multiple substantiated financial-crime concerns</w:t>
            </w:r>
          </w:p>
        </w:tc>
        <w:tc>
          <w:tcPr>
            <w:tcW w:type="dxa" w:w="2160"/>
            <w:tcMar>
              <w:top w:w="80" w:type="dxa"/>
              <w:start w:w="90" w:type="dxa"/>
              <w:bottom w:w="80" w:type="dxa"/>
              <w:end w:w="90" w:type="dxa"/>
            </w:tcMar>
            <w:vAlign w:val="top"/>
          </w:tcPr>
          <w:p>
            <w:r>
              <w:rPr>
                <w:rFonts w:ascii="Aptos" w:hAnsi="Aptos"/>
                <w:b w:val="0"/>
                <w:sz w:val="16"/>
              </w:rPr>
              <w:t>10–15</w:t>
            </w:r>
          </w:p>
        </w:tc>
        <w:tc>
          <w:tcPr>
            <w:tcW w:type="dxa" w:w="4176"/>
            <w:tcMar>
              <w:top w:w="80" w:type="dxa"/>
              <w:start w:w="90" w:type="dxa"/>
              <w:bottom w:w="80" w:type="dxa"/>
              <w:end w:w="90" w:type="dxa"/>
            </w:tcMar>
            <w:vAlign w:val="top"/>
          </w:tcPr>
          <w:p>
            <w:r>
              <w:rPr>
                <w:rFonts w:ascii="Aptos" w:hAnsi="Aptos"/>
                <w:b w:val="0"/>
                <w:sz w:val="16"/>
              </w:rPr>
              <w:t>High; specialist approval/exit consideration</w:t>
            </w:r>
          </w:p>
        </w:tc>
      </w:tr>
    </w:tbl>
    <w:p/>
    <w:p>
      <w:pPr>
        <w:pStyle w:val="Heading1"/>
        <w:keepNext/>
      </w:pPr>
      <w:r>
        <w:t>10. Mandatory Risk Floors</w:t>
      </w:r>
    </w:p>
    <w:p>
      <w:r>
        <w:t>Mandatory floors prevent a low mathematical score from understating a material risk fact. A floor sets the minimum final rating; analysts may still score higher.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608"/>
            <w:shd w:fill="17365D"/>
            <w:vAlign w:val="center"/>
            <w:tcMar>
              <w:top w:w="80" w:type="dxa"/>
              <w:start w:w="90" w:type="dxa"/>
              <w:bottom w:w="80" w:type="dxa"/>
              <w:end w:w="90" w:type="dxa"/>
            </w:tcMar>
          </w:tcPr>
          <w:p>
            <w:r>
              <w:rPr>
                <w:rFonts w:ascii="Aptos" w:hAnsi="Aptos"/>
                <w:b/>
                <w:color w:val="FFFFFF"/>
                <w:sz w:val="16"/>
              </w:rPr>
              <w:t>Condition</w:t>
            </w:r>
          </w:p>
        </w:tc>
        <w:tc>
          <w:tcPr>
            <w:tcW w:type="dxa" w:w="2448"/>
            <w:shd w:fill="17365D"/>
            <w:vAlign w:val="center"/>
            <w:tcMar>
              <w:top w:w="80" w:type="dxa"/>
              <w:start w:w="90" w:type="dxa"/>
              <w:bottom w:w="80" w:type="dxa"/>
              <w:end w:w="90" w:type="dxa"/>
            </w:tcMar>
          </w:tcPr>
          <w:p>
            <w:r>
              <w:rPr>
                <w:rFonts w:ascii="Aptos" w:hAnsi="Aptos"/>
                <w:b/>
                <w:color w:val="FFFFFF"/>
                <w:sz w:val="16"/>
              </w:rPr>
              <w:t>Minimum Final Rating</w:t>
            </w:r>
          </w:p>
        </w:tc>
        <w:tc>
          <w:tcPr>
            <w:tcW w:type="dxa" w:w="3312"/>
            <w:shd w:fill="17365D"/>
            <w:vAlign w:val="center"/>
            <w:tcMar>
              <w:top w:w="80" w:type="dxa"/>
              <w:start w:w="90" w:type="dxa"/>
              <w:bottom w:w="80" w:type="dxa"/>
              <w:end w:w="90" w:type="dxa"/>
            </w:tcMar>
          </w:tcPr>
          <w:p>
            <w:r>
              <w:rPr>
                <w:rFonts w:ascii="Aptos" w:hAnsi="Aptos"/>
                <w:b/>
                <w:color w:val="FFFFFF"/>
                <w:sz w:val="16"/>
              </w:rPr>
              <w:t>Rationale</w:t>
            </w:r>
          </w:p>
        </w:tc>
      </w:tr>
      <w:tr>
        <w:tc>
          <w:tcPr>
            <w:tcW w:type="dxa" w:w="4608"/>
            <w:tcMar>
              <w:top w:w="80" w:type="dxa"/>
              <w:start w:w="90" w:type="dxa"/>
              <w:bottom w:w="80" w:type="dxa"/>
              <w:end w:w="90" w:type="dxa"/>
            </w:tcMar>
            <w:vAlign w:val="top"/>
          </w:tcPr>
          <w:p>
            <w:r>
              <w:rPr>
                <w:rFonts w:ascii="Aptos" w:hAnsi="Aptos"/>
                <w:b w:val="0"/>
                <w:sz w:val="16"/>
              </w:rPr>
              <w:t>Confirmed PEP requiring enhanced treatment</w:t>
            </w:r>
          </w:p>
        </w:tc>
        <w:tc>
          <w:tcPr>
            <w:tcW w:type="dxa" w:w="2448"/>
            <w:tcMar>
              <w:top w:w="80" w:type="dxa"/>
              <w:start w:w="90" w:type="dxa"/>
              <w:bottom w:w="80" w:type="dxa"/>
              <w:end w:w="90" w:type="dxa"/>
            </w:tcMar>
            <w:vAlign w:val="top"/>
          </w:tcPr>
          <w:p>
            <w:r>
              <w:rPr>
                <w:rFonts w:ascii="Aptos" w:hAnsi="Aptos"/>
                <w:b w:val="0"/>
                <w:sz w:val="16"/>
              </w:rPr>
              <w:t>High</w:t>
            </w:r>
          </w:p>
        </w:tc>
        <w:tc>
          <w:tcPr>
            <w:tcW w:type="dxa" w:w="3312"/>
            <w:tcMar>
              <w:top w:w="80" w:type="dxa"/>
              <w:start w:w="90" w:type="dxa"/>
              <w:bottom w:w="80" w:type="dxa"/>
              <w:end w:w="90" w:type="dxa"/>
            </w:tcMar>
            <w:vAlign w:val="top"/>
          </w:tcPr>
          <w:p>
            <w:r>
              <w:rPr>
                <w:rFonts w:ascii="Aptos" w:hAnsi="Aptos"/>
                <w:b w:val="0"/>
                <w:sz w:val="16"/>
              </w:rPr>
              <w:t>Senior public influence and enhanced due-diligence requirement</w:t>
            </w:r>
          </w:p>
        </w:tc>
      </w:tr>
      <w:tr>
        <w:tc>
          <w:tcPr>
            <w:tcW w:type="dxa" w:w="4608"/>
            <w:tcMar>
              <w:top w:w="80" w:type="dxa"/>
              <w:start w:w="90" w:type="dxa"/>
              <w:bottom w:w="80" w:type="dxa"/>
              <w:end w:w="90" w:type="dxa"/>
            </w:tcMar>
            <w:vAlign w:val="top"/>
            <w:shd w:fill="F7FAFC"/>
          </w:tcPr>
          <w:p>
            <w:r>
              <w:rPr>
                <w:rFonts w:ascii="Aptos" w:hAnsi="Aptos"/>
                <w:b w:val="0"/>
                <w:sz w:val="16"/>
              </w:rPr>
              <w:t>Material opaque ownership not fully resolved but accepted</w:t>
            </w:r>
          </w:p>
        </w:tc>
        <w:tc>
          <w:tcPr>
            <w:tcW w:type="dxa" w:w="2448"/>
            <w:tcMar>
              <w:top w:w="80" w:type="dxa"/>
              <w:start w:w="90" w:type="dxa"/>
              <w:bottom w:w="80" w:type="dxa"/>
              <w:end w:w="90" w:type="dxa"/>
            </w:tcMar>
            <w:vAlign w:val="top"/>
            <w:shd w:fill="F7FAFC"/>
          </w:tcPr>
          <w:p>
            <w:r>
              <w:rPr>
                <w:rFonts w:ascii="Aptos" w:hAnsi="Aptos"/>
                <w:b w:val="0"/>
                <w:sz w:val="16"/>
              </w:rPr>
              <w:t>High</w:t>
            </w:r>
          </w:p>
        </w:tc>
        <w:tc>
          <w:tcPr>
            <w:tcW w:type="dxa" w:w="3312"/>
            <w:tcMar>
              <w:top w:w="80" w:type="dxa"/>
              <w:start w:w="90" w:type="dxa"/>
              <w:bottom w:w="80" w:type="dxa"/>
              <w:end w:w="90" w:type="dxa"/>
            </w:tcMar>
            <w:vAlign w:val="top"/>
            <w:shd w:fill="F7FAFC"/>
          </w:tcPr>
          <w:p>
            <w:r>
              <w:rPr>
                <w:rFonts w:ascii="Aptos" w:hAnsi="Aptos"/>
                <w:b w:val="0"/>
                <w:sz w:val="16"/>
              </w:rPr>
              <w:t>Residual ownership/control uncertainty</w:t>
            </w:r>
          </w:p>
        </w:tc>
      </w:tr>
      <w:tr>
        <w:tc>
          <w:tcPr>
            <w:tcW w:type="dxa" w:w="4608"/>
            <w:tcMar>
              <w:top w:w="80" w:type="dxa"/>
              <w:start w:w="90" w:type="dxa"/>
              <w:bottom w:w="80" w:type="dxa"/>
              <w:end w:w="90" w:type="dxa"/>
            </w:tcMar>
            <w:vAlign w:val="top"/>
          </w:tcPr>
          <w:p>
            <w:r>
              <w:rPr>
                <w:rFonts w:ascii="Aptos" w:hAnsi="Aptos"/>
                <w:b w:val="0"/>
                <w:sz w:val="16"/>
              </w:rPr>
              <w:t>Material high-risk geography central to relationship</w:t>
            </w:r>
          </w:p>
        </w:tc>
        <w:tc>
          <w:tcPr>
            <w:tcW w:type="dxa" w:w="2448"/>
            <w:tcMar>
              <w:top w:w="80" w:type="dxa"/>
              <w:start w:w="90" w:type="dxa"/>
              <w:bottom w:w="80" w:type="dxa"/>
              <w:end w:w="90" w:type="dxa"/>
            </w:tcMar>
            <w:vAlign w:val="top"/>
          </w:tcPr>
          <w:p>
            <w:r>
              <w:rPr>
                <w:rFonts w:ascii="Aptos" w:hAnsi="Aptos"/>
                <w:b w:val="0"/>
                <w:sz w:val="16"/>
              </w:rPr>
              <w:t>High</w:t>
            </w:r>
          </w:p>
        </w:tc>
        <w:tc>
          <w:tcPr>
            <w:tcW w:type="dxa" w:w="3312"/>
            <w:tcMar>
              <w:top w:w="80" w:type="dxa"/>
              <w:start w:w="90" w:type="dxa"/>
              <w:bottom w:w="80" w:type="dxa"/>
              <w:end w:w="90" w:type="dxa"/>
            </w:tcMar>
            <w:vAlign w:val="top"/>
          </w:tcPr>
          <w:p>
            <w:r>
              <w:rPr>
                <w:rFonts w:ascii="Aptos" w:hAnsi="Aptos"/>
                <w:b w:val="0"/>
                <w:sz w:val="16"/>
              </w:rPr>
              <w:t>Geographic exposure is fundamental, not incidental</w:t>
            </w:r>
          </w:p>
        </w:tc>
      </w:tr>
      <w:tr>
        <w:tc>
          <w:tcPr>
            <w:tcW w:type="dxa" w:w="4608"/>
            <w:tcMar>
              <w:top w:w="80" w:type="dxa"/>
              <w:start w:w="90" w:type="dxa"/>
              <w:bottom w:w="80" w:type="dxa"/>
              <w:end w:w="90" w:type="dxa"/>
            </w:tcMar>
            <w:vAlign w:val="top"/>
            <w:shd w:fill="F7FAFC"/>
          </w:tcPr>
          <w:p>
            <w:r>
              <w:rPr>
                <w:rFonts w:ascii="Aptos" w:hAnsi="Aptos"/>
                <w:b w:val="0"/>
                <w:sz w:val="16"/>
              </w:rPr>
              <w:t>Substantiated serious adverse integrity information</w:t>
            </w:r>
          </w:p>
        </w:tc>
        <w:tc>
          <w:tcPr>
            <w:tcW w:type="dxa" w:w="2448"/>
            <w:tcMar>
              <w:top w:w="80" w:type="dxa"/>
              <w:start w:w="90" w:type="dxa"/>
              <w:bottom w:w="80" w:type="dxa"/>
              <w:end w:w="90" w:type="dxa"/>
            </w:tcMar>
            <w:vAlign w:val="top"/>
            <w:shd w:fill="F7FAFC"/>
          </w:tcPr>
          <w:p>
            <w:r>
              <w:rPr>
                <w:rFonts w:ascii="Aptos" w:hAnsi="Aptos"/>
                <w:b w:val="0"/>
                <w:sz w:val="16"/>
              </w:rPr>
              <w:t>High</w:t>
            </w:r>
          </w:p>
        </w:tc>
        <w:tc>
          <w:tcPr>
            <w:tcW w:type="dxa" w:w="3312"/>
            <w:tcMar>
              <w:top w:w="80" w:type="dxa"/>
              <w:start w:w="90" w:type="dxa"/>
              <w:bottom w:w="80" w:type="dxa"/>
              <w:end w:w="90" w:type="dxa"/>
            </w:tcMar>
            <w:vAlign w:val="top"/>
            <w:shd w:fill="F7FAFC"/>
          </w:tcPr>
          <w:p>
            <w:r>
              <w:rPr>
                <w:rFonts w:ascii="Aptos" w:hAnsi="Aptos"/>
                <w:b w:val="0"/>
                <w:sz w:val="16"/>
              </w:rPr>
              <w:t>Integrity concern not adequately represented by points</w:t>
            </w:r>
          </w:p>
        </w:tc>
      </w:tr>
      <w:tr>
        <w:tc>
          <w:tcPr>
            <w:tcW w:type="dxa" w:w="4608"/>
            <w:tcMar>
              <w:top w:w="80" w:type="dxa"/>
              <w:start w:w="90" w:type="dxa"/>
              <w:bottom w:w="80" w:type="dxa"/>
              <w:end w:w="90" w:type="dxa"/>
            </w:tcMar>
            <w:vAlign w:val="top"/>
          </w:tcPr>
          <w:p>
            <w:r>
              <w:rPr>
                <w:rFonts w:ascii="Aptos" w:hAnsi="Aptos"/>
                <w:b w:val="0"/>
                <w:sz w:val="16"/>
              </w:rPr>
              <w:t>EDD accepted with significant monitoring conditions</w:t>
            </w:r>
          </w:p>
        </w:tc>
        <w:tc>
          <w:tcPr>
            <w:tcW w:type="dxa" w:w="2448"/>
            <w:tcMar>
              <w:top w:w="80" w:type="dxa"/>
              <w:start w:w="90" w:type="dxa"/>
              <w:bottom w:w="80" w:type="dxa"/>
              <w:end w:w="90" w:type="dxa"/>
            </w:tcMar>
            <w:vAlign w:val="top"/>
          </w:tcPr>
          <w:p>
            <w:r>
              <w:rPr>
                <w:rFonts w:ascii="Aptos" w:hAnsi="Aptos"/>
                <w:b w:val="0"/>
                <w:sz w:val="16"/>
              </w:rPr>
              <w:t>High</w:t>
            </w:r>
          </w:p>
        </w:tc>
        <w:tc>
          <w:tcPr>
            <w:tcW w:type="dxa" w:w="3312"/>
            <w:tcMar>
              <w:top w:w="80" w:type="dxa"/>
              <w:start w:w="90" w:type="dxa"/>
              <w:bottom w:w="80" w:type="dxa"/>
              <w:end w:w="90" w:type="dxa"/>
            </w:tcMar>
            <w:vAlign w:val="top"/>
          </w:tcPr>
          <w:p>
            <w:r>
              <w:rPr>
                <w:rFonts w:ascii="Aptos" w:hAnsi="Aptos"/>
                <w:b w:val="0"/>
                <w:sz w:val="16"/>
              </w:rPr>
              <w:t>Residual risk requires enhanced ongoing control</w:t>
            </w:r>
          </w:p>
        </w:tc>
      </w:tr>
      <w:tr>
        <w:tc>
          <w:tcPr>
            <w:tcW w:type="dxa" w:w="4608"/>
            <w:tcMar>
              <w:top w:w="80" w:type="dxa"/>
              <w:start w:w="90" w:type="dxa"/>
              <w:bottom w:w="80" w:type="dxa"/>
              <w:end w:w="90" w:type="dxa"/>
            </w:tcMar>
            <w:vAlign w:val="top"/>
            <w:shd w:fill="F7FAFC"/>
          </w:tcPr>
          <w:p>
            <w:r>
              <w:rPr>
                <w:rFonts w:ascii="Aptos" w:hAnsi="Aptos"/>
                <w:b w:val="0"/>
                <w:sz w:val="16"/>
              </w:rPr>
              <w:t>Moderate ownership complexity without material opacity</w:t>
            </w:r>
          </w:p>
        </w:tc>
        <w:tc>
          <w:tcPr>
            <w:tcW w:type="dxa" w:w="2448"/>
            <w:tcMar>
              <w:top w:w="80" w:type="dxa"/>
              <w:start w:w="90" w:type="dxa"/>
              <w:bottom w:w="80" w:type="dxa"/>
              <w:end w:w="90" w:type="dxa"/>
            </w:tcMar>
            <w:vAlign w:val="top"/>
            <w:shd w:fill="F7FAFC"/>
          </w:tcPr>
          <w:p>
            <w:r>
              <w:rPr>
                <w:rFonts w:ascii="Aptos" w:hAnsi="Aptos"/>
                <w:b w:val="0"/>
                <w:sz w:val="16"/>
              </w:rPr>
              <w:t>Medium</w:t>
            </w:r>
          </w:p>
        </w:tc>
        <w:tc>
          <w:tcPr>
            <w:tcW w:type="dxa" w:w="3312"/>
            <w:tcMar>
              <w:top w:w="80" w:type="dxa"/>
              <w:start w:w="90" w:type="dxa"/>
              <w:bottom w:w="80" w:type="dxa"/>
              <w:end w:w="90" w:type="dxa"/>
            </w:tcMar>
            <w:vAlign w:val="top"/>
            <w:shd w:fill="F7FAFC"/>
          </w:tcPr>
          <w:p>
            <w:r>
              <w:rPr>
                <w:rFonts w:ascii="Aptos" w:hAnsi="Aptos"/>
                <w:b w:val="0"/>
                <w:sz w:val="16"/>
              </w:rPr>
              <w:t>Higher verification burden but not necessarily High</w:t>
            </w:r>
          </w:p>
        </w:tc>
      </w:tr>
    </w:tbl>
    <w:p/>
    <w:p>
      <w:pPr>
        <w:pStyle w:val="Heading1"/>
        <w:keepNext/>
      </w:pPr>
      <w:r>
        <w:t>11. Overrides and Expert Judgment</w:t>
      </w:r>
    </w:p>
    <w:p>
      <w:r>
        <w:t>A model result may be overridden where the score does not reasonably represent the risk. Overrides shall be rare, evidence-based and approved according to direction and materiality.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Override</w:t>
            </w:r>
          </w:p>
        </w:tc>
        <w:tc>
          <w:tcPr>
            <w:tcW w:type="dxa" w:w="3168"/>
            <w:shd w:fill="17365D"/>
            <w:vAlign w:val="center"/>
            <w:tcMar>
              <w:top w:w="80" w:type="dxa"/>
              <w:start w:w="90" w:type="dxa"/>
              <w:bottom w:w="80" w:type="dxa"/>
              <w:end w:w="90" w:type="dxa"/>
            </w:tcMar>
          </w:tcPr>
          <w:p>
            <w:r>
              <w:rPr>
                <w:rFonts w:ascii="Aptos" w:hAnsi="Aptos"/>
                <w:b/>
                <w:color w:val="FFFFFF"/>
                <w:sz w:val="16"/>
              </w:rPr>
              <w:t>Authority</w:t>
            </w:r>
          </w:p>
        </w:tc>
        <w:tc>
          <w:tcPr>
            <w:tcW w:type="dxa" w:w="4320"/>
            <w:shd w:fill="17365D"/>
            <w:vAlign w:val="center"/>
            <w:tcMar>
              <w:top w:w="80" w:type="dxa"/>
              <w:start w:w="90" w:type="dxa"/>
              <w:bottom w:w="80" w:type="dxa"/>
              <w:end w:w="90" w:type="dxa"/>
            </w:tcMar>
          </w:tcPr>
          <w:p>
            <w:r>
              <w:rPr>
                <w:rFonts w:ascii="Aptos" w:hAnsi="Aptos"/>
                <w:b/>
                <w:color w:val="FFFFFF"/>
                <w:sz w:val="16"/>
              </w:rPr>
              <w:t>Requirements</w:t>
            </w:r>
          </w:p>
        </w:tc>
      </w:tr>
      <w:tr>
        <w:tc>
          <w:tcPr>
            <w:tcW w:type="dxa" w:w="2880"/>
            <w:tcMar>
              <w:top w:w="80" w:type="dxa"/>
              <w:start w:w="90" w:type="dxa"/>
              <w:bottom w:w="80" w:type="dxa"/>
              <w:end w:w="90" w:type="dxa"/>
            </w:tcMar>
            <w:vAlign w:val="top"/>
          </w:tcPr>
          <w:p>
            <w:r>
              <w:rPr>
                <w:rFonts w:ascii="Aptos" w:hAnsi="Aptos"/>
                <w:b w:val="0"/>
                <w:sz w:val="16"/>
              </w:rPr>
              <w:t>Upward Low→Medium</w:t>
            </w:r>
          </w:p>
        </w:tc>
        <w:tc>
          <w:tcPr>
            <w:tcW w:type="dxa" w:w="3168"/>
            <w:tcMar>
              <w:top w:w="80" w:type="dxa"/>
              <w:start w:w="90" w:type="dxa"/>
              <w:bottom w:w="80" w:type="dxa"/>
              <w:end w:w="90" w:type="dxa"/>
            </w:tcMar>
            <w:vAlign w:val="top"/>
          </w:tcPr>
          <w:p>
            <w:r>
              <w:rPr>
                <w:rFonts w:ascii="Aptos" w:hAnsi="Aptos"/>
                <w:b w:val="0"/>
                <w:sz w:val="16"/>
              </w:rPr>
              <w:t>Senior AML/KYC officer</w:t>
            </w:r>
          </w:p>
        </w:tc>
        <w:tc>
          <w:tcPr>
            <w:tcW w:type="dxa" w:w="4320"/>
            <w:tcMar>
              <w:top w:w="80" w:type="dxa"/>
              <w:start w:w="90" w:type="dxa"/>
              <w:bottom w:w="80" w:type="dxa"/>
              <w:end w:w="90" w:type="dxa"/>
            </w:tcMar>
            <w:vAlign w:val="top"/>
          </w:tcPr>
          <w:p>
            <w:r>
              <w:rPr>
                <w:rFonts w:ascii="Aptos" w:hAnsi="Aptos"/>
                <w:b w:val="0"/>
                <w:sz w:val="16"/>
              </w:rPr>
              <w:t>Rationale and factor(s) not captured</w:t>
            </w:r>
          </w:p>
        </w:tc>
      </w:tr>
      <w:tr>
        <w:tc>
          <w:tcPr>
            <w:tcW w:type="dxa" w:w="2880"/>
            <w:tcMar>
              <w:top w:w="80" w:type="dxa"/>
              <w:start w:w="90" w:type="dxa"/>
              <w:bottom w:w="80" w:type="dxa"/>
              <w:end w:w="90" w:type="dxa"/>
            </w:tcMar>
            <w:vAlign w:val="top"/>
            <w:shd w:fill="F7FAFC"/>
          </w:tcPr>
          <w:p>
            <w:r>
              <w:rPr>
                <w:rFonts w:ascii="Aptos" w:hAnsi="Aptos"/>
                <w:b w:val="0"/>
                <w:sz w:val="16"/>
              </w:rPr>
              <w:t>Upward Medium→High</w:t>
            </w:r>
          </w:p>
        </w:tc>
        <w:tc>
          <w:tcPr>
            <w:tcW w:type="dxa" w:w="3168"/>
            <w:tcMar>
              <w:top w:w="80" w:type="dxa"/>
              <w:start w:w="90" w:type="dxa"/>
              <w:bottom w:w="80" w:type="dxa"/>
              <w:end w:w="90" w:type="dxa"/>
            </w:tcMar>
            <w:vAlign w:val="top"/>
            <w:shd w:fill="F7FAFC"/>
          </w:tcPr>
          <w:p>
            <w:r>
              <w:rPr>
                <w:rFonts w:ascii="Aptos" w:hAnsi="Aptos"/>
                <w:b w:val="0"/>
                <w:sz w:val="16"/>
              </w:rPr>
              <w:t>AML senior manager</w:t>
            </w:r>
          </w:p>
        </w:tc>
        <w:tc>
          <w:tcPr>
            <w:tcW w:type="dxa" w:w="4320"/>
            <w:tcMar>
              <w:top w:w="80" w:type="dxa"/>
              <w:start w:w="90" w:type="dxa"/>
              <w:bottom w:w="80" w:type="dxa"/>
              <w:end w:w="90" w:type="dxa"/>
            </w:tcMar>
            <w:vAlign w:val="top"/>
            <w:shd w:fill="F7FAFC"/>
          </w:tcPr>
          <w:p>
            <w:r>
              <w:rPr>
                <w:rFonts w:ascii="Aptos" w:hAnsi="Aptos"/>
                <w:b w:val="0"/>
                <w:sz w:val="16"/>
              </w:rPr>
              <w:t>Rationale; EDD initiated if not already complete</w:t>
            </w:r>
          </w:p>
        </w:tc>
      </w:tr>
      <w:tr>
        <w:tc>
          <w:tcPr>
            <w:tcW w:type="dxa" w:w="2880"/>
            <w:tcMar>
              <w:top w:w="80" w:type="dxa"/>
              <w:start w:w="90" w:type="dxa"/>
              <w:bottom w:w="80" w:type="dxa"/>
              <w:end w:w="90" w:type="dxa"/>
            </w:tcMar>
            <w:vAlign w:val="top"/>
          </w:tcPr>
          <w:p>
            <w:r>
              <w:rPr>
                <w:rFonts w:ascii="Aptos" w:hAnsi="Aptos"/>
                <w:b w:val="0"/>
                <w:sz w:val="16"/>
              </w:rPr>
              <w:t>Downward Medium→Low</w:t>
            </w:r>
          </w:p>
        </w:tc>
        <w:tc>
          <w:tcPr>
            <w:tcW w:type="dxa" w:w="3168"/>
            <w:tcMar>
              <w:top w:w="80" w:type="dxa"/>
              <w:start w:w="90" w:type="dxa"/>
              <w:bottom w:w="80" w:type="dxa"/>
              <w:end w:w="90" w:type="dxa"/>
            </w:tcMar>
            <w:vAlign w:val="top"/>
          </w:tcPr>
          <w:p>
            <w:r>
              <w:rPr>
                <w:rFonts w:ascii="Aptos" w:hAnsi="Aptos"/>
                <w:b w:val="0"/>
                <w:sz w:val="16"/>
              </w:rPr>
              <w:t>Head of AML Monitoring</w:t>
            </w:r>
          </w:p>
        </w:tc>
        <w:tc>
          <w:tcPr>
            <w:tcW w:type="dxa" w:w="4320"/>
            <w:tcMar>
              <w:top w:w="80" w:type="dxa"/>
              <w:start w:w="90" w:type="dxa"/>
              <w:bottom w:w="80" w:type="dxa"/>
              <w:end w:w="90" w:type="dxa"/>
            </w:tcMar>
            <w:vAlign w:val="top"/>
          </w:tcPr>
          <w:p>
            <w:r>
              <w:rPr>
                <w:rFonts w:ascii="Aptos" w:hAnsi="Aptos"/>
                <w:b w:val="0"/>
                <w:sz w:val="16"/>
              </w:rPr>
              <w:t>Strong evidence; no mandatory floor; QA sampling</w:t>
            </w:r>
          </w:p>
        </w:tc>
      </w:tr>
      <w:tr>
        <w:tc>
          <w:tcPr>
            <w:tcW w:type="dxa" w:w="2880"/>
            <w:tcMar>
              <w:top w:w="80" w:type="dxa"/>
              <w:start w:w="90" w:type="dxa"/>
              <w:bottom w:w="80" w:type="dxa"/>
              <w:end w:w="90" w:type="dxa"/>
            </w:tcMar>
            <w:vAlign w:val="top"/>
            <w:shd w:fill="F7FAFC"/>
          </w:tcPr>
          <w:p>
            <w:r>
              <w:rPr>
                <w:rFonts w:ascii="Aptos" w:hAnsi="Aptos"/>
                <w:b w:val="0"/>
                <w:sz w:val="16"/>
              </w:rPr>
              <w:t>Downward High→Medium</w:t>
            </w:r>
          </w:p>
        </w:tc>
        <w:tc>
          <w:tcPr>
            <w:tcW w:type="dxa" w:w="3168"/>
            <w:tcMar>
              <w:top w:w="80" w:type="dxa"/>
              <w:start w:w="90" w:type="dxa"/>
              <w:bottom w:w="80" w:type="dxa"/>
              <w:end w:w="90" w:type="dxa"/>
            </w:tcMar>
            <w:vAlign w:val="top"/>
            <w:shd w:fill="F7FAFC"/>
          </w:tcPr>
          <w:p>
            <w:r>
              <w:rPr>
                <w:rFonts w:ascii="Aptos" w:hAnsi="Aptos"/>
                <w:b w:val="0"/>
                <w:sz w:val="16"/>
              </w:rPr>
              <w:t>Chief AML Officer</w:t>
            </w:r>
          </w:p>
        </w:tc>
        <w:tc>
          <w:tcPr>
            <w:tcW w:type="dxa" w:w="4320"/>
            <w:tcMar>
              <w:top w:w="80" w:type="dxa"/>
              <w:start w:w="90" w:type="dxa"/>
              <w:bottom w:w="80" w:type="dxa"/>
              <w:end w:w="90" w:type="dxa"/>
            </w:tcMar>
            <w:vAlign w:val="top"/>
            <w:shd w:fill="F7FAFC"/>
          </w:tcPr>
          <w:p>
            <w:r>
              <w:rPr>
                <w:rFonts w:ascii="Aptos" w:hAnsi="Aptos"/>
                <w:b w:val="0"/>
                <w:sz w:val="16"/>
              </w:rPr>
              <w:t>Exceptional; no mandatory High condition; documented compensating controls</w:t>
            </w:r>
          </w:p>
        </w:tc>
      </w:tr>
      <w:tr>
        <w:tc>
          <w:tcPr>
            <w:tcW w:type="dxa" w:w="2880"/>
            <w:tcMar>
              <w:top w:w="80" w:type="dxa"/>
              <w:start w:w="90" w:type="dxa"/>
              <w:bottom w:w="80" w:type="dxa"/>
              <w:end w:w="90" w:type="dxa"/>
            </w:tcMar>
            <w:vAlign w:val="top"/>
          </w:tcPr>
          <w:p>
            <w:r>
              <w:rPr>
                <w:rFonts w:ascii="Aptos" w:hAnsi="Aptos"/>
                <w:b w:val="0"/>
                <w:sz w:val="16"/>
              </w:rPr>
              <w:t>Any override involving confirmed PEP</w:t>
            </w:r>
          </w:p>
        </w:tc>
        <w:tc>
          <w:tcPr>
            <w:tcW w:type="dxa" w:w="3168"/>
            <w:tcMar>
              <w:top w:w="80" w:type="dxa"/>
              <w:start w:w="90" w:type="dxa"/>
              <w:bottom w:w="80" w:type="dxa"/>
              <w:end w:w="90" w:type="dxa"/>
            </w:tcMar>
            <w:vAlign w:val="top"/>
          </w:tcPr>
          <w:p>
            <w:r>
              <w:rPr>
                <w:rFonts w:ascii="Aptos" w:hAnsi="Aptos"/>
                <w:b w:val="0"/>
                <w:sz w:val="16"/>
              </w:rPr>
              <w:t>Chief AML Officer</w:t>
            </w:r>
          </w:p>
        </w:tc>
        <w:tc>
          <w:tcPr>
            <w:tcW w:type="dxa" w:w="4320"/>
            <w:tcMar>
              <w:top w:w="80" w:type="dxa"/>
              <w:start w:w="90" w:type="dxa"/>
              <w:bottom w:w="80" w:type="dxa"/>
              <w:end w:w="90" w:type="dxa"/>
            </w:tcMar>
            <w:vAlign w:val="top"/>
          </w:tcPr>
          <w:p>
            <w:r>
              <w:rPr>
                <w:rFonts w:ascii="Aptos" w:hAnsi="Aptos"/>
                <w:b w:val="0"/>
                <w:sz w:val="16"/>
              </w:rPr>
              <w:t>AML-003 approval requirements also apply</w:t>
            </w:r>
          </w:p>
        </w:tc>
      </w:tr>
    </w:tbl>
    <w:p/>
    <w:p>
      <w:pPr>
        <w:pStyle w:val="Heading1"/>
        <w:keepNext/>
      </w:pPr>
      <w:r>
        <w:t>12. New Customer Rating Workflow</w:t>
      </w:r>
    </w:p>
    <w:p>
      <w:r>
        <w:t>The rating shall be completed after core CDD facts are available and before unrestricted activation where the risk outcome affects approval or EDD. The system may calculate a preliminary score earlier, but preliminary status is not the final customer risk.</w:t>
      </w:r>
    </w:p>
    <w:p>
      <w:pPr>
        <w:pStyle w:val="ControlBullet"/>
      </w:pPr>
      <w:r>
        <w:rPr>
          <w:b/>
        </w:rPr>
        <w:t xml:space="preserve">• </w:t>
      </w:r>
      <w:r>
        <w:t>Confirm customer type and relevant factors.</w:t>
      </w:r>
    </w:p>
    <w:p>
      <w:pPr>
        <w:pStyle w:val="ControlBullet"/>
      </w:pPr>
      <w:r>
        <w:rPr>
          <w:b/>
        </w:rPr>
        <w:t xml:space="preserve">• </w:t>
      </w:r>
      <w:r>
        <w:t>Populate scored factors using current parameter tables.</w:t>
      </w:r>
    </w:p>
    <w:p>
      <w:pPr>
        <w:pStyle w:val="ControlBullet"/>
      </w:pPr>
      <w:r>
        <w:rPr>
          <w:b/>
        </w:rPr>
        <w:t xml:space="preserve">• </w:t>
      </w:r>
      <w:r>
        <w:t>Apply mandatory floors and identify EDD triggers.</w:t>
      </w:r>
    </w:p>
    <w:p>
      <w:pPr>
        <w:pStyle w:val="ControlBullet"/>
      </w:pPr>
      <w:r>
        <w:rPr>
          <w:b/>
        </w:rPr>
        <w:t xml:space="preserve">• </w:t>
      </w:r>
      <w:r>
        <w:t>Complete expert review for material inconsistencies or system warnings.</w:t>
      </w:r>
    </w:p>
    <w:p>
      <w:pPr>
        <w:pStyle w:val="ControlBullet"/>
      </w:pPr>
      <w:r>
        <w:rPr>
          <w:b/>
        </w:rPr>
        <w:t xml:space="preserve">• </w:t>
      </w:r>
      <w:r>
        <w:t>Record final score, band, rationale, methodology version and approving user.</w:t>
      </w:r>
    </w:p>
    <w:p>
      <w:pPr>
        <w:pStyle w:val="ControlBullet"/>
      </w:pPr>
      <w:r>
        <w:rPr>
          <w:b/>
        </w:rPr>
        <w:t xml:space="preserve">• </w:t>
      </w:r>
      <w:r>
        <w:t>Set scheduled review date and monitoring conditions.</w:t>
      </w:r>
    </w:p>
    <w:p>
      <w:pPr>
        <w:pStyle w:val="Heading1"/>
        <w:keepNext/>
      </w:pPr>
      <w:r>
        <w:t>13. Trigger-Event Reassessment</w:t>
      </w:r>
    </w:p>
    <w:p>
      <w:r>
        <w:t>A risk rating shall be reassessed when facts change materially. The reassessment may be limited to affected factors where other evidence remains current, but the analyst shall consider whether the change alters the overall profile.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744"/>
            <w:shd w:fill="17365D"/>
            <w:vAlign w:val="center"/>
            <w:tcMar>
              <w:top w:w="80" w:type="dxa"/>
              <w:start w:w="90" w:type="dxa"/>
              <w:bottom w:w="80" w:type="dxa"/>
              <w:end w:w="90" w:type="dxa"/>
            </w:tcMar>
          </w:tcPr>
          <w:p>
            <w:r>
              <w:rPr>
                <w:rFonts w:ascii="Aptos" w:hAnsi="Aptos"/>
                <w:b/>
                <w:color w:val="FFFFFF"/>
                <w:sz w:val="16"/>
              </w:rPr>
              <w:t>Trigger</w:t>
            </w:r>
          </w:p>
        </w:tc>
        <w:tc>
          <w:tcPr>
            <w:tcW w:type="dxa" w:w="6624"/>
            <w:shd w:fill="17365D"/>
            <w:vAlign w:val="center"/>
            <w:tcMar>
              <w:top w:w="80" w:type="dxa"/>
              <w:start w:w="90" w:type="dxa"/>
              <w:bottom w:w="80" w:type="dxa"/>
              <w:end w:w="90" w:type="dxa"/>
            </w:tcMar>
          </w:tcPr>
          <w:p>
            <w:r>
              <w:rPr>
                <w:rFonts w:ascii="Aptos" w:hAnsi="Aptos"/>
                <w:b/>
                <w:color w:val="FFFFFF"/>
                <w:sz w:val="16"/>
              </w:rPr>
              <w:t>Factors Usually Revisited</w:t>
            </w:r>
          </w:p>
        </w:tc>
      </w:tr>
      <w:tr>
        <w:tc>
          <w:tcPr>
            <w:tcW w:type="dxa" w:w="3744"/>
            <w:tcMar>
              <w:top w:w="80" w:type="dxa"/>
              <w:start w:w="90" w:type="dxa"/>
              <w:bottom w:w="80" w:type="dxa"/>
              <w:end w:w="90" w:type="dxa"/>
            </w:tcMar>
            <w:vAlign w:val="top"/>
          </w:tcPr>
          <w:p>
            <w:r>
              <w:rPr>
                <w:rFonts w:ascii="Aptos" w:hAnsi="Aptos"/>
                <w:b w:val="0"/>
                <w:sz w:val="16"/>
              </w:rPr>
              <w:t>PEP status change</w:t>
            </w:r>
          </w:p>
        </w:tc>
        <w:tc>
          <w:tcPr>
            <w:tcW w:type="dxa" w:w="6624"/>
            <w:tcMar>
              <w:top w:w="80" w:type="dxa"/>
              <w:start w:w="90" w:type="dxa"/>
              <w:bottom w:w="80" w:type="dxa"/>
              <w:end w:w="90" w:type="dxa"/>
            </w:tcMar>
            <w:vAlign w:val="top"/>
          </w:tcPr>
          <w:p>
            <w:r>
              <w:rPr>
                <w:rFonts w:ascii="Aptos" w:hAnsi="Aptos"/>
                <w:b w:val="0"/>
                <w:sz w:val="16"/>
              </w:rPr>
              <w:t>Customer, geography, mandatory floor, approval</w:t>
            </w:r>
          </w:p>
        </w:tc>
      </w:tr>
      <w:tr>
        <w:tc>
          <w:tcPr>
            <w:tcW w:type="dxa" w:w="3744"/>
            <w:tcMar>
              <w:top w:w="80" w:type="dxa"/>
              <w:start w:w="90" w:type="dxa"/>
              <w:bottom w:w="80" w:type="dxa"/>
              <w:end w:w="90" w:type="dxa"/>
            </w:tcMar>
            <w:vAlign w:val="top"/>
            <w:shd w:fill="F7FAFC"/>
          </w:tcPr>
          <w:p>
            <w:r>
              <w:rPr>
                <w:rFonts w:ascii="Aptos" w:hAnsi="Aptos"/>
                <w:b w:val="0"/>
                <w:sz w:val="16"/>
              </w:rPr>
              <w:t>Ownership change</w:t>
            </w:r>
          </w:p>
        </w:tc>
        <w:tc>
          <w:tcPr>
            <w:tcW w:type="dxa" w:w="6624"/>
            <w:tcMar>
              <w:top w:w="80" w:type="dxa"/>
              <w:start w:w="90" w:type="dxa"/>
              <w:bottom w:w="80" w:type="dxa"/>
              <w:end w:w="90" w:type="dxa"/>
            </w:tcMar>
            <w:vAlign w:val="top"/>
            <w:shd w:fill="F7FAFC"/>
          </w:tcPr>
          <w:p>
            <w:r>
              <w:rPr>
                <w:rFonts w:ascii="Aptos" w:hAnsi="Aptos"/>
                <w:b w:val="0"/>
                <w:sz w:val="16"/>
              </w:rPr>
              <w:t>Ownership/structure, geography, customer/business</w:t>
            </w:r>
          </w:p>
        </w:tc>
      </w:tr>
      <w:tr>
        <w:tc>
          <w:tcPr>
            <w:tcW w:type="dxa" w:w="3744"/>
            <w:tcMar>
              <w:top w:w="80" w:type="dxa"/>
              <w:start w:w="90" w:type="dxa"/>
              <w:bottom w:w="80" w:type="dxa"/>
              <w:end w:w="90" w:type="dxa"/>
            </w:tcMar>
            <w:vAlign w:val="top"/>
          </w:tcPr>
          <w:p>
            <w:r>
              <w:rPr>
                <w:rFonts w:ascii="Aptos" w:hAnsi="Aptos"/>
                <w:b w:val="0"/>
                <w:sz w:val="16"/>
              </w:rPr>
              <w:t>New product/channel</w:t>
            </w:r>
          </w:p>
        </w:tc>
        <w:tc>
          <w:tcPr>
            <w:tcW w:type="dxa" w:w="6624"/>
            <w:tcMar>
              <w:top w:w="80" w:type="dxa"/>
              <w:start w:w="90" w:type="dxa"/>
              <w:bottom w:w="80" w:type="dxa"/>
              <w:end w:w="90" w:type="dxa"/>
            </w:tcMar>
            <w:vAlign w:val="top"/>
          </w:tcPr>
          <w:p>
            <w:r>
              <w:rPr>
                <w:rFonts w:ascii="Aptos" w:hAnsi="Aptos"/>
                <w:b w:val="0"/>
                <w:sz w:val="16"/>
              </w:rPr>
              <w:t>Product, channel, expected activity</w:t>
            </w:r>
          </w:p>
        </w:tc>
      </w:tr>
      <w:tr>
        <w:tc>
          <w:tcPr>
            <w:tcW w:type="dxa" w:w="3744"/>
            <w:tcMar>
              <w:top w:w="80" w:type="dxa"/>
              <w:start w:w="90" w:type="dxa"/>
              <w:bottom w:w="80" w:type="dxa"/>
              <w:end w:w="90" w:type="dxa"/>
            </w:tcMar>
            <w:vAlign w:val="top"/>
            <w:shd w:fill="F7FAFC"/>
          </w:tcPr>
          <w:p>
            <w:r>
              <w:rPr>
                <w:rFonts w:ascii="Aptos" w:hAnsi="Aptos"/>
                <w:b w:val="0"/>
                <w:sz w:val="16"/>
              </w:rPr>
              <w:t>Monitoring case substantiated</w:t>
            </w:r>
          </w:p>
        </w:tc>
        <w:tc>
          <w:tcPr>
            <w:tcW w:type="dxa" w:w="6624"/>
            <w:tcMar>
              <w:top w:w="80" w:type="dxa"/>
              <w:start w:w="90" w:type="dxa"/>
              <w:bottom w:w="80" w:type="dxa"/>
              <w:end w:w="90" w:type="dxa"/>
            </w:tcMar>
            <w:vAlign w:val="top"/>
            <w:shd w:fill="F7FAFC"/>
          </w:tcPr>
          <w:p>
            <w:r>
              <w:rPr>
                <w:rFonts w:ascii="Aptos" w:hAnsi="Aptos"/>
                <w:b w:val="0"/>
                <w:sz w:val="16"/>
              </w:rPr>
              <w:t>Behaviour, customer/business, geography as relevant</w:t>
            </w:r>
          </w:p>
        </w:tc>
      </w:tr>
      <w:tr>
        <w:tc>
          <w:tcPr>
            <w:tcW w:type="dxa" w:w="3744"/>
            <w:tcMar>
              <w:top w:w="80" w:type="dxa"/>
              <w:start w:w="90" w:type="dxa"/>
              <w:bottom w:w="80" w:type="dxa"/>
              <w:end w:w="90" w:type="dxa"/>
            </w:tcMar>
            <w:vAlign w:val="top"/>
          </w:tcPr>
          <w:p>
            <w:r>
              <w:rPr>
                <w:rFonts w:ascii="Aptos" w:hAnsi="Aptos"/>
                <w:b w:val="0"/>
                <w:sz w:val="16"/>
              </w:rPr>
              <w:t>Material adverse information</w:t>
            </w:r>
          </w:p>
        </w:tc>
        <w:tc>
          <w:tcPr>
            <w:tcW w:type="dxa" w:w="6624"/>
            <w:tcMar>
              <w:top w:w="80" w:type="dxa"/>
              <w:start w:w="90" w:type="dxa"/>
              <w:bottom w:w="80" w:type="dxa"/>
              <w:end w:w="90" w:type="dxa"/>
            </w:tcMar>
            <w:vAlign w:val="top"/>
          </w:tcPr>
          <w:p>
            <w:r>
              <w:rPr>
                <w:rFonts w:ascii="Aptos" w:hAnsi="Aptos"/>
                <w:b w:val="0"/>
                <w:sz w:val="16"/>
              </w:rPr>
              <w:t>Customer/integrity, mandatory floor</w:t>
            </w:r>
          </w:p>
        </w:tc>
      </w:tr>
      <w:tr>
        <w:tc>
          <w:tcPr>
            <w:tcW w:type="dxa" w:w="3744"/>
            <w:tcMar>
              <w:top w:w="80" w:type="dxa"/>
              <w:start w:w="90" w:type="dxa"/>
              <w:bottom w:w="80" w:type="dxa"/>
              <w:end w:w="90" w:type="dxa"/>
            </w:tcMar>
            <w:vAlign w:val="top"/>
            <w:shd w:fill="F7FAFC"/>
          </w:tcPr>
          <w:p>
            <w:r>
              <w:rPr>
                <w:rFonts w:ascii="Aptos" w:hAnsi="Aptos"/>
                <w:b w:val="0"/>
                <w:sz w:val="16"/>
              </w:rPr>
              <w:t>New high-risk geography activity</w:t>
            </w:r>
          </w:p>
        </w:tc>
        <w:tc>
          <w:tcPr>
            <w:tcW w:type="dxa" w:w="6624"/>
            <w:tcMar>
              <w:top w:w="80" w:type="dxa"/>
              <w:start w:w="90" w:type="dxa"/>
              <w:bottom w:w="80" w:type="dxa"/>
              <w:end w:w="90" w:type="dxa"/>
            </w:tcMar>
            <w:vAlign w:val="top"/>
            <w:shd w:fill="F7FAFC"/>
          </w:tcPr>
          <w:p>
            <w:r>
              <w:rPr>
                <w:rFonts w:ascii="Aptos" w:hAnsi="Aptos"/>
                <w:b w:val="0"/>
                <w:sz w:val="16"/>
              </w:rPr>
              <w:t>Geography, behaviour, EDD need</w:t>
            </w:r>
          </w:p>
        </w:tc>
      </w:tr>
    </w:tbl>
    <w:p/>
    <w:p>
      <w:pPr>
        <w:pStyle w:val="Heading1"/>
        <w:keepNext/>
      </w:pPr>
      <w:r>
        <w:t>14. Periodic Review and Rating Ageing</w:t>
      </w:r>
    </w:p>
    <w:p>
      <w:r>
        <w:t>Low, Medium and High risk customers are scheduled for review at 60, 36 and 12 months respectively. High-risk reviews may be shorter where EDD conditions require it. A scheduled date does not prevent earlier trigger review.</w:t>
      </w:r>
    </w:p>
    <w:p>
      <w:pPr>
        <w:pStyle w:val="ControlBullet"/>
      </w:pPr>
      <w:r>
        <w:rPr>
          <w:b/>
        </w:rPr>
        <w:t xml:space="preserve">• </w:t>
      </w:r>
      <w:r>
        <w:t>Overdue review does not automatically change the numeric score, but it creates a control status that must be monitored and escalated.</w:t>
      </w:r>
    </w:p>
    <w:p>
      <w:pPr>
        <w:pStyle w:val="ControlBullet"/>
      </w:pPr>
      <w:r>
        <w:rPr>
          <w:b/>
        </w:rPr>
        <w:t xml:space="preserve">• </w:t>
      </w:r>
      <w:r>
        <w:t>If key data is stale, the final rating shall not be treated as current merely because the system retains a score.</w:t>
      </w:r>
    </w:p>
    <w:p>
      <w:pPr>
        <w:pStyle w:val="ControlBullet"/>
      </w:pPr>
      <w:r>
        <w:rPr>
          <w:b/>
        </w:rPr>
        <w:t xml:space="preserve">• </w:t>
      </w:r>
      <w:r>
        <w:t>Risk downgrades should ordinarily follow completed review evidence rather than time passage alone.</w:t>
      </w:r>
    </w:p>
    <w:p>
      <w:pPr>
        <w:pStyle w:val="ControlBullet"/>
      </w:pPr>
      <w:r>
        <w:rPr>
          <w:b/>
        </w:rPr>
        <w:t xml:space="preserve">• </w:t>
      </w:r>
      <w:r>
        <w:t>PEP and enhanced-monitoring conditions may keep a customer High despite otherwise reduced factors.</w:t>
      </w:r>
    </w:p>
    <w:p>
      <w:pPr>
        <w:pStyle w:val="Heading1"/>
        <w:keepNext/>
      </w:pPr>
      <w:r>
        <w:t>15. Model Governance, Calibration and Change Control</w:t>
      </w:r>
    </w:p>
    <w:p>
      <w:r>
        <w:t>AML Compliance owns the methodology and parameter tables. Material changes to factor weights, band thresholds or mandatory floors require controlled approval and effective-date documentation. Historical customer ratings are not automatically restated after a model change.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12"/>
            <w:shd w:fill="17365D"/>
            <w:vAlign w:val="center"/>
            <w:tcMar>
              <w:top w:w="80" w:type="dxa"/>
              <w:start w:w="90" w:type="dxa"/>
              <w:bottom w:w="80" w:type="dxa"/>
              <w:end w:w="90" w:type="dxa"/>
            </w:tcMar>
          </w:tcPr>
          <w:p>
            <w:r>
              <w:rPr>
                <w:rFonts w:ascii="Aptos" w:hAnsi="Aptos"/>
                <w:b/>
                <w:color w:val="FFFFFF"/>
                <w:sz w:val="16"/>
              </w:rPr>
              <w:t>Change Type</w:t>
            </w:r>
          </w:p>
        </w:tc>
        <w:tc>
          <w:tcPr>
            <w:tcW w:type="dxa" w:w="3168"/>
            <w:shd w:fill="17365D"/>
            <w:vAlign w:val="center"/>
            <w:tcMar>
              <w:top w:w="80" w:type="dxa"/>
              <w:start w:w="90" w:type="dxa"/>
              <w:bottom w:w="80" w:type="dxa"/>
              <w:end w:w="90" w:type="dxa"/>
            </w:tcMar>
          </w:tcPr>
          <w:p>
            <w:r>
              <w:rPr>
                <w:rFonts w:ascii="Aptos" w:hAnsi="Aptos"/>
                <w:b/>
                <w:color w:val="FFFFFF"/>
                <w:sz w:val="16"/>
              </w:rPr>
              <w:t>Approval</w:t>
            </w:r>
          </w:p>
        </w:tc>
        <w:tc>
          <w:tcPr>
            <w:tcW w:type="dxa" w:w="3312"/>
            <w:shd w:fill="17365D"/>
            <w:vAlign w:val="center"/>
            <w:tcMar>
              <w:top w:w="80" w:type="dxa"/>
              <w:start w:w="90" w:type="dxa"/>
              <w:bottom w:w="80" w:type="dxa"/>
              <w:end w:w="90" w:type="dxa"/>
            </w:tcMar>
          </w:tcPr>
          <w:p>
            <w:r>
              <w:rPr>
                <w:rFonts w:ascii="Aptos" w:hAnsi="Aptos"/>
                <w:b/>
                <w:color w:val="FFFFFF"/>
                <w:sz w:val="16"/>
              </w:rPr>
              <w:t>Historical Treatment</w:t>
            </w:r>
          </w:p>
        </w:tc>
      </w:tr>
      <w:tr>
        <w:tc>
          <w:tcPr>
            <w:tcW w:type="dxa" w:w="3312"/>
            <w:tcMar>
              <w:top w:w="80" w:type="dxa"/>
              <w:start w:w="90" w:type="dxa"/>
              <w:bottom w:w="80" w:type="dxa"/>
              <w:end w:w="90" w:type="dxa"/>
            </w:tcMar>
            <w:vAlign w:val="top"/>
          </w:tcPr>
          <w:p>
            <w:r>
              <w:rPr>
                <w:rFonts w:ascii="Aptos" w:hAnsi="Aptos"/>
                <w:b w:val="0"/>
                <w:sz w:val="16"/>
              </w:rPr>
              <w:t>Factor wording / analyst guidance</w:t>
            </w:r>
          </w:p>
        </w:tc>
        <w:tc>
          <w:tcPr>
            <w:tcW w:type="dxa" w:w="3168"/>
            <w:tcMar>
              <w:top w:w="80" w:type="dxa"/>
              <w:start w:w="90" w:type="dxa"/>
              <w:bottom w:w="80" w:type="dxa"/>
              <w:end w:w="90" w:type="dxa"/>
            </w:tcMar>
            <w:vAlign w:val="top"/>
          </w:tcPr>
          <w:p>
            <w:r>
              <w:rPr>
                <w:rFonts w:ascii="Aptos" w:hAnsi="Aptos"/>
                <w:b w:val="0"/>
                <w:sz w:val="16"/>
              </w:rPr>
              <w:t>Head AML Monitoring</w:t>
            </w:r>
          </w:p>
        </w:tc>
        <w:tc>
          <w:tcPr>
            <w:tcW w:type="dxa" w:w="3312"/>
            <w:tcMar>
              <w:top w:w="80" w:type="dxa"/>
              <w:start w:w="90" w:type="dxa"/>
              <w:bottom w:w="80" w:type="dxa"/>
              <w:end w:w="90" w:type="dxa"/>
            </w:tcMar>
            <w:vAlign w:val="top"/>
          </w:tcPr>
          <w:p>
            <w:r>
              <w:rPr>
                <w:rFonts w:ascii="Aptos" w:hAnsi="Aptos"/>
                <w:b w:val="0"/>
                <w:sz w:val="16"/>
              </w:rPr>
              <w:t>No re-score unless facts affected</w:t>
            </w:r>
          </w:p>
        </w:tc>
      </w:tr>
      <w:tr>
        <w:tc>
          <w:tcPr>
            <w:tcW w:type="dxa" w:w="3312"/>
            <w:tcMar>
              <w:top w:w="80" w:type="dxa"/>
              <w:start w:w="90" w:type="dxa"/>
              <w:bottom w:w="80" w:type="dxa"/>
              <w:end w:w="90" w:type="dxa"/>
            </w:tcMar>
            <w:vAlign w:val="top"/>
            <w:shd w:fill="F7FAFC"/>
          </w:tcPr>
          <w:p>
            <w:r>
              <w:rPr>
                <w:rFonts w:ascii="Aptos" w:hAnsi="Aptos"/>
                <w:b w:val="0"/>
                <w:sz w:val="16"/>
              </w:rPr>
              <w:t>Point-band adjustment within factor</w:t>
            </w:r>
          </w:p>
        </w:tc>
        <w:tc>
          <w:tcPr>
            <w:tcW w:type="dxa" w:w="3168"/>
            <w:tcMar>
              <w:top w:w="80" w:type="dxa"/>
              <w:start w:w="90" w:type="dxa"/>
              <w:bottom w:w="80" w:type="dxa"/>
              <w:end w:w="90" w:type="dxa"/>
            </w:tcMar>
            <w:vAlign w:val="top"/>
            <w:shd w:fill="F7FAFC"/>
          </w:tcPr>
          <w:p>
            <w:r>
              <w:rPr>
                <w:rFonts w:ascii="Aptos" w:hAnsi="Aptos"/>
                <w:b w:val="0"/>
                <w:sz w:val="16"/>
              </w:rPr>
              <w:t>Chief AML Officer</w:t>
            </w:r>
          </w:p>
        </w:tc>
        <w:tc>
          <w:tcPr>
            <w:tcW w:type="dxa" w:w="3312"/>
            <w:tcMar>
              <w:top w:w="80" w:type="dxa"/>
              <w:start w:w="90" w:type="dxa"/>
              <w:bottom w:w="80" w:type="dxa"/>
              <w:end w:w="90" w:type="dxa"/>
            </w:tcMar>
            <w:vAlign w:val="top"/>
            <w:shd w:fill="F7FAFC"/>
          </w:tcPr>
          <w:p>
            <w:r>
              <w:rPr>
                <w:rFonts w:ascii="Aptos" w:hAnsi="Aptos"/>
                <w:b w:val="0"/>
                <w:sz w:val="16"/>
              </w:rPr>
              <w:t>Prospective; targeted back-testing as directed</w:t>
            </w:r>
          </w:p>
        </w:tc>
      </w:tr>
      <w:tr>
        <w:tc>
          <w:tcPr>
            <w:tcW w:type="dxa" w:w="3312"/>
            <w:tcMar>
              <w:top w:w="80" w:type="dxa"/>
              <w:start w:w="90" w:type="dxa"/>
              <w:bottom w:w="80" w:type="dxa"/>
              <w:end w:w="90" w:type="dxa"/>
            </w:tcMar>
            <w:vAlign w:val="top"/>
          </w:tcPr>
          <w:p>
            <w:r>
              <w:rPr>
                <w:rFonts w:ascii="Aptos" w:hAnsi="Aptos"/>
                <w:b w:val="0"/>
                <w:sz w:val="16"/>
              </w:rPr>
              <w:t>Risk-band threshold change</w:t>
            </w:r>
          </w:p>
        </w:tc>
        <w:tc>
          <w:tcPr>
            <w:tcW w:type="dxa" w:w="3168"/>
            <w:tcMar>
              <w:top w:w="80" w:type="dxa"/>
              <w:start w:w="90" w:type="dxa"/>
              <w:bottom w:w="80" w:type="dxa"/>
              <w:end w:w="90" w:type="dxa"/>
            </w:tcMar>
            <w:vAlign w:val="top"/>
          </w:tcPr>
          <w:p>
            <w:r>
              <w:rPr>
                <w:rFonts w:ascii="Aptos" w:hAnsi="Aptos"/>
                <w:b w:val="0"/>
                <w:sz w:val="16"/>
              </w:rPr>
              <w:t>AML Committee</w:t>
            </w:r>
          </w:p>
        </w:tc>
        <w:tc>
          <w:tcPr>
            <w:tcW w:type="dxa" w:w="3312"/>
            <w:tcMar>
              <w:top w:w="80" w:type="dxa"/>
              <w:start w:w="90" w:type="dxa"/>
              <w:bottom w:w="80" w:type="dxa"/>
              <w:end w:w="90" w:type="dxa"/>
            </w:tcMar>
            <w:vAlign w:val="top"/>
          </w:tcPr>
          <w:p>
            <w:r>
              <w:rPr>
                <w:rFonts w:ascii="Aptos" w:hAnsi="Aptos"/>
                <w:b w:val="0"/>
                <w:sz w:val="16"/>
              </w:rPr>
              <w:t>Prospective; migration plan required</w:t>
            </w:r>
          </w:p>
        </w:tc>
      </w:tr>
      <w:tr>
        <w:tc>
          <w:tcPr>
            <w:tcW w:type="dxa" w:w="3312"/>
            <w:tcMar>
              <w:top w:w="80" w:type="dxa"/>
              <w:start w:w="90" w:type="dxa"/>
              <w:bottom w:w="80" w:type="dxa"/>
              <w:end w:w="90" w:type="dxa"/>
            </w:tcMar>
            <w:vAlign w:val="top"/>
            <w:shd w:fill="F7FAFC"/>
          </w:tcPr>
          <w:p>
            <w:r>
              <w:rPr>
                <w:rFonts w:ascii="Aptos" w:hAnsi="Aptos"/>
                <w:b w:val="0"/>
                <w:sz w:val="16"/>
              </w:rPr>
              <w:t>New mandatory floor</w:t>
            </w:r>
          </w:p>
        </w:tc>
        <w:tc>
          <w:tcPr>
            <w:tcW w:type="dxa" w:w="3168"/>
            <w:tcMar>
              <w:top w:w="80" w:type="dxa"/>
              <w:start w:w="90" w:type="dxa"/>
              <w:bottom w:w="80" w:type="dxa"/>
              <w:end w:w="90" w:type="dxa"/>
            </w:tcMar>
            <w:vAlign w:val="top"/>
            <w:shd w:fill="F7FAFC"/>
          </w:tcPr>
          <w:p>
            <w:r>
              <w:rPr>
                <w:rFonts w:ascii="Aptos" w:hAnsi="Aptos"/>
                <w:b w:val="0"/>
                <w:sz w:val="16"/>
              </w:rPr>
              <w:t>AML Committee / Chief AML Officer per urgency</w:t>
            </w:r>
          </w:p>
        </w:tc>
        <w:tc>
          <w:tcPr>
            <w:tcW w:type="dxa" w:w="3312"/>
            <w:tcMar>
              <w:top w:w="80" w:type="dxa"/>
              <w:start w:w="90" w:type="dxa"/>
              <w:bottom w:w="80" w:type="dxa"/>
              <w:end w:w="90" w:type="dxa"/>
            </w:tcMar>
            <w:vAlign w:val="top"/>
            <w:shd w:fill="F7FAFC"/>
          </w:tcPr>
          <w:p>
            <w:r>
              <w:rPr>
                <w:rFonts w:ascii="Aptos" w:hAnsi="Aptos"/>
                <w:b w:val="0"/>
                <w:sz w:val="16"/>
              </w:rPr>
              <w:t>Targeted review population defined</w:t>
            </w:r>
          </w:p>
        </w:tc>
      </w:tr>
      <w:tr>
        <w:tc>
          <w:tcPr>
            <w:tcW w:type="dxa" w:w="3312"/>
            <w:tcMar>
              <w:top w:w="80" w:type="dxa"/>
              <w:start w:w="90" w:type="dxa"/>
              <w:bottom w:w="80" w:type="dxa"/>
              <w:end w:w="90" w:type="dxa"/>
            </w:tcMar>
            <w:vAlign w:val="top"/>
          </w:tcPr>
          <w:p>
            <w:r>
              <w:rPr>
                <w:rFonts w:ascii="Aptos" w:hAnsi="Aptos"/>
                <w:b w:val="0"/>
                <w:sz w:val="16"/>
              </w:rPr>
              <w:t>System implementation correction</w:t>
            </w:r>
          </w:p>
        </w:tc>
        <w:tc>
          <w:tcPr>
            <w:tcW w:type="dxa" w:w="3168"/>
            <w:tcMar>
              <w:top w:w="80" w:type="dxa"/>
              <w:start w:w="90" w:type="dxa"/>
              <w:bottom w:w="80" w:type="dxa"/>
              <w:end w:w="90" w:type="dxa"/>
            </w:tcMar>
            <w:vAlign w:val="top"/>
          </w:tcPr>
          <w:p>
            <w:r>
              <w:rPr>
                <w:rFonts w:ascii="Aptos" w:hAnsi="Aptos"/>
                <w:b w:val="0"/>
                <w:sz w:val="16"/>
              </w:rPr>
              <w:t>Model owner + Technology change control</w:t>
            </w:r>
          </w:p>
        </w:tc>
        <w:tc>
          <w:tcPr>
            <w:tcW w:type="dxa" w:w="3312"/>
            <w:tcMar>
              <w:top w:w="80" w:type="dxa"/>
              <w:start w:w="90" w:type="dxa"/>
              <w:bottom w:w="80" w:type="dxa"/>
              <w:end w:w="90" w:type="dxa"/>
            </w:tcMar>
            <w:vAlign w:val="top"/>
          </w:tcPr>
          <w:p>
            <w:r>
              <w:rPr>
                <w:rFonts w:ascii="Aptos" w:hAnsi="Aptos"/>
                <w:b w:val="0"/>
                <w:sz w:val="16"/>
              </w:rPr>
              <w:t>Impact assessment and remediation population</w:t>
            </w:r>
          </w:p>
        </w:tc>
      </w:tr>
    </w:tbl>
    <w:p/>
    <w:p>
      <w:pPr>
        <w:pStyle w:val="Heading1"/>
        <w:keepNext/>
      </w:pPr>
      <w:r>
        <w:t>16. Quality Assurance, Reporting and Records</w:t>
      </w:r>
    </w:p>
    <w:p>
      <w:r>
        <w:t>QA shall test data accuracy, score calculation, application of floors, override governance and alignment between risk rating, EDD and monitoring conditions. Management information shall show risk distribution, migrations, overdue reviews, overrides, PEPs, high-risk customers and QA defects.</w:t>
      </w:r>
    </w:p>
    <w:p>
      <w:pPr>
        <w:pStyle w:val="ControlBullet"/>
      </w:pPr>
      <w:r>
        <w:rPr>
          <w:b/>
        </w:rPr>
        <w:t xml:space="preserve">• </w:t>
      </w:r>
      <w:r>
        <w:t>A system-calculated score is not sufficient evidence without the underlying factor inputs and methodology version.</w:t>
      </w:r>
    </w:p>
    <w:p>
      <w:pPr>
        <w:pStyle w:val="ControlBullet"/>
      </w:pPr>
      <w:r>
        <w:rPr>
          <w:b/>
        </w:rPr>
        <w:t xml:space="preserve">• </w:t>
      </w:r>
      <w:r>
        <w:t>Override rates and repeated analyst scoring differences shall be monitored for training or calibration issues.</w:t>
      </w:r>
    </w:p>
    <w:p>
      <w:pPr>
        <w:pStyle w:val="ControlBullet"/>
      </w:pPr>
      <w:r>
        <w:rPr>
          <w:b/>
        </w:rPr>
        <w:t xml:space="preserve">• </w:t>
      </w:r>
      <w:r>
        <w:t>Material model or implementation defects shall be assessed under the Risk Management Framework and Compliance governance.</w:t>
      </w:r>
    </w:p>
    <w:p>
      <w:pPr>
        <w:pStyle w:val="ControlBullet"/>
      </w:pPr>
      <w:r>
        <w:rPr>
          <w:b/>
        </w:rPr>
        <w:t xml:space="preserve">• </w:t>
      </w:r>
      <w:r>
        <w:t>Records shall preserve prior scores and reason codes so risk migrations can be reconstructed.</w:t>
      </w:r>
    </w:p>
    <w:p>
      <w:r>
        <w:br w:type="page"/>
      </w:r>
    </w:p>
    <w:p>
      <w:pPr>
        <w:pStyle w:val="Heading1"/>
      </w:pPr>
      <w:r>
        <w:t>Appendix A — Illustrative Scoring Examples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3312"/>
            <w:shd w:fill="17365D"/>
            <w:vAlign w:val="center"/>
            <w:tcMar>
              <w:top w:w="80" w:type="dxa"/>
              <w:start w:w="90" w:type="dxa"/>
              <w:bottom w:w="80" w:type="dxa"/>
              <w:end w:w="90" w:type="dxa"/>
            </w:tcMar>
          </w:tcPr>
          <w:p>
            <w:r>
              <w:rPr>
                <w:rFonts w:ascii="Aptos" w:hAnsi="Aptos"/>
                <w:b/>
                <w:color w:val="FFFFFF"/>
                <w:sz w:val="16"/>
              </w:rPr>
              <w:t>Customer</w:t>
            </w:r>
          </w:p>
        </w:tc>
        <w:tc>
          <w:tcPr>
            <w:tcW w:type="dxa" w:w="4320"/>
            <w:shd w:fill="17365D"/>
            <w:vAlign w:val="center"/>
            <w:tcMar>
              <w:top w:w="80" w:type="dxa"/>
              <w:start w:w="90" w:type="dxa"/>
              <w:bottom w:w="80" w:type="dxa"/>
              <w:end w:w="90" w:type="dxa"/>
            </w:tcMar>
          </w:tcPr>
          <w:p>
            <w:r>
              <w:rPr>
                <w:rFonts w:ascii="Aptos" w:hAnsi="Aptos"/>
                <w:b/>
                <w:color w:val="FFFFFF"/>
                <w:sz w:val="16"/>
              </w:rPr>
              <w:t>Factor Summary</w:t>
            </w:r>
          </w:p>
        </w:tc>
        <w:tc>
          <w:tcPr>
            <w:tcW w:type="dxa" w:w="1440"/>
            <w:shd w:fill="17365D"/>
            <w:vAlign w:val="center"/>
            <w:tcMar>
              <w:top w:w="80" w:type="dxa"/>
              <w:start w:w="90" w:type="dxa"/>
              <w:bottom w:w="80" w:type="dxa"/>
              <w:end w:w="90" w:type="dxa"/>
            </w:tcMar>
          </w:tcPr>
          <w:p>
            <w:r>
              <w:rPr>
                <w:rFonts w:ascii="Aptos" w:hAnsi="Aptos"/>
                <w:b/>
                <w:color w:val="FFFFFF"/>
                <w:sz w:val="16"/>
              </w:rPr>
              <w:t>Base Score</w:t>
            </w:r>
          </w:p>
        </w:tc>
        <w:tc>
          <w:tcPr>
            <w:tcW w:type="dxa" w:w="2880"/>
            <w:shd w:fill="17365D"/>
            <w:vAlign w:val="center"/>
            <w:tcMar>
              <w:top w:w="80" w:type="dxa"/>
              <w:start w:w="90" w:type="dxa"/>
              <w:bottom w:w="80" w:type="dxa"/>
              <w:end w:w="90" w:type="dxa"/>
            </w:tcMar>
          </w:tcPr>
          <w:p>
            <w:r>
              <w:rPr>
                <w:rFonts w:ascii="Aptos" w:hAnsi="Aptos"/>
                <w:b/>
                <w:color w:val="FFFFFF"/>
                <w:sz w:val="16"/>
              </w:rPr>
              <w:t>Floor / Override</w:t>
            </w:r>
          </w:p>
        </w:tc>
        <w:tc>
          <w:tcPr>
            <w:tcW w:type="dxa" w:w="1440"/>
            <w:shd w:fill="17365D"/>
            <w:vAlign w:val="center"/>
            <w:tcMar>
              <w:top w:w="80" w:type="dxa"/>
              <w:start w:w="90" w:type="dxa"/>
              <w:bottom w:w="80" w:type="dxa"/>
              <w:end w:w="90" w:type="dxa"/>
            </w:tcMar>
          </w:tcPr>
          <w:p>
            <w:r>
              <w:rPr>
                <w:rFonts w:ascii="Aptos" w:hAnsi="Aptos"/>
                <w:b/>
                <w:color w:val="FFFFFF"/>
                <w:sz w:val="16"/>
              </w:rPr>
              <w:t>Final</w:t>
            </w:r>
          </w:p>
        </w:tc>
      </w:tr>
      <w:tr>
        <w:tc>
          <w:tcPr>
            <w:tcW w:type="dxa" w:w="3312"/>
            <w:tcMar>
              <w:top w:w="80" w:type="dxa"/>
              <w:start w:w="90" w:type="dxa"/>
              <w:bottom w:w="80" w:type="dxa"/>
              <w:end w:w="90" w:type="dxa"/>
            </w:tcMar>
            <w:vAlign w:val="top"/>
          </w:tcPr>
          <w:p>
            <w:r>
              <w:rPr>
                <w:rFonts w:ascii="Aptos" w:hAnsi="Aptos"/>
                <w:b w:val="0"/>
                <w:sz w:val="16"/>
              </w:rPr>
              <w:t>Salaried domestic borrower</w:t>
            </w:r>
          </w:p>
        </w:tc>
        <w:tc>
          <w:tcPr>
            <w:tcW w:type="dxa" w:w="4320"/>
            <w:tcMar>
              <w:top w:w="80" w:type="dxa"/>
              <w:start w:w="90" w:type="dxa"/>
              <w:bottom w:w="80" w:type="dxa"/>
              <w:end w:w="90" w:type="dxa"/>
            </w:tcMar>
            <w:vAlign w:val="top"/>
          </w:tcPr>
          <w:p>
            <w:r>
              <w:rPr>
                <w:rFonts w:ascii="Aptos" w:hAnsi="Aptos"/>
                <w:b w:val="0"/>
                <w:sz w:val="16"/>
              </w:rPr>
              <w:t>Cust 2; Geo 0; Prod 2; Ch 1; Own 0; Beh 0</w:t>
            </w:r>
          </w:p>
        </w:tc>
        <w:tc>
          <w:tcPr>
            <w:tcW w:type="dxa" w:w="1440"/>
            <w:tcMar>
              <w:top w:w="80" w:type="dxa"/>
              <w:start w:w="90" w:type="dxa"/>
              <w:bottom w:w="80" w:type="dxa"/>
              <w:end w:w="90" w:type="dxa"/>
            </w:tcMar>
            <w:vAlign w:val="top"/>
          </w:tcPr>
          <w:p>
            <w:r>
              <w:rPr>
                <w:rFonts w:ascii="Aptos" w:hAnsi="Aptos"/>
                <w:b w:val="0"/>
                <w:sz w:val="16"/>
              </w:rPr>
              <w:t>5</w:t>
            </w:r>
          </w:p>
        </w:tc>
        <w:tc>
          <w:tcPr>
            <w:tcW w:type="dxa" w:w="2880"/>
            <w:tcMar>
              <w:top w:w="80" w:type="dxa"/>
              <w:start w:w="90" w:type="dxa"/>
              <w:bottom w:w="80" w:type="dxa"/>
              <w:end w:w="90" w:type="dxa"/>
            </w:tcMar>
            <w:vAlign w:val="top"/>
          </w:tcPr>
          <w:p>
            <w:r>
              <w:rPr>
                <w:rFonts w:ascii="Aptos" w:hAnsi="Aptos"/>
                <w:b w:val="0"/>
                <w:sz w:val="16"/>
              </w:rPr>
              <w:t>None</w:t>
            </w:r>
          </w:p>
        </w:tc>
        <w:tc>
          <w:tcPr>
            <w:tcW w:type="dxa" w:w="1440"/>
            <w:tcMar>
              <w:top w:w="80" w:type="dxa"/>
              <w:start w:w="90" w:type="dxa"/>
              <w:bottom w:w="80" w:type="dxa"/>
              <w:end w:w="90" w:type="dxa"/>
            </w:tcMar>
            <w:vAlign w:val="top"/>
          </w:tcPr>
          <w:p>
            <w:r>
              <w:rPr>
                <w:rFonts w:ascii="Aptos" w:hAnsi="Aptos"/>
                <w:b w:val="0"/>
                <w:sz w:val="16"/>
              </w:rPr>
              <w:t>Low</w:t>
            </w:r>
          </w:p>
        </w:tc>
      </w:tr>
      <w:tr>
        <w:tc>
          <w:tcPr>
            <w:tcW w:type="dxa" w:w="3312"/>
            <w:tcMar>
              <w:top w:w="80" w:type="dxa"/>
              <w:start w:w="90" w:type="dxa"/>
              <w:bottom w:w="80" w:type="dxa"/>
              <w:end w:w="90" w:type="dxa"/>
            </w:tcMar>
            <w:vAlign w:val="top"/>
            <w:shd w:fill="F7FAFC"/>
          </w:tcPr>
          <w:p>
            <w:r>
              <w:rPr>
                <w:rFonts w:ascii="Aptos" w:hAnsi="Aptos"/>
                <w:b w:val="0"/>
                <w:sz w:val="16"/>
              </w:rPr>
              <w:t>SME with cross-border suppliers</w:t>
            </w:r>
          </w:p>
        </w:tc>
        <w:tc>
          <w:tcPr>
            <w:tcW w:type="dxa" w:w="4320"/>
            <w:tcMar>
              <w:top w:w="80" w:type="dxa"/>
              <w:start w:w="90" w:type="dxa"/>
              <w:bottom w:w="80" w:type="dxa"/>
              <w:end w:w="90" w:type="dxa"/>
            </w:tcMar>
            <w:vAlign w:val="top"/>
            <w:shd w:fill="F7FAFC"/>
          </w:tcPr>
          <w:p>
            <w:r>
              <w:rPr>
                <w:rFonts w:ascii="Aptos" w:hAnsi="Aptos"/>
                <w:b w:val="0"/>
                <w:sz w:val="16"/>
              </w:rPr>
              <w:t>Cust 8; Geo 7; Prod 4; Ch 1; Own 4; Beh 2</w:t>
            </w:r>
          </w:p>
        </w:tc>
        <w:tc>
          <w:tcPr>
            <w:tcW w:type="dxa" w:w="1440"/>
            <w:tcMar>
              <w:top w:w="80" w:type="dxa"/>
              <w:start w:w="90" w:type="dxa"/>
              <w:bottom w:w="80" w:type="dxa"/>
              <w:end w:w="90" w:type="dxa"/>
            </w:tcMar>
            <w:vAlign w:val="top"/>
            <w:shd w:fill="F7FAFC"/>
          </w:tcPr>
          <w:p>
            <w:r>
              <w:rPr>
                <w:rFonts w:ascii="Aptos" w:hAnsi="Aptos"/>
                <w:b w:val="0"/>
                <w:sz w:val="16"/>
              </w:rPr>
              <w:t>26</w:t>
            </w:r>
          </w:p>
        </w:tc>
        <w:tc>
          <w:tcPr>
            <w:tcW w:type="dxa" w:w="2880"/>
            <w:tcMar>
              <w:top w:w="80" w:type="dxa"/>
              <w:start w:w="90" w:type="dxa"/>
              <w:bottom w:w="80" w:type="dxa"/>
              <w:end w:w="90" w:type="dxa"/>
            </w:tcMar>
            <w:vAlign w:val="top"/>
            <w:shd w:fill="F7FAFC"/>
          </w:tcPr>
          <w:p>
            <w:r>
              <w:rPr>
                <w:rFonts w:ascii="Aptos" w:hAnsi="Aptos"/>
                <w:b w:val="0"/>
                <w:sz w:val="16"/>
              </w:rPr>
              <w:t>Analyst upward to Medium for concentrated geography not fully captured</w:t>
            </w:r>
          </w:p>
        </w:tc>
        <w:tc>
          <w:tcPr>
            <w:tcW w:type="dxa" w:w="1440"/>
            <w:tcMar>
              <w:top w:w="80" w:type="dxa"/>
              <w:start w:w="90" w:type="dxa"/>
              <w:bottom w:w="80" w:type="dxa"/>
              <w:end w:w="90" w:type="dxa"/>
            </w:tcMar>
            <w:vAlign w:val="top"/>
            <w:shd w:fill="F7FAFC"/>
          </w:tcPr>
          <w:p>
            <w:r>
              <w:rPr>
                <w:rFonts w:ascii="Aptos" w:hAnsi="Aptos"/>
                <w:b w:val="0"/>
                <w:sz w:val="16"/>
              </w:rPr>
              <w:t>Medium</w:t>
            </w:r>
          </w:p>
        </w:tc>
      </w:tr>
      <w:tr>
        <w:tc>
          <w:tcPr>
            <w:tcW w:type="dxa" w:w="3312"/>
            <w:tcMar>
              <w:top w:w="80" w:type="dxa"/>
              <w:start w:w="90" w:type="dxa"/>
              <w:bottom w:w="80" w:type="dxa"/>
              <w:end w:w="90" w:type="dxa"/>
            </w:tcMar>
            <w:vAlign w:val="top"/>
          </w:tcPr>
          <w:p>
            <w:r>
              <w:rPr>
                <w:rFonts w:ascii="Aptos" w:hAnsi="Aptos"/>
                <w:b w:val="0"/>
                <w:sz w:val="16"/>
              </w:rPr>
              <w:t>Confirmed PEP with transparent wealth</w:t>
            </w:r>
          </w:p>
        </w:tc>
        <w:tc>
          <w:tcPr>
            <w:tcW w:type="dxa" w:w="4320"/>
            <w:tcMar>
              <w:top w:w="80" w:type="dxa"/>
              <w:start w:w="90" w:type="dxa"/>
              <w:bottom w:w="80" w:type="dxa"/>
              <w:end w:w="90" w:type="dxa"/>
            </w:tcMar>
            <w:vAlign w:val="top"/>
          </w:tcPr>
          <w:p>
            <w:r>
              <w:rPr>
                <w:rFonts w:ascii="Aptos" w:hAnsi="Aptos"/>
                <w:b w:val="0"/>
                <w:sz w:val="16"/>
              </w:rPr>
              <w:t>Cust 8; Geo 5; Prod 4; Ch 1; Own 1; Beh 0</w:t>
            </w:r>
          </w:p>
        </w:tc>
        <w:tc>
          <w:tcPr>
            <w:tcW w:type="dxa" w:w="1440"/>
            <w:tcMar>
              <w:top w:w="80" w:type="dxa"/>
              <w:start w:w="90" w:type="dxa"/>
              <w:bottom w:w="80" w:type="dxa"/>
              <w:end w:w="90" w:type="dxa"/>
            </w:tcMar>
            <w:vAlign w:val="top"/>
          </w:tcPr>
          <w:p>
            <w:r>
              <w:rPr>
                <w:rFonts w:ascii="Aptos" w:hAnsi="Aptos"/>
                <w:b w:val="0"/>
                <w:sz w:val="16"/>
              </w:rPr>
              <w:t>19</w:t>
            </w:r>
          </w:p>
        </w:tc>
        <w:tc>
          <w:tcPr>
            <w:tcW w:type="dxa" w:w="2880"/>
            <w:tcMar>
              <w:top w:w="80" w:type="dxa"/>
              <w:start w:w="90" w:type="dxa"/>
              <w:bottom w:w="80" w:type="dxa"/>
              <w:end w:w="90" w:type="dxa"/>
            </w:tcMar>
            <w:vAlign w:val="top"/>
          </w:tcPr>
          <w:p>
            <w:r>
              <w:rPr>
                <w:rFonts w:ascii="Aptos" w:hAnsi="Aptos"/>
                <w:b w:val="0"/>
                <w:sz w:val="16"/>
              </w:rPr>
              <w:t>Mandatory High floor</w:t>
            </w:r>
          </w:p>
        </w:tc>
        <w:tc>
          <w:tcPr>
            <w:tcW w:type="dxa" w:w="1440"/>
            <w:tcMar>
              <w:top w:w="80" w:type="dxa"/>
              <w:start w:w="90" w:type="dxa"/>
              <w:bottom w:w="80" w:type="dxa"/>
              <w:end w:w="90" w:type="dxa"/>
            </w:tcMar>
            <w:vAlign w:val="top"/>
          </w:tcPr>
          <w:p>
            <w:r>
              <w:rPr>
                <w:rFonts w:ascii="Aptos" w:hAnsi="Aptos"/>
                <w:b w:val="0"/>
                <w:sz w:val="16"/>
              </w:rPr>
              <w:t>High</w:t>
            </w:r>
          </w:p>
        </w:tc>
      </w:tr>
      <w:tr>
        <w:tc>
          <w:tcPr>
            <w:tcW w:type="dxa" w:w="3312"/>
            <w:tcMar>
              <w:top w:w="80" w:type="dxa"/>
              <w:start w:w="90" w:type="dxa"/>
              <w:bottom w:w="80" w:type="dxa"/>
              <w:end w:w="90" w:type="dxa"/>
            </w:tcMar>
            <w:vAlign w:val="top"/>
            <w:shd w:fill="F7FAFC"/>
          </w:tcPr>
          <w:p>
            <w:r>
              <w:rPr>
                <w:rFonts w:ascii="Aptos" w:hAnsi="Aptos"/>
                <w:b w:val="0"/>
                <w:sz w:val="16"/>
              </w:rPr>
              <w:t>Layered company with unexplained nominee control</w:t>
            </w:r>
          </w:p>
        </w:tc>
        <w:tc>
          <w:tcPr>
            <w:tcW w:type="dxa" w:w="4320"/>
            <w:tcMar>
              <w:top w:w="80" w:type="dxa"/>
              <w:start w:w="90" w:type="dxa"/>
              <w:bottom w:w="80" w:type="dxa"/>
              <w:end w:w="90" w:type="dxa"/>
            </w:tcMar>
            <w:vAlign w:val="top"/>
            <w:shd w:fill="F7FAFC"/>
          </w:tcPr>
          <w:p>
            <w:r>
              <w:rPr>
                <w:rFonts w:ascii="Aptos" w:hAnsi="Aptos"/>
                <w:b w:val="0"/>
                <w:sz w:val="16"/>
              </w:rPr>
              <w:t>Cust 10; Geo 8; Prod 5; Ch 2; Own 14; Beh 3</w:t>
            </w:r>
          </w:p>
        </w:tc>
        <w:tc>
          <w:tcPr>
            <w:tcW w:type="dxa" w:w="1440"/>
            <w:tcMar>
              <w:top w:w="80" w:type="dxa"/>
              <w:start w:w="90" w:type="dxa"/>
              <w:bottom w:w="80" w:type="dxa"/>
              <w:end w:w="90" w:type="dxa"/>
            </w:tcMar>
            <w:vAlign w:val="top"/>
            <w:shd w:fill="F7FAFC"/>
          </w:tcPr>
          <w:p>
            <w:r>
              <w:rPr>
                <w:rFonts w:ascii="Aptos" w:hAnsi="Aptos"/>
                <w:b w:val="0"/>
                <w:sz w:val="16"/>
              </w:rPr>
              <w:t>42</w:t>
            </w:r>
          </w:p>
        </w:tc>
        <w:tc>
          <w:tcPr>
            <w:tcW w:type="dxa" w:w="2880"/>
            <w:tcMar>
              <w:top w:w="80" w:type="dxa"/>
              <w:start w:w="90" w:type="dxa"/>
              <w:bottom w:w="80" w:type="dxa"/>
              <w:end w:w="90" w:type="dxa"/>
            </w:tcMar>
            <w:vAlign w:val="top"/>
            <w:shd w:fill="F7FAFC"/>
          </w:tcPr>
          <w:p>
            <w:r>
              <w:rPr>
                <w:rFonts w:ascii="Aptos" w:hAnsi="Aptos"/>
                <w:b w:val="0"/>
                <w:sz w:val="16"/>
              </w:rPr>
              <w:t>Mandatory High floor</w:t>
            </w:r>
          </w:p>
        </w:tc>
        <w:tc>
          <w:tcPr>
            <w:tcW w:type="dxa" w:w="1440"/>
            <w:tcMar>
              <w:top w:w="80" w:type="dxa"/>
              <w:start w:w="90" w:type="dxa"/>
              <w:bottom w:w="80" w:type="dxa"/>
              <w:end w:w="90" w:type="dxa"/>
            </w:tcMar>
            <w:vAlign w:val="top"/>
            <w:shd w:fill="F7FAFC"/>
          </w:tcPr>
          <w:p>
            <w:r>
              <w:rPr>
                <w:rFonts w:ascii="Aptos" w:hAnsi="Aptos"/>
                <w:b w:val="0"/>
                <w:sz w:val="16"/>
              </w:rPr>
              <w:t>High</w:t>
            </w:r>
          </w:p>
        </w:tc>
      </w:tr>
      <w:tr>
        <w:tc>
          <w:tcPr>
            <w:tcW w:type="dxa" w:w="3312"/>
            <w:tcMar>
              <w:top w:w="80" w:type="dxa"/>
              <w:start w:w="90" w:type="dxa"/>
              <w:bottom w:w="80" w:type="dxa"/>
              <w:end w:w="90" w:type="dxa"/>
            </w:tcMar>
            <w:vAlign w:val="top"/>
          </w:tcPr>
          <w:p>
            <w:r>
              <w:rPr>
                <w:rFonts w:ascii="Aptos" w:hAnsi="Aptos"/>
                <w:b w:val="0"/>
                <w:sz w:val="16"/>
              </w:rPr>
              <w:t>Long-standing customer with substantiated rapid movement pattern</w:t>
            </w:r>
          </w:p>
        </w:tc>
        <w:tc>
          <w:tcPr>
            <w:tcW w:type="dxa" w:w="4320"/>
            <w:tcMar>
              <w:top w:w="80" w:type="dxa"/>
              <w:start w:w="90" w:type="dxa"/>
              <w:bottom w:w="80" w:type="dxa"/>
              <w:end w:w="90" w:type="dxa"/>
            </w:tcMar>
            <w:vAlign w:val="top"/>
          </w:tcPr>
          <w:p>
            <w:r>
              <w:rPr>
                <w:rFonts w:ascii="Aptos" w:hAnsi="Aptos"/>
                <w:b w:val="0"/>
                <w:sz w:val="16"/>
              </w:rPr>
              <w:t>Cust 4; Geo 2; Prod 6; Ch 1; Own 0; Beh 12</w:t>
            </w:r>
          </w:p>
        </w:tc>
        <w:tc>
          <w:tcPr>
            <w:tcW w:type="dxa" w:w="1440"/>
            <w:tcMar>
              <w:top w:w="80" w:type="dxa"/>
              <w:start w:w="90" w:type="dxa"/>
              <w:bottom w:w="80" w:type="dxa"/>
              <w:end w:w="90" w:type="dxa"/>
            </w:tcMar>
            <w:vAlign w:val="top"/>
          </w:tcPr>
          <w:p>
            <w:r>
              <w:rPr>
                <w:rFonts w:ascii="Aptos" w:hAnsi="Aptos"/>
                <w:b w:val="0"/>
                <w:sz w:val="16"/>
              </w:rPr>
              <w:t>25</w:t>
            </w:r>
          </w:p>
        </w:tc>
        <w:tc>
          <w:tcPr>
            <w:tcW w:type="dxa" w:w="2880"/>
            <w:tcMar>
              <w:top w:w="80" w:type="dxa"/>
              <w:start w:w="90" w:type="dxa"/>
              <w:bottom w:w="80" w:type="dxa"/>
              <w:end w:w="90" w:type="dxa"/>
            </w:tcMar>
            <w:vAlign w:val="top"/>
          </w:tcPr>
          <w:p>
            <w:r>
              <w:rPr>
                <w:rFonts w:ascii="Aptos" w:hAnsi="Aptos"/>
                <w:b w:val="0"/>
                <w:sz w:val="16"/>
              </w:rPr>
              <w:t>Upward to High after EDD residual risk</w:t>
            </w:r>
          </w:p>
        </w:tc>
        <w:tc>
          <w:tcPr>
            <w:tcW w:type="dxa" w:w="1440"/>
            <w:tcMar>
              <w:top w:w="80" w:type="dxa"/>
              <w:start w:w="90" w:type="dxa"/>
              <w:bottom w:w="80" w:type="dxa"/>
              <w:end w:w="90" w:type="dxa"/>
            </w:tcMar>
            <w:vAlign w:val="top"/>
          </w:tcPr>
          <w:p>
            <w:r>
              <w:rPr>
                <w:rFonts w:ascii="Aptos" w:hAnsi="Aptos"/>
                <w:b w:val="0"/>
                <w:sz w:val="16"/>
              </w:rPr>
              <w:t>High</w:t>
            </w:r>
          </w:p>
        </w:tc>
      </w:tr>
    </w:tbl>
    <w:p/>
    <w:p>
      <w:r>
        <w:br w:type="page"/>
      </w:r>
    </w:p>
    <w:p>
      <w:pPr>
        <w:pStyle w:val="Heading1"/>
      </w:pPr>
      <w:r>
        <w:t>Appendix B — Factor Documentation Checklist</w:t>
      </w:r>
    </w:p>
    <w:p>
      <w:pPr>
        <w:pStyle w:val="ControlBullet"/>
      </w:pPr>
      <w:r>
        <w:rPr>
          <w:b/>
        </w:rPr>
        <w:t xml:space="preserve">• </w:t>
      </w:r>
      <w:r>
        <w:t>Customer/business: activity description, occupation/industry, cash intensity, integrity indicators.</w:t>
      </w:r>
    </w:p>
    <w:p>
      <w:pPr>
        <w:pStyle w:val="ControlBullet"/>
      </w:pPr>
      <w:r>
        <w:rPr>
          <w:b/>
        </w:rPr>
        <w:t xml:space="preserve">• </w:t>
      </w:r>
      <w:r>
        <w:t>Geography: material residence/registration, operations, counterparties and fund-flow geographies.</w:t>
      </w:r>
    </w:p>
    <w:p>
      <w:pPr>
        <w:pStyle w:val="ControlBullet"/>
      </w:pPr>
      <w:r>
        <w:rPr>
          <w:b/>
        </w:rPr>
        <w:t xml:space="preserve">• </w:t>
      </w:r>
      <w:r>
        <w:t>Product: transaction capability, liquidity, third-party access and cross-border features.</w:t>
      </w:r>
    </w:p>
    <w:p>
      <w:pPr>
        <w:pStyle w:val="ControlBullet"/>
      </w:pPr>
      <w:r>
        <w:rPr>
          <w:b/>
        </w:rPr>
        <w:t xml:space="preserve">• </w:t>
      </w:r>
      <w:r>
        <w:t>Channel: onboarding method, intermediary reliance and control strength.</w:t>
      </w:r>
    </w:p>
    <w:p>
      <w:pPr>
        <w:pStyle w:val="ControlBullet"/>
      </w:pPr>
      <w:r>
        <w:rPr>
          <w:b/>
        </w:rPr>
        <w:t xml:space="preserve">• </w:t>
      </w:r>
      <w:r>
        <w:t>Ownership: percentage ownership, control rights, layers, trusts/nominees and transparency.</w:t>
      </w:r>
    </w:p>
    <w:p>
      <w:pPr>
        <w:pStyle w:val="ControlBullet"/>
      </w:pPr>
      <w:r>
        <w:rPr>
          <w:b/>
        </w:rPr>
        <w:t xml:space="preserve">• </w:t>
      </w:r>
      <w:r>
        <w:t>Behaviour: monitoring outcomes, profile deviations, rapid movement and unexplained third-party activity.</w:t>
      </w:r>
    </w:p>
    <w:p>
      <w:r>
        <w:br w:type="page"/>
      </w:r>
    </w:p>
    <w:p>
      <w:pPr>
        <w:pStyle w:val="Heading1"/>
      </w:pPr>
      <w:r>
        <w:t>Appendix C — Risk Rating Change Log Minimum Fields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312"/>
            <w:shd w:fill="17365D"/>
            <w:vAlign w:val="center"/>
            <w:tcMar>
              <w:top w:w="80" w:type="dxa"/>
              <w:start w:w="90" w:type="dxa"/>
              <w:bottom w:w="80" w:type="dxa"/>
              <w:end w:w="90" w:type="dxa"/>
            </w:tcMar>
          </w:tcPr>
          <w:p>
            <w:r>
              <w:rPr>
                <w:rFonts w:ascii="Aptos" w:hAnsi="Aptos"/>
                <w:b/>
                <w:color w:val="FFFFFF"/>
                <w:sz w:val="16"/>
              </w:rPr>
              <w:t>Field</w:t>
            </w:r>
          </w:p>
        </w:tc>
        <w:tc>
          <w:tcPr>
            <w:tcW w:type="dxa" w:w="7056"/>
            <w:shd w:fill="17365D"/>
            <w:vAlign w:val="center"/>
            <w:tcMar>
              <w:top w:w="80" w:type="dxa"/>
              <w:start w:w="90" w:type="dxa"/>
              <w:bottom w:w="80" w:type="dxa"/>
              <w:end w:w="90" w:type="dxa"/>
            </w:tcMar>
          </w:tcPr>
          <w:p>
            <w:r>
              <w:rPr>
                <w:rFonts w:ascii="Aptos" w:hAnsi="Aptos"/>
                <w:b/>
                <w:color w:val="FFFFFF"/>
                <w:sz w:val="16"/>
              </w:rPr>
              <w:t>Example</w:t>
            </w:r>
          </w:p>
        </w:tc>
      </w:tr>
      <w:tr>
        <w:tc>
          <w:tcPr>
            <w:tcW w:type="dxa" w:w="3312"/>
            <w:tcMar>
              <w:top w:w="80" w:type="dxa"/>
              <w:start w:w="90" w:type="dxa"/>
              <w:bottom w:w="80" w:type="dxa"/>
              <w:end w:w="90" w:type="dxa"/>
            </w:tcMar>
            <w:vAlign w:val="top"/>
          </w:tcPr>
          <w:p>
            <w:r>
              <w:rPr>
                <w:rFonts w:ascii="Aptos" w:hAnsi="Aptos"/>
                <w:b w:val="0"/>
                <w:sz w:val="16"/>
              </w:rPr>
              <w:t>Customer ID</w:t>
            </w:r>
          </w:p>
        </w:tc>
        <w:tc>
          <w:tcPr>
            <w:tcW w:type="dxa" w:w="7056"/>
            <w:tcMar>
              <w:top w:w="80" w:type="dxa"/>
              <w:start w:w="90" w:type="dxa"/>
              <w:bottom w:w="80" w:type="dxa"/>
              <w:end w:w="90" w:type="dxa"/>
            </w:tcMar>
            <w:vAlign w:val="top"/>
          </w:tcPr>
          <w:p>
            <w:r>
              <w:rPr>
                <w:rFonts w:ascii="Aptos" w:hAnsi="Aptos"/>
                <w:b w:val="0"/>
                <w:sz w:val="16"/>
              </w:rPr>
              <w:t>CIF-7K2P9M</w:t>
            </w:r>
          </w:p>
        </w:tc>
      </w:tr>
      <w:tr>
        <w:tc>
          <w:tcPr>
            <w:tcW w:type="dxa" w:w="3312"/>
            <w:tcMar>
              <w:top w:w="80" w:type="dxa"/>
              <w:start w:w="90" w:type="dxa"/>
              <w:bottom w:w="80" w:type="dxa"/>
              <w:end w:w="90" w:type="dxa"/>
            </w:tcMar>
            <w:vAlign w:val="top"/>
            <w:shd w:fill="F7FAFC"/>
          </w:tcPr>
          <w:p>
            <w:r>
              <w:rPr>
                <w:rFonts w:ascii="Aptos" w:hAnsi="Aptos"/>
                <w:b w:val="0"/>
                <w:sz w:val="16"/>
              </w:rPr>
              <w:t>Previous score / band</w:t>
            </w:r>
          </w:p>
        </w:tc>
        <w:tc>
          <w:tcPr>
            <w:tcW w:type="dxa" w:w="7056"/>
            <w:tcMar>
              <w:top w:w="80" w:type="dxa"/>
              <w:start w:w="90" w:type="dxa"/>
              <w:bottom w:w="80" w:type="dxa"/>
              <w:end w:w="90" w:type="dxa"/>
            </w:tcMar>
            <w:vAlign w:val="top"/>
            <w:shd w:fill="F7FAFC"/>
          </w:tcPr>
          <w:p>
            <w:r>
              <w:rPr>
                <w:rFonts w:ascii="Aptos" w:hAnsi="Aptos"/>
                <w:b w:val="0"/>
                <w:sz w:val="16"/>
              </w:rPr>
              <w:t>28 / Low</w:t>
            </w:r>
          </w:p>
        </w:tc>
      </w:tr>
      <w:tr>
        <w:tc>
          <w:tcPr>
            <w:tcW w:type="dxa" w:w="3312"/>
            <w:tcMar>
              <w:top w:w="80" w:type="dxa"/>
              <w:start w:w="90" w:type="dxa"/>
              <w:bottom w:w="80" w:type="dxa"/>
              <w:end w:w="90" w:type="dxa"/>
            </w:tcMar>
            <w:vAlign w:val="top"/>
          </w:tcPr>
          <w:p>
            <w:r>
              <w:rPr>
                <w:rFonts w:ascii="Aptos" w:hAnsi="Aptos"/>
                <w:b w:val="0"/>
                <w:sz w:val="16"/>
              </w:rPr>
              <w:t>New score / band</w:t>
            </w:r>
          </w:p>
        </w:tc>
        <w:tc>
          <w:tcPr>
            <w:tcW w:type="dxa" w:w="7056"/>
            <w:tcMar>
              <w:top w:w="80" w:type="dxa"/>
              <w:start w:w="90" w:type="dxa"/>
              <w:bottom w:w="80" w:type="dxa"/>
              <w:end w:w="90" w:type="dxa"/>
            </w:tcMar>
            <w:vAlign w:val="top"/>
          </w:tcPr>
          <w:p>
            <w:r>
              <w:rPr>
                <w:rFonts w:ascii="Aptos" w:hAnsi="Aptos"/>
                <w:b w:val="0"/>
                <w:sz w:val="16"/>
              </w:rPr>
              <w:t>46 / Medium</w:t>
            </w:r>
          </w:p>
        </w:tc>
      </w:tr>
      <w:tr>
        <w:tc>
          <w:tcPr>
            <w:tcW w:type="dxa" w:w="3312"/>
            <w:tcMar>
              <w:top w:w="80" w:type="dxa"/>
              <w:start w:w="90" w:type="dxa"/>
              <w:bottom w:w="80" w:type="dxa"/>
              <w:end w:w="90" w:type="dxa"/>
            </w:tcMar>
            <w:vAlign w:val="top"/>
            <w:shd w:fill="F7FAFC"/>
          </w:tcPr>
          <w:p>
            <w:r>
              <w:rPr>
                <w:rFonts w:ascii="Aptos" w:hAnsi="Aptos"/>
                <w:b w:val="0"/>
                <w:sz w:val="16"/>
              </w:rPr>
              <w:t>Trigger</w:t>
            </w:r>
          </w:p>
        </w:tc>
        <w:tc>
          <w:tcPr>
            <w:tcW w:type="dxa" w:w="7056"/>
            <w:tcMar>
              <w:top w:w="80" w:type="dxa"/>
              <w:start w:w="90" w:type="dxa"/>
              <w:bottom w:w="80" w:type="dxa"/>
              <w:end w:w="90" w:type="dxa"/>
            </w:tcMar>
            <w:vAlign w:val="top"/>
            <w:shd w:fill="F7FAFC"/>
          </w:tcPr>
          <w:p>
            <w:r>
              <w:rPr>
                <w:rFonts w:ascii="Aptos" w:hAnsi="Aptos"/>
                <w:b w:val="0"/>
                <w:sz w:val="16"/>
              </w:rPr>
              <w:t>New cross-border business activity</w:t>
            </w:r>
          </w:p>
        </w:tc>
      </w:tr>
      <w:tr>
        <w:tc>
          <w:tcPr>
            <w:tcW w:type="dxa" w:w="3312"/>
            <w:tcMar>
              <w:top w:w="80" w:type="dxa"/>
              <w:start w:w="90" w:type="dxa"/>
              <w:bottom w:w="80" w:type="dxa"/>
              <w:end w:w="90" w:type="dxa"/>
            </w:tcMar>
            <w:vAlign w:val="top"/>
          </w:tcPr>
          <w:p>
            <w:r>
              <w:rPr>
                <w:rFonts w:ascii="Aptos" w:hAnsi="Aptos"/>
                <w:b w:val="0"/>
                <w:sz w:val="16"/>
              </w:rPr>
              <w:t>Factors changed</w:t>
            </w:r>
          </w:p>
        </w:tc>
        <w:tc>
          <w:tcPr>
            <w:tcW w:type="dxa" w:w="7056"/>
            <w:tcMar>
              <w:top w:w="80" w:type="dxa"/>
              <w:start w:w="90" w:type="dxa"/>
              <w:bottom w:w="80" w:type="dxa"/>
              <w:end w:w="90" w:type="dxa"/>
            </w:tcMar>
            <w:vAlign w:val="top"/>
          </w:tcPr>
          <w:p>
            <w:r>
              <w:rPr>
                <w:rFonts w:ascii="Aptos" w:hAnsi="Aptos"/>
                <w:b w:val="0"/>
                <w:sz w:val="16"/>
              </w:rPr>
              <w:t>Geography +7; customer/business +5; product +6</w:t>
            </w:r>
          </w:p>
        </w:tc>
      </w:tr>
      <w:tr>
        <w:tc>
          <w:tcPr>
            <w:tcW w:type="dxa" w:w="3312"/>
            <w:tcMar>
              <w:top w:w="80" w:type="dxa"/>
              <w:start w:w="90" w:type="dxa"/>
              <w:bottom w:w="80" w:type="dxa"/>
              <w:end w:w="90" w:type="dxa"/>
            </w:tcMar>
            <w:vAlign w:val="top"/>
            <w:shd w:fill="F7FAFC"/>
          </w:tcPr>
          <w:p>
            <w:r>
              <w:rPr>
                <w:rFonts w:ascii="Aptos" w:hAnsi="Aptos"/>
                <w:b w:val="0"/>
                <w:sz w:val="16"/>
              </w:rPr>
              <w:t>Override/floor</w:t>
            </w:r>
          </w:p>
        </w:tc>
        <w:tc>
          <w:tcPr>
            <w:tcW w:type="dxa" w:w="7056"/>
            <w:tcMar>
              <w:top w:w="80" w:type="dxa"/>
              <w:start w:w="90" w:type="dxa"/>
              <w:bottom w:w="80" w:type="dxa"/>
              <w:end w:w="90" w:type="dxa"/>
            </w:tcMar>
            <w:vAlign w:val="top"/>
            <w:shd w:fill="F7FAFC"/>
          </w:tcPr>
          <w:p>
            <w:r>
              <w:rPr>
                <w:rFonts w:ascii="Aptos" w:hAnsi="Aptos"/>
                <w:b w:val="0"/>
                <w:sz w:val="16"/>
              </w:rPr>
              <w:t>None</w:t>
            </w:r>
          </w:p>
        </w:tc>
      </w:tr>
      <w:tr>
        <w:tc>
          <w:tcPr>
            <w:tcW w:type="dxa" w:w="3312"/>
            <w:tcMar>
              <w:top w:w="80" w:type="dxa"/>
              <w:start w:w="90" w:type="dxa"/>
              <w:bottom w:w="80" w:type="dxa"/>
              <w:end w:w="90" w:type="dxa"/>
            </w:tcMar>
            <w:vAlign w:val="top"/>
          </w:tcPr>
          <w:p>
            <w:r>
              <w:rPr>
                <w:rFonts w:ascii="Aptos" w:hAnsi="Aptos"/>
                <w:b w:val="0"/>
                <w:sz w:val="16"/>
              </w:rPr>
              <w:t>Methodology version</w:t>
            </w:r>
          </w:p>
        </w:tc>
        <w:tc>
          <w:tcPr>
            <w:tcW w:type="dxa" w:w="7056"/>
            <w:tcMar>
              <w:top w:w="80" w:type="dxa"/>
              <w:start w:w="90" w:type="dxa"/>
              <w:bottom w:w="80" w:type="dxa"/>
              <w:end w:w="90" w:type="dxa"/>
            </w:tcMar>
            <w:vAlign w:val="top"/>
          </w:tcPr>
          <w:p>
            <w:r>
              <w:rPr>
                <w:rFonts w:ascii="Aptos" w:hAnsi="Aptos"/>
                <w:b w:val="0"/>
                <w:sz w:val="16"/>
              </w:rPr>
              <w:t>CRR-033 v1.0</w:t>
            </w:r>
          </w:p>
        </w:tc>
      </w:tr>
      <w:tr>
        <w:tc>
          <w:tcPr>
            <w:tcW w:type="dxa" w:w="3312"/>
            <w:tcMar>
              <w:top w:w="80" w:type="dxa"/>
              <w:start w:w="90" w:type="dxa"/>
              <w:bottom w:w="80" w:type="dxa"/>
              <w:end w:w="90" w:type="dxa"/>
            </w:tcMar>
            <w:vAlign w:val="top"/>
            <w:shd w:fill="F7FAFC"/>
          </w:tcPr>
          <w:p>
            <w:r>
              <w:rPr>
                <w:rFonts w:ascii="Aptos" w:hAnsi="Aptos"/>
                <w:b w:val="0"/>
                <w:sz w:val="16"/>
              </w:rPr>
              <w:t>Reviewer / approval</w:t>
            </w:r>
          </w:p>
        </w:tc>
        <w:tc>
          <w:tcPr>
            <w:tcW w:type="dxa" w:w="7056"/>
            <w:tcMar>
              <w:top w:w="80" w:type="dxa"/>
              <w:start w:w="90" w:type="dxa"/>
              <w:bottom w:w="80" w:type="dxa"/>
              <w:end w:w="90" w:type="dxa"/>
            </w:tcMar>
            <w:vAlign w:val="top"/>
            <w:shd w:fill="F7FAFC"/>
          </w:tcPr>
          <w:p>
            <w:r>
              <w:rPr>
                <w:rFonts w:ascii="Aptos" w:hAnsi="Aptos"/>
                <w:b w:val="0"/>
                <w:sz w:val="16"/>
              </w:rPr>
              <w:t>AML Senior Analyst / Manager</w:t>
            </w:r>
          </w:p>
        </w:tc>
      </w:tr>
    </w:tbl>
    <w:p/>
    <w:p>
      <w:r>
        <w:br w:type="page"/>
      </w:r>
    </w:p>
    <w:p>
      <w:pPr>
        <w:pStyle w:val="Heading1"/>
      </w:pPr>
      <w:r>
        <w:t>Appendix D — Detailed Scoring Parameter Guide</w:t>
      </w:r>
    </w:p>
    <w:p>
      <w:r>
        <w:t>Point ranges are analyst guides within the factor caps. They do not replace mandatory floors, documented overrides or system parameter controls.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032"/>
            <w:shd w:fill="17365D"/>
            <w:tcMar>
              <w:top w:w="70" w:type="dxa"/>
              <w:start w:w="80" w:type="dxa"/>
              <w:bottom w:w="70" w:type="dxa"/>
              <w:end w:w="80" w:type="dxa"/>
            </w:tcMar>
          </w:tcPr>
          <w:p>
            <w:r>
              <w:rPr>
                <w:rFonts w:ascii="Aptos" w:hAnsi="Aptos"/>
                <w:b/>
                <w:color w:val="FFFFFF"/>
                <w:sz w:val="16"/>
              </w:rPr>
              <w:t>Factor / Driver</w:t>
            </w:r>
          </w:p>
        </w:tc>
        <w:tc>
          <w:tcPr>
            <w:tcW w:type="dxa" w:w="1728"/>
            <w:shd w:fill="17365D"/>
            <w:tcMar>
              <w:top w:w="70" w:type="dxa"/>
              <w:start w:w="80" w:type="dxa"/>
              <w:bottom w:w="70" w:type="dxa"/>
              <w:end w:w="80" w:type="dxa"/>
            </w:tcMar>
          </w:tcPr>
          <w:p>
            <w:r>
              <w:rPr>
                <w:rFonts w:ascii="Aptos" w:hAnsi="Aptos"/>
                <w:b/>
                <w:color w:val="FFFFFF"/>
                <w:sz w:val="16"/>
              </w:rPr>
              <w:t>Point Guide</w:t>
            </w:r>
          </w:p>
        </w:tc>
        <w:tc>
          <w:tcPr>
            <w:tcW w:type="dxa" w:w="4608"/>
            <w:shd w:fill="17365D"/>
            <w:tcMar>
              <w:top w:w="70" w:type="dxa"/>
              <w:start w:w="80" w:type="dxa"/>
              <w:bottom w:w="70" w:type="dxa"/>
              <w:end w:w="80" w:type="dxa"/>
            </w:tcMar>
          </w:tcPr>
          <w:p>
            <w:r>
              <w:rPr>
                <w:rFonts w:ascii="Aptos" w:hAnsi="Aptos"/>
                <w:b/>
                <w:color w:val="FFFFFF"/>
                <w:sz w:val="16"/>
              </w:rPr>
              <w:t>Interpretation</w:t>
            </w:r>
          </w:p>
        </w:tc>
      </w:tr>
      <w:tr>
        <w:tc>
          <w:tcPr>
            <w:tcW w:type="dxa" w:w="4032"/>
            <w:tcMar>
              <w:top w:w="70" w:type="dxa"/>
              <w:start w:w="80" w:type="dxa"/>
              <w:bottom w:w="70" w:type="dxa"/>
              <w:end w:w="80" w:type="dxa"/>
            </w:tcMar>
            <w:vAlign w:val="top"/>
          </w:tcPr>
          <w:p>
            <w:r>
              <w:rPr>
                <w:rFonts w:ascii="Aptos" w:hAnsi="Aptos"/>
                <w:b w:val="0"/>
                <w:sz w:val="16"/>
              </w:rPr>
              <w:t>Customer — ordinary salaried</w:t>
            </w:r>
          </w:p>
        </w:tc>
        <w:tc>
          <w:tcPr>
            <w:tcW w:type="dxa" w:w="1728"/>
            <w:tcMar>
              <w:top w:w="70" w:type="dxa"/>
              <w:start w:w="80" w:type="dxa"/>
              <w:bottom w:w="70" w:type="dxa"/>
              <w:end w:w="80" w:type="dxa"/>
            </w:tcMar>
            <w:vAlign w:val="top"/>
          </w:tcPr>
          <w:p>
            <w:r>
              <w:rPr>
                <w:rFonts w:ascii="Aptos" w:hAnsi="Aptos"/>
                <w:b w:val="0"/>
                <w:sz w:val="16"/>
              </w:rPr>
              <w:t>0–2</w:t>
            </w:r>
          </w:p>
        </w:tc>
        <w:tc>
          <w:tcPr>
            <w:tcW w:type="dxa" w:w="4608"/>
            <w:tcMar>
              <w:top w:w="70" w:type="dxa"/>
              <w:start w:w="80" w:type="dxa"/>
              <w:bottom w:w="70" w:type="dxa"/>
              <w:end w:w="80" w:type="dxa"/>
            </w:tcMar>
            <w:vAlign w:val="top"/>
          </w:tcPr>
          <w:p>
            <w:r>
              <w:rPr>
                <w:rFonts w:ascii="Aptos" w:hAnsi="Aptos"/>
                <w:b w:val="0"/>
                <w:sz w:val="16"/>
              </w:rPr>
              <w:t>Stable employment; ordinary financial purpose; no material integrity indicators.</w:t>
            </w:r>
          </w:p>
        </w:tc>
      </w:tr>
      <w:tr>
        <w:tc>
          <w:tcPr>
            <w:tcW w:type="dxa" w:w="4032"/>
            <w:tcMar>
              <w:top w:w="70" w:type="dxa"/>
              <w:start w:w="80" w:type="dxa"/>
              <w:bottom w:w="70" w:type="dxa"/>
              <w:end w:w="80" w:type="dxa"/>
            </w:tcMar>
            <w:vAlign w:val="top"/>
            <w:shd w:fill="F7FAFC"/>
          </w:tcPr>
          <w:p>
            <w:r>
              <w:rPr>
                <w:rFonts w:ascii="Aptos" w:hAnsi="Aptos"/>
                <w:b w:val="0"/>
                <w:sz w:val="16"/>
              </w:rPr>
              <w:t>Customer — senior professional / higher income</w:t>
            </w:r>
          </w:p>
        </w:tc>
        <w:tc>
          <w:tcPr>
            <w:tcW w:type="dxa" w:w="1728"/>
            <w:tcMar>
              <w:top w:w="70" w:type="dxa"/>
              <w:start w:w="80" w:type="dxa"/>
              <w:bottom w:w="70" w:type="dxa"/>
              <w:end w:w="80" w:type="dxa"/>
            </w:tcMar>
            <w:vAlign w:val="top"/>
            <w:shd w:fill="F7FAFC"/>
          </w:tcPr>
          <w:p>
            <w:r>
              <w:rPr>
                <w:rFonts w:ascii="Aptos" w:hAnsi="Aptos"/>
                <w:b w:val="0"/>
                <w:sz w:val="16"/>
              </w:rPr>
              <w:t>1–4</w:t>
            </w:r>
          </w:p>
        </w:tc>
        <w:tc>
          <w:tcPr>
            <w:tcW w:type="dxa" w:w="4608"/>
            <w:tcMar>
              <w:top w:w="70" w:type="dxa"/>
              <w:start w:w="80" w:type="dxa"/>
              <w:bottom w:w="70" w:type="dxa"/>
              <w:end w:w="80" w:type="dxa"/>
            </w:tcMar>
            <w:vAlign w:val="top"/>
            <w:shd w:fill="F7FAFC"/>
          </w:tcPr>
          <w:p>
            <w:r>
              <w:rPr>
                <w:rFonts w:ascii="Aptos" w:hAnsi="Aptos"/>
                <w:b w:val="0"/>
                <w:sz w:val="16"/>
              </w:rPr>
              <w:t>Income level alone is not high AML risk; consider complexity and activity.</w:t>
            </w:r>
          </w:p>
        </w:tc>
      </w:tr>
      <w:tr>
        <w:tc>
          <w:tcPr>
            <w:tcW w:type="dxa" w:w="4032"/>
            <w:tcMar>
              <w:top w:w="70" w:type="dxa"/>
              <w:start w:w="80" w:type="dxa"/>
              <w:bottom w:w="70" w:type="dxa"/>
              <w:end w:w="80" w:type="dxa"/>
            </w:tcMar>
            <w:vAlign w:val="top"/>
          </w:tcPr>
          <w:p>
            <w:r>
              <w:rPr>
                <w:rFonts w:ascii="Aptos" w:hAnsi="Aptos"/>
                <w:b w:val="0"/>
                <w:sz w:val="16"/>
              </w:rPr>
              <w:t>Customer — self-employed / small business</w:t>
            </w:r>
          </w:p>
        </w:tc>
        <w:tc>
          <w:tcPr>
            <w:tcW w:type="dxa" w:w="1728"/>
            <w:tcMar>
              <w:top w:w="70" w:type="dxa"/>
              <w:start w:w="80" w:type="dxa"/>
              <w:bottom w:w="70" w:type="dxa"/>
              <w:end w:w="80" w:type="dxa"/>
            </w:tcMar>
            <w:vAlign w:val="top"/>
          </w:tcPr>
          <w:p>
            <w:r>
              <w:rPr>
                <w:rFonts w:ascii="Aptos" w:hAnsi="Aptos"/>
                <w:b w:val="0"/>
                <w:sz w:val="16"/>
              </w:rPr>
              <w:t>3–8</w:t>
            </w:r>
          </w:p>
        </w:tc>
        <w:tc>
          <w:tcPr>
            <w:tcW w:type="dxa" w:w="4608"/>
            <w:tcMar>
              <w:top w:w="70" w:type="dxa"/>
              <w:start w:w="80" w:type="dxa"/>
              <w:bottom w:w="70" w:type="dxa"/>
              <w:end w:w="80" w:type="dxa"/>
            </w:tcMar>
            <w:vAlign w:val="top"/>
          </w:tcPr>
          <w:p>
            <w:r>
              <w:rPr>
                <w:rFonts w:ascii="Aptos" w:hAnsi="Aptos"/>
                <w:b w:val="0"/>
                <w:sz w:val="16"/>
              </w:rPr>
              <w:t>Depends on business transparency, cash intensity and counterparties.</w:t>
            </w:r>
          </w:p>
        </w:tc>
      </w:tr>
      <w:tr>
        <w:tc>
          <w:tcPr>
            <w:tcW w:type="dxa" w:w="4032"/>
            <w:tcMar>
              <w:top w:w="70" w:type="dxa"/>
              <w:start w:w="80" w:type="dxa"/>
              <w:bottom w:w="70" w:type="dxa"/>
              <w:end w:w="80" w:type="dxa"/>
            </w:tcMar>
            <w:vAlign w:val="top"/>
            <w:shd w:fill="F7FAFC"/>
          </w:tcPr>
          <w:p>
            <w:r>
              <w:rPr>
                <w:rFonts w:ascii="Aptos" w:hAnsi="Aptos"/>
                <w:b w:val="0"/>
                <w:sz w:val="16"/>
              </w:rPr>
              <w:t>Customer — cash-intensive business</w:t>
            </w:r>
          </w:p>
        </w:tc>
        <w:tc>
          <w:tcPr>
            <w:tcW w:type="dxa" w:w="1728"/>
            <w:tcMar>
              <w:top w:w="70" w:type="dxa"/>
              <w:start w:w="80" w:type="dxa"/>
              <w:bottom w:w="70" w:type="dxa"/>
              <w:end w:w="80" w:type="dxa"/>
            </w:tcMar>
            <w:vAlign w:val="top"/>
            <w:shd w:fill="F7FAFC"/>
          </w:tcPr>
          <w:p>
            <w:r>
              <w:rPr>
                <w:rFonts w:ascii="Aptos" w:hAnsi="Aptos"/>
                <w:b w:val="0"/>
                <w:sz w:val="16"/>
              </w:rPr>
              <w:t>8–15</w:t>
            </w:r>
          </w:p>
        </w:tc>
        <w:tc>
          <w:tcPr>
            <w:tcW w:type="dxa" w:w="4608"/>
            <w:tcMar>
              <w:top w:w="70" w:type="dxa"/>
              <w:start w:w="80" w:type="dxa"/>
              <w:bottom w:w="70" w:type="dxa"/>
              <w:end w:w="80" w:type="dxa"/>
            </w:tcMar>
            <w:vAlign w:val="top"/>
            <w:shd w:fill="F7FAFC"/>
          </w:tcPr>
          <w:p>
            <w:r>
              <w:rPr>
                <w:rFonts w:ascii="Aptos" w:hAnsi="Aptos"/>
                <w:b w:val="0"/>
                <w:sz w:val="16"/>
              </w:rPr>
              <w:t>Higher misuse risk; evidence of normal operations may moderate score.</w:t>
            </w:r>
          </w:p>
        </w:tc>
      </w:tr>
      <w:tr>
        <w:tc>
          <w:tcPr>
            <w:tcW w:type="dxa" w:w="4032"/>
            <w:tcMar>
              <w:top w:w="70" w:type="dxa"/>
              <w:start w:w="80" w:type="dxa"/>
              <w:bottom w:w="70" w:type="dxa"/>
              <w:end w:w="80" w:type="dxa"/>
            </w:tcMar>
            <w:vAlign w:val="top"/>
          </w:tcPr>
          <w:p>
            <w:r>
              <w:rPr>
                <w:rFonts w:ascii="Aptos" w:hAnsi="Aptos"/>
                <w:b w:val="0"/>
                <w:sz w:val="16"/>
              </w:rPr>
              <w:t>Customer — financial intermediary / complex business</w:t>
            </w:r>
          </w:p>
        </w:tc>
        <w:tc>
          <w:tcPr>
            <w:tcW w:type="dxa" w:w="1728"/>
            <w:tcMar>
              <w:top w:w="70" w:type="dxa"/>
              <w:start w:w="80" w:type="dxa"/>
              <w:bottom w:w="70" w:type="dxa"/>
              <w:end w:w="80" w:type="dxa"/>
            </w:tcMar>
            <w:vAlign w:val="top"/>
          </w:tcPr>
          <w:p>
            <w:r>
              <w:rPr>
                <w:rFonts w:ascii="Aptos" w:hAnsi="Aptos"/>
                <w:b w:val="0"/>
                <w:sz w:val="16"/>
              </w:rPr>
              <w:t>10–20</w:t>
            </w:r>
          </w:p>
        </w:tc>
        <w:tc>
          <w:tcPr>
            <w:tcW w:type="dxa" w:w="4608"/>
            <w:tcMar>
              <w:top w:w="70" w:type="dxa"/>
              <w:start w:w="80" w:type="dxa"/>
              <w:bottom w:w="70" w:type="dxa"/>
              <w:end w:w="80" w:type="dxa"/>
            </w:tcMar>
            <w:vAlign w:val="top"/>
          </w:tcPr>
          <w:p>
            <w:r>
              <w:rPr>
                <w:rFonts w:ascii="Aptos" w:hAnsi="Aptos"/>
                <w:b w:val="0"/>
                <w:sz w:val="16"/>
              </w:rPr>
              <w:t>Assess transaction purpose, customers, controls and licensing/standing internally.</w:t>
            </w:r>
          </w:p>
        </w:tc>
      </w:tr>
      <w:tr>
        <w:tc>
          <w:tcPr>
            <w:tcW w:type="dxa" w:w="4032"/>
            <w:tcMar>
              <w:top w:w="70" w:type="dxa"/>
              <w:start w:w="80" w:type="dxa"/>
              <w:bottom w:w="70" w:type="dxa"/>
              <w:end w:w="80" w:type="dxa"/>
            </w:tcMar>
            <w:vAlign w:val="top"/>
            <w:shd w:fill="F7FAFC"/>
          </w:tcPr>
          <w:p>
            <w:r>
              <w:rPr>
                <w:rFonts w:ascii="Aptos" w:hAnsi="Aptos"/>
                <w:b w:val="0"/>
                <w:sz w:val="16"/>
              </w:rPr>
              <w:t>Customer — serious adverse integrity information</w:t>
            </w:r>
          </w:p>
        </w:tc>
        <w:tc>
          <w:tcPr>
            <w:tcW w:type="dxa" w:w="1728"/>
            <w:tcMar>
              <w:top w:w="70" w:type="dxa"/>
              <w:start w:w="80" w:type="dxa"/>
              <w:bottom w:w="70" w:type="dxa"/>
              <w:end w:w="80" w:type="dxa"/>
            </w:tcMar>
            <w:vAlign w:val="top"/>
            <w:shd w:fill="F7FAFC"/>
          </w:tcPr>
          <w:p>
            <w:r>
              <w:rPr>
                <w:rFonts w:ascii="Aptos" w:hAnsi="Aptos"/>
                <w:b w:val="0"/>
                <w:sz w:val="16"/>
              </w:rPr>
              <w:t>15–25</w:t>
            </w:r>
          </w:p>
        </w:tc>
        <w:tc>
          <w:tcPr>
            <w:tcW w:type="dxa" w:w="4608"/>
            <w:tcMar>
              <w:top w:w="70" w:type="dxa"/>
              <w:start w:w="80" w:type="dxa"/>
              <w:bottom w:w="70" w:type="dxa"/>
              <w:end w:w="80" w:type="dxa"/>
            </w:tcMar>
            <w:vAlign w:val="top"/>
            <w:shd w:fill="F7FAFC"/>
          </w:tcPr>
          <w:p>
            <w:r>
              <w:rPr>
                <w:rFonts w:ascii="Aptos" w:hAnsi="Aptos"/>
                <w:b w:val="0"/>
                <w:sz w:val="16"/>
              </w:rPr>
              <w:t>May also create mandatory High floor.</w:t>
            </w:r>
          </w:p>
        </w:tc>
      </w:tr>
      <w:tr>
        <w:tc>
          <w:tcPr>
            <w:tcW w:type="dxa" w:w="4032"/>
            <w:tcMar>
              <w:top w:w="70" w:type="dxa"/>
              <w:start w:w="80" w:type="dxa"/>
              <w:bottom w:w="70" w:type="dxa"/>
              <w:end w:w="80" w:type="dxa"/>
            </w:tcMar>
            <w:vAlign w:val="top"/>
          </w:tcPr>
          <w:p>
            <w:r>
              <w:rPr>
                <w:rFonts w:ascii="Aptos" w:hAnsi="Aptos"/>
                <w:b w:val="0"/>
                <w:sz w:val="16"/>
              </w:rPr>
              <w:t>Geography — low-risk domestic core activity</w:t>
            </w:r>
          </w:p>
        </w:tc>
        <w:tc>
          <w:tcPr>
            <w:tcW w:type="dxa" w:w="1728"/>
            <w:tcMar>
              <w:top w:w="70" w:type="dxa"/>
              <w:start w:w="80" w:type="dxa"/>
              <w:bottom w:w="70" w:type="dxa"/>
              <w:end w:w="80" w:type="dxa"/>
            </w:tcMar>
            <w:vAlign w:val="top"/>
          </w:tcPr>
          <w:p>
            <w:r>
              <w:rPr>
                <w:rFonts w:ascii="Aptos" w:hAnsi="Aptos"/>
                <w:b w:val="0"/>
                <w:sz w:val="16"/>
              </w:rPr>
              <w:t>0–2</w:t>
            </w:r>
          </w:p>
        </w:tc>
        <w:tc>
          <w:tcPr>
            <w:tcW w:type="dxa" w:w="4608"/>
            <w:tcMar>
              <w:top w:w="70" w:type="dxa"/>
              <w:start w:w="80" w:type="dxa"/>
              <w:bottom w:w="70" w:type="dxa"/>
              <w:end w:w="80" w:type="dxa"/>
            </w:tcMar>
            <w:vAlign w:val="top"/>
          </w:tcPr>
          <w:p>
            <w:r>
              <w:rPr>
                <w:rFonts w:ascii="Aptos" w:hAnsi="Aptos"/>
                <w:b w:val="0"/>
                <w:sz w:val="16"/>
              </w:rPr>
              <w:t>Ordinary domestic linkage.</w:t>
            </w:r>
          </w:p>
        </w:tc>
      </w:tr>
      <w:tr>
        <w:tc>
          <w:tcPr>
            <w:tcW w:type="dxa" w:w="4032"/>
            <w:tcMar>
              <w:top w:w="70" w:type="dxa"/>
              <w:start w:w="80" w:type="dxa"/>
              <w:bottom w:w="70" w:type="dxa"/>
              <w:end w:w="80" w:type="dxa"/>
            </w:tcMar>
            <w:vAlign w:val="top"/>
            <w:shd w:fill="F7FAFC"/>
          </w:tcPr>
          <w:p>
            <w:r>
              <w:rPr>
                <w:rFonts w:ascii="Aptos" w:hAnsi="Aptos"/>
                <w:b w:val="0"/>
                <w:sz w:val="16"/>
              </w:rPr>
              <w:t>Geography — moderate cross-border activity</w:t>
            </w:r>
          </w:p>
        </w:tc>
        <w:tc>
          <w:tcPr>
            <w:tcW w:type="dxa" w:w="1728"/>
            <w:tcMar>
              <w:top w:w="70" w:type="dxa"/>
              <w:start w:w="80" w:type="dxa"/>
              <w:bottom w:w="70" w:type="dxa"/>
              <w:end w:w="80" w:type="dxa"/>
            </w:tcMar>
            <w:vAlign w:val="top"/>
            <w:shd w:fill="F7FAFC"/>
          </w:tcPr>
          <w:p>
            <w:r>
              <w:rPr>
                <w:rFonts w:ascii="Aptos" w:hAnsi="Aptos"/>
                <w:b w:val="0"/>
                <w:sz w:val="16"/>
              </w:rPr>
              <w:t>3–7</w:t>
            </w:r>
          </w:p>
        </w:tc>
        <w:tc>
          <w:tcPr>
            <w:tcW w:type="dxa" w:w="4608"/>
            <w:tcMar>
              <w:top w:w="70" w:type="dxa"/>
              <w:start w:w="80" w:type="dxa"/>
              <w:bottom w:w="70" w:type="dxa"/>
              <w:end w:w="80" w:type="dxa"/>
            </w:tcMar>
            <w:vAlign w:val="top"/>
            <w:shd w:fill="F7FAFC"/>
          </w:tcPr>
          <w:p>
            <w:r>
              <w:rPr>
                <w:rFonts w:ascii="Aptos" w:hAnsi="Aptos"/>
                <w:b w:val="0"/>
                <w:sz w:val="16"/>
              </w:rPr>
              <w:t>Transparent counterparties and purpose may remain Medium.</w:t>
            </w:r>
          </w:p>
        </w:tc>
      </w:tr>
      <w:tr>
        <w:tc>
          <w:tcPr>
            <w:tcW w:type="dxa" w:w="4032"/>
            <w:tcMar>
              <w:top w:w="70" w:type="dxa"/>
              <w:start w:w="80" w:type="dxa"/>
              <w:bottom w:w="70" w:type="dxa"/>
              <w:end w:w="80" w:type="dxa"/>
            </w:tcMar>
            <w:vAlign w:val="top"/>
          </w:tcPr>
          <w:p>
            <w:r>
              <w:rPr>
                <w:rFonts w:ascii="Aptos" w:hAnsi="Aptos"/>
                <w:b w:val="0"/>
                <w:sz w:val="16"/>
              </w:rPr>
              <w:t>Geography — multiple elevated-risk corridors</w:t>
            </w:r>
          </w:p>
        </w:tc>
        <w:tc>
          <w:tcPr>
            <w:tcW w:type="dxa" w:w="1728"/>
            <w:tcMar>
              <w:top w:w="70" w:type="dxa"/>
              <w:start w:w="80" w:type="dxa"/>
              <w:bottom w:w="70" w:type="dxa"/>
              <w:end w:w="80" w:type="dxa"/>
            </w:tcMar>
            <w:vAlign w:val="top"/>
          </w:tcPr>
          <w:p>
            <w:r>
              <w:rPr>
                <w:rFonts w:ascii="Aptos" w:hAnsi="Aptos"/>
                <w:b w:val="0"/>
                <w:sz w:val="16"/>
              </w:rPr>
              <w:t>7–13</w:t>
            </w:r>
          </w:p>
        </w:tc>
        <w:tc>
          <w:tcPr>
            <w:tcW w:type="dxa" w:w="4608"/>
            <w:tcMar>
              <w:top w:w="70" w:type="dxa"/>
              <w:start w:w="80" w:type="dxa"/>
              <w:bottom w:w="70" w:type="dxa"/>
              <w:end w:w="80" w:type="dxa"/>
            </w:tcMar>
            <w:vAlign w:val="top"/>
          </w:tcPr>
          <w:p>
            <w:r>
              <w:rPr>
                <w:rFonts w:ascii="Aptos" w:hAnsi="Aptos"/>
                <w:b w:val="0"/>
                <w:sz w:val="16"/>
              </w:rPr>
              <w:t>Score based on materiality and frequency.</w:t>
            </w:r>
          </w:p>
        </w:tc>
      </w:tr>
      <w:tr>
        <w:tc>
          <w:tcPr>
            <w:tcW w:type="dxa" w:w="4032"/>
            <w:tcMar>
              <w:top w:w="70" w:type="dxa"/>
              <w:start w:w="80" w:type="dxa"/>
              <w:bottom w:w="70" w:type="dxa"/>
              <w:end w:w="80" w:type="dxa"/>
            </w:tcMar>
            <w:vAlign w:val="top"/>
            <w:shd w:fill="F7FAFC"/>
          </w:tcPr>
          <w:p>
            <w:r>
              <w:rPr>
                <w:rFonts w:ascii="Aptos" w:hAnsi="Aptos"/>
                <w:b w:val="0"/>
                <w:sz w:val="16"/>
              </w:rPr>
              <w:t>Geography — material high-risk nexus</w:t>
            </w:r>
          </w:p>
        </w:tc>
        <w:tc>
          <w:tcPr>
            <w:tcW w:type="dxa" w:w="1728"/>
            <w:tcMar>
              <w:top w:w="70" w:type="dxa"/>
              <w:start w:w="80" w:type="dxa"/>
              <w:bottom w:w="70" w:type="dxa"/>
              <w:end w:w="80" w:type="dxa"/>
            </w:tcMar>
            <w:vAlign w:val="top"/>
            <w:shd w:fill="F7FAFC"/>
          </w:tcPr>
          <w:p>
            <w:r>
              <w:rPr>
                <w:rFonts w:ascii="Aptos" w:hAnsi="Aptos"/>
                <w:b w:val="0"/>
                <w:sz w:val="16"/>
              </w:rPr>
              <w:t>12–20</w:t>
            </w:r>
          </w:p>
        </w:tc>
        <w:tc>
          <w:tcPr>
            <w:tcW w:type="dxa" w:w="4608"/>
            <w:tcMar>
              <w:top w:w="70" w:type="dxa"/>
              <w:start w:w="80" w:type="dxa"/>
              <w:bottom w:w="70" w:type="dxa"/>
              <w:end w:w="80" w:type="dxa"/>
            </w:tcMar>
            <w:vAlign w:val="top"/>
            <w:shd w:fill="F7FAFC"/>
          </w:tcPr>
          <w:p>
            <w:r>
              <w:rPr>
                <w:rFonts w:ascii="Aptos" w:hAnsi="Aptos"/>
                <w:b w:val="0"/>
                <w:sz w:val="16"/>
              </w:rPr>
              <w:t>May create mandatory High floor.</w:t>
            </w:r>
          </w:p>
        </w:tc>
      </w:tr>
      <w:tr>
        <w:tc>
          <w:tcPr>
            <w:tcW w:type="dxa" w:w="4032"/>
            <w:tcMar>
              <w:top w:w="70" w:type="dxa"/>
              <w:start w:w="80" w:type="dxa"/>
              <w:bottom w:w="70" w:type="dxa"/>
              <w:end w:w="80" w:type="dxa"/>
            </w:tcMar>
            <w:vAlign w:val="top"/>
          </w:tcPr>
          <w:p>
            <w:r>
              <w:rPr>
                <w:rFonts w:ascii="Aptos" w:hAnsi="Aptos"/>
                <w:b w:val="0"/>
                <w:sz w:val="16"/>
              </w:rPr>
              <w:t>Product — controlled term lending</w:t>
            </w:r>
          </w:p>
        </w:tc>
        <w:tc>
          <w:tcPr>
            <w:tcW w:type="dxa" w:w="1728"/>
            <w:tcMar>
              <w:top w:w="70" w:type="dxa"/>
              <w:start w:w="80" w:type="dxa"/>
              <w:bottom w:w="70" w:type="dxa"/>
              <w:end w:w="80" w:type="dxa"/>
            </w:tcMar>
            <w:vAlign w:val="top"/>
          </w:tcPr>
          <w:p>
            <w:r>
              <w:rPr>
                <w:rFonts w:ascii="Aptos" w:hAnsi="Aptos"/>
                <w:b w:val="0"/>
                <w:sz w:val="16"/>
              </w:rPr>
              <w:t>0–3</w:t>
            </w:r>
          </w:p>
        </w:tc>
        <w:tc>
          <w:tcPr>
            <w:tcW w:type="dxa" w:w="4608"/>
            <w:tcMar>
              <w:top w:w="70" w:type="dxa"/>
              <w:start w:w="80" w:type="dxa"/>
              <w:bottom w:w="70" w:type="dxa"/>
              <w:end w:w="80" w:type="dxa"/>
            </w:tcMar>
            <w:vAlign w:val="top"/>
          </w:tcPr>
          <w:p>
            <w:r>
              <w:rPr>
                <w:rFonts w:ascii="Aptos" w:hAnsi="Aptos"/>
                <w:b w:val="0"/>
                <w:sz w:val="16"/>
              </w:rPr>
              <w:t>Limited transaction functionality.</w:t>
            </w:r>
          </w:p>
        </w:tc>
      </w:tr>
      <w:tr>
        <w:tc>
          <w:tcPr>
            <w:tcW w:type="dxa" w:w="4032"/>
            <w:tcMar>
              <w:top w:w="70" w:type="dxa"/>
              <w:start w:w="80" w:type="dxa"/>
              <w:bottom w:w="70" w:type="dxa"/>
              <w:end w:w="80" w:type="dxa"/>
            </w:tcMar>
            <w:vAlign w:val="top"/>
            <w:shd w:fill="F7FAFC"/>
          </w:tcPr>
          <w:p>
            <w:r>
              <w:rPr>
                <w:rFonts w:ascii="Aptos" w:hAnsi="Aptos"/>
                <w:b w:val="0"/>
                <w:sz w:val="16"/>
              </w:rPr>
              <w:t>Product — standard deposit/transactional use</w:t>
            </w:r>
          </w:p>
        </w:tc>
        <w:tc>
          <w:tcPr>
            <w:tcW w:type="dxa" w:w="1728"/>
            <w:tcMar>
              <w:top w:w="70" w:type="dxa"/>
              <w:start w:w="80" w:type="dxa"/>
              <w:bottom w:w="70" w:type="dxa"/>
              <w:end w:w="80" w:type="dxa"/>
            </w:tcMar>
            <w:vAlign w:val="top"/>
            <w:shd w:fill="F7FAFC"/>
          </w:tcPr>
          <w:p>
            <w:r>
              <w:rPr>
                <w:rFonts w:ascii="Aptos" w:hAnsi="Aptos"/>
                <w:b w:val="0"/>
                <w:sz w:val="16"/>
              </w:rPr>
              <w:t>2–6</w:t>
            </w:r>
          </w:p>
        </w:tc>
        <w:tc>
          <w:tcPr>
            <w:tcW w:type="dxa" w:w="4608"/>
            <w:tcMar>
              <w:top w:w="70" w:type="dxa"/>
              <w:start w:w="80" w:type="dxa"/>
              <w:bottom w:w="70" w:type="dxa"/>
              <w:end w:w="80" w:type="dxa"/>
            </w:tcMar>
            <w:vAlign w:val="top"/>
            <w:shd w:fill="F7FAFC"/>
          </w:tcPr>
          <w:p>
            <w:r>
              <w:rPr>
                <w:rFonts w:ascii="Aptos" w:hAnsi="Aptos"/>
                <w:b w:val="0"/>
                <w:sz w:val="16"/>
              </w:rPr>
              <w:t>Consider third-party capability and value.</w:t>
            </w:r>
          </w:p>
        </w:tc>
      </w:tr>
      <w:tr>
        <w:tc>
          <w:tcPr>
            <w:tcW w:type="dxa" w:w="4032"/>
            <w:tcMar>
              <w:top w:w="70" w:type="dxa"/>
              <w:start w:w="80" w:type="dxa"/>
              <w:bottom w:w="70" w:type="dxa"/>
              <w:end w:w="80" w:type="dxa"/>
            </w:tcMar>
            <w:vAlign w:val="top"/>
          </w:tcPr>
          <w:p>
            <w:r>
              <w:rPr>
                <w:rFonts w:ascii="Aptos" w:hAnsi="Aptos"/>
                <w:b w:val="0"/>
                <w:sz w:val="16"/>
              </w:rPr>
              <w:t>Product — high liquidity / rapid movement</w:t>
            </w:r>
          </w:p>
        </w:tc>
        <w:tc>
          <w:tcPr>
            <w:tcW w:type="dxa" w:w="1728"/>
            <w:tcMar>
              <w:top w:w="70" w:type="dxa"/>
              <w:start w:w="80" w:type="dxa"/>
              <w:bottom w:w="70" w:type="dxa"/>
              <w:end w:w="80" w:type="dxa"/>
            </w:tcMar>
            <w:vAlign w:val="top"/>
          </w:tcPr>
          <w:p>
            <w:r>
              <w:rPr>
                <w:rFonts w:ascii="Aptos" w:hAnsi="Aptos"/>
                <w:b w:val="0"/>
                <w:sz w:val="16"/>
              </w:rPr>
              <w:t>5–10</w:t>
            </w:r>
          </w:p>
        </w:tc>
        <w:tc>
          <w:tcPr>
            <w:tcW w:type="dxa" w:w="4608"/>
            <w:tcMar>
              <w:top w:w="70" w:type="dxa"/>
              <w:start w:w="80" w:type="dxa"/>
              <w:bottom w:w="70" w:type="dxa"/>
              <w:end w:w="80" w:type="dxa"/>
            </w:tcMar>
            <w:vAlign w:val="top"/>
          </w:tcPr>
          <w:p>
            <w:r>
              <w:rPr>
                <w:rFonts w:ascii="Aptos" w:hAnsi="Aptos"/>
                <w:b w:val="0"/>
                <w:sz w:val="16"/>
              </w:rPr>
              <w:t>Higher misuse potential.</w:t>
            </w:r>
          </w:p>
        </w:tc>
      </w:tr>
      <w:tr>
        <w:tc>
          <w:tcPr>
            <w:tcW w:type="dxa" w:w="4032"/>
            <w:tcMar>
              <w:top w:w="70" w:type="dxa"/>
              <w:start w:w="80" w:type="dxa"/>
              <w:bottom w:w="70" w:type="dxa"/>
              <w:end w:w="80" w:type="dxa"/>
            </w:tcMar>
            <w:vAlign w:val="top"/>
            <w:shd w:fill="F7FAFC"/>
          </w:tcPr>
          <w:p>
            <w:r>
              <w:rPr>
                <w:rFonts w:ascii="Aptos" w:hAnsi="Aptos"/>
                <w:b w:val="0"/>
                <w:sz w:val="16"/>
              </w:rPr>
              <w:t>Product — broad cross-border / third-party settlement</w:t>
            </w:r>
          </w:p>
        </w:tc>
        <w:tc>
          <w:tcPr>
            <w:tcW w:type="dxa" w:w="1728"/>
            <w:tcMar>
              <w:top w:w="70" w:type="dxa"/>
              <w:start w:w="80" w:type="dxa"/>
              <w:bottom w:w="70" w:type="dxa"/>
              <w:end w:w="80" w:type="dxa"/>
            </w:tcMar>
            <w:vAlign w:val="top"/>
            <w:shd w:fill="F7FAFC"/>
          </w:tcPr>
          <w:p>
            <w:r>
              <w:rPr>
                <w:rFonts w:ascii="Aptos" w:hAnsi="Aptos"/>
                <w:b w:val="0"/>
                <w:sz w:val="16"/>
              </w:rPr>
              <w:t>8–15</w:t>
            </w:r>
          </w:p>
        </w:tc>
        <w:tc>
          <w:tcPr>
            <w:tcW w:type="dxa" w:w="4608"/>
            <w:tcMar>
              <w:top w:w="70" w:type="dxa"/>
              <w:start w:w="80" w:type="dxa"/>
              <w:bottom w:w="70" w:type="dxa"/>
              <w:end w:w="80" w:type="dxa"/>
            </w:tcMar>
            <w:vAlign w:val="top"/>
            <w:shd w:fill="F7FAFC"/>
          </w:tcPr>
          <w:p>
            <w:r>
              <w:rPr>
                <w:rFonts w:ascii="Aptos" w:hAnsi="Aptos"/>
                <w:b w:val="0"/>
                <w:sz w:val="16"/>
              </w:rPr>
              <w:t>Requires clear economic purpose.</w:t>
            </w:r>
          </w:p>
        </w:tc>
      </w:tr>
      <w:tr>
        <w:tc>
          <w:tcPr>
            <w:tcW w:type="dxa" w:w="4032"/>
            <w:tcMar>
              <w:top w:w="70" w:type="dxa"/>
              <w:start w:w="80" w:type="dxa"/>
              <w:bottom w:w="70" w:type="dxa"/>
              <w:end w:w="80" w:type="dxa"/>
            </w:tcMar>
            <w:vAlign w:val="top"/>
          </w:tcPr>
          <w:p>
            <w:r>
              <w:rPr>
                <w:rFonts w:ascii="Aptos" w:hAnsi="Aptos"/>
                <w:b w:val="0"/>
                <w:sz w:val="16"/>
              </w:rPr>
              <w:t>Channel — established assisted onboarding</w:t>
            </w:r>
          </w:p>
        </w:tc>
        <w:tc>
          <w:tcPr>
            <w:tcW w:type="dxa" w:w="1728"/>
            <w:tcMar>
              <w:top w:w="70" w:type="dxa"/>
              <w:start w:w="80" w:type="dxa"/>
              <w:bottom w:w="70" w:type="dxa"/>
              <w:end w:w="80" w:type="dxa"/>
            </w:tcMar>
            <w:vAlign w:val="top"/>
          </w:tcPr>
          <w:p>
            <w:r>
              <w:rPr>
                <w:rFonts w:ascii="Aptos" w:hAnsi="Aptos"/>
                <w:b w:val="0"/>
                <w:sz w:val="16"/>
              </w:rPr>
              <w:t>0–2</w:t>
            </w:r>
          </w:p>
        </w:tc>
        <w:tc>
          <w:tcPr>
            <w:tcW w:type="dxa" w:w="4608"/>
            <w:tcMar>
              <w:top w:w="70" w:type="dxa"/>
              <w:start w:w="80" w:type="dxa"/>
              <w:bottom w:w="70" w:type="dxa"/>
              <w:end w:w="80" w:type="dxa"/>
            </w:tcMar>
            <w:vAlign w:val="top"/>
          </w:tcPr>
          <w:p>
            <w:r>
              <w:rPr>
                <w:rFonts w:ascii="Aptos" w:hAnsi="Aptos"/>
                <w:b w:val="0"/>
                <w:sz w:val="16"/>
              </w:rPr>
              <w:t>Face-to-face does not negate other risks.</w:t>
            </w:r>
          </w:p>
        </w:tc>
      </w:tr>
      <w:tr>
        <w:tc>
          <w:tcPr>
            <w:tcW w:type="dxa" w:w="4032"/>
            <w:tcMar>
              <w:top w:w="70" w:type="dxa"/>
              <w:start w:w="80" w:type="dxa"/>
              <w:bottom w:w="70" w:type="dxa"/>
              <w:end w:w="80" w:type="dxa"/>
            </w:tcMar>
            <w:vAlign w:val="top"/>
            <w:shd w:fill="F7FAFC"/>
          </w:tcPr>
          <w:p>
            <w:r>
              <w:rPr>
                <w:rFonts w:ascii="Aptos" w:hAnsi="Aptos"/>
                <w:b w:val="0"/>
                <w:sz w:val="16"/>
              </w:rPr>
              <w:t>Channel — approved digital</w:t>
            </w:r>
          </w:p>
        </w:tc>
        <w:tc>
          <w:tcPr>
            <w:tcW w:type="dxa" w:w="1728"/>
            <w:tcMar>
              <w:top w:w="70" w:type="dxa"/>
              <w:start w:w="80" w:type="dxa"/>
              <w:bottom w:w="70" w:type="dxa"/>
              <w:end w:w="80" w:type="dxa"/>
            </w:tcMar>
            <w:vAlign w:val="top"/>
            <w:shd w:fill="F7FAFC"/>
          </w:tcPr>
          <w:p>
            <w:r>
              <w:rPr>
                <w:rFonts w:ascii="Aptos" w:hAnsi="Aptos"/>
                <w:b w:val="0"/>
                <w:sz w:val="16"/>
              </w:rPr>
              <w:t>1–4</w:t>
            </w:r>
          </w:p>
        </w:tc>
        <w:tc>
          <w:tcPr>
            <w:tcW w:type="dxa" w:w="4608"/>
            <w:tcMar>
              <w:top w:w="70" w:type="dxa"/>
              <w:start w:w="80" w:type="dxa"/>
              <w:bottom w:w="70" w:type="dxa"/>
              <w:end w:w="80" w:type="dxa"/>
            </w:tcMar>
            <w:vAlign w:val="top"/>
            <w:shd w:fill="F7FAFC"/>
          </w:tcPr>
          <w:p>
            <w:r>
              <w:rPr>
                <w:rFonts w:ascii="Aptos" w:hAnsi="Aptos"/>
                <w:b w:val="0"/>
                <w:sz w:val="16"/>
              </w:rPr>
              <w:t>Strong device/identity controls can reduce risk.</w:t>
            </w:r>
          </w:p>
        </w:tc>
      </w:tr>
      <w:tr>
        <w:tc>
          <w:tcPr>
            <w:tcW w:type="dxa" w:w="4032"/>
            <w:tcMar>
              <w:top w:w="70" w:type="dxa"/>
              <w:start w:w="80" w:type="dxa"/>
              <w:bottom w:w="70" w:type="dxa"/>
              <w:end w:w="80" w:type="dxa"/>
            </w:tcMar>
            <w:vAlign w:val="top"/>
          </w:tcPr>
          <w:p>
            <w:r>
              <w:rPr>
                <w:rFonts w:ascii="Aptos" w:hAnsi="Aptos"/>
                <w:b w:val="0"/>
                <w:sz w:val="16"/>
              </w:rPr>
              <w:t>Channel — introduced business</w:t>
            </w:r>
          </w:p>
        </w:tc>
        <w:tc>
          <w:tcPr>
            <w:tcW w:type="dxa" w:w="1728"/>
            <w:tcMar>
              <w:top w:w="70" w:type="dxa"/>
              <w:start w:w="80" w:type="dxa"/>
              <w:bottom w:w="70" w:type="dxa"/>
              <w:end w:w="80" w:type="dxa"/>
            </w:tcMar>
            <w:vAlign w:val="top"/>
          </w:tcPr>
          <w:p>
            <w:r>
              <w:rPr>
                <w:rFonts w:ascii="Aptos" w:hAnsi="Aptos"/>
                <w:b w:val="0"/>
                <w:sz w:val="16"/>
              </w:rPr>
              <w:t>2–6</w:t>
            </w:r>
          </w:p>
        </w:tc>
        <w:tc>
          <w:tcPr>
            <w:tcW w:type="dxa" w:w="4608"/>
            <w:tcMar>
              <w:top w:w="70" w:type="dxa"/>
              <w:start w:w="80" w:type="dxa"/>
              <w:bottom w:w="70" w:type="dxa"/>
              <w:end w:w="80" w:type="dxa"/>
            </w:tcMar>
            <w:vAlign w:val="top"/>
          </w:tcPr>
          <w:p>
            <w:r>
              <w:rPr>
                <w:rFonts w:ascii="Aptos" w:hAnsi="Aptos"/>
                <w:b w:val="0"/>
                <w:sz w:val="16"/>
              </w:rPr>
              <w:t>Depends on intermediary and independent Northstar checks.</w:t>
            </w:r>
          </w:p>
        </w:tc>
      </w:tr>
      <w:tr>
        <w:tc>
          <w:tcPr>
            <w:tcW w:type="dxa" w:w="4032"/>
            <w:tcMar>
              <w:top w:w="70" w:type="dxa"/>
              <w:start w:w="80" w:type="dxa"/>
              <w:bottom w:w="70" w:type="dxa"/>
              <w:end w:w="80" w:type="dxa"/>
            </w:tcMar>
            <w:vAlign w:val="top"/>
            <w:shd w:fill="F7FAFC"/>
          </w:tcPr>
          <w:p>
            <w:r>
              <w:rPr>
                <w:rFonts w:ascii="Aptos" w:hAnsi="Aptos"/>
                <w:b w:val="0"/>
                <w:sz w:val="16"/>
              </w:rPr>
              <w:t>Channel — non-standard remote exception</w:t>
            </w:r>
          </w:p>
        </w:tc>
        <w:tc>
          <w:tcPr>
            <w:tcW w:type="dxa" w:w="1728"/>
            <w:tcMar>
              <w:top w:w="70" w:type="dxa"/>
              <w:start w:w="80" w:type="dxa"/>
              <w:bottom w:w="70" w:type="dxa"/>
              <w:end w:w="80" w:type="dxa"/>
            </w:tcMar>
            <w:vAlign w:val="top"/>
            <w:shd w:fill="F7FAFC"/>
          </w:tcPr>
          <w:p>
            <w:r>
              <w:rPr>
                <w:rFonts w:ascii="Aptos" w:hAnsi="Aptos"/>
                <w:b w:val="0"/>
                <w:sz w:val="16"/>
              </w:rPr>
              <w:t>5–10</w:t>
            </w:r>
          </w:p>
        </w:tc>
        <w:tc>
          <w:tcPr>
            <w:tcW w:type="dxa" w:w="4608"/>
            <w:tcMar>
              <w:top w:w="70" w:type="dxa"/>
              <w:start w:w="80" w:type="dxa"/>
              <w:bottom w:w="70" w:type="dxa"/>
              <w:end w:w="80" w:type="dxa"/>
            </w:tcMar>
            <w:vAlign w:val="top"/>
            <w:shd w:fill="F7FAFC"/>
          </w:tcPr>
          <w:p>
            <w:r>
              <w:rPr>
                <w:rFonts w:ascii="Aptos" w:hAnsi="Aptos"/>
                <w:b w:val="0"/>
                <w:sz w:val="16"/>
              </w:rPr>
              <w:t>Enhanced review required.</w:t>
            </w:r>
          </w:p>
        </w:tc>
      </w:tr>
      <w:tr>
        <w:tc>
          <w:tcPr>
            <w:tcW w:type="dxa" w:w="4032"/>
            <w:tcMar>
              <w:top w:w="70" w:type="dxa"/>
              <w:start w:w="80" w:type="dxa"/>
              <w:bottom w:w="70" w:type="dxa"/>
              <w:end w:w="80" w:type="dxa"/>
            </w:tcMar>
            <w:vAlign w:val="top"/>
          </w:tcPr>
          <w:p>
            <w:r>
              <w:rPr>
                <w:rFonts w:ascii="Aptos" w:hAnsi="Aptos"/>
                <w:b w:val="0"/>
                <w:sz w:val="16"/>
              </w:rPr>
              <w:t>Ownership — transparent direct ownership</w:t>
            </w:r>
          </w:p>
        </w:tc>
        <w:tc>
          <w:tcPr>
            <w:tcW w:type="dxa" w:w="1728"/>
            <w:tcMar>
              <w:top w:w="70" w:type="dxa"/>
              <w:start w:w="80" w:type="dxa"/>
              <w:bottom w:w="70" w:type="dxa"/>
              <w:end w:w="80" w:type="dxa"/>
            </w:tcMar>
            <w:vAlign w:val="top"/>
          </w:tcPr>
          <w:p>
            <w:r>
              <w:rPr>
                <w:rFonts w:ascii="Aptos" w:hAnsi="Aptos"/>
                <w:b w:val="0"/>
                <w:sz w:val="16"/>
              </w:rPr>
              <w:t>0–3</w:t>
            </w:r>
          </w:p>
        </w:tc>
        <w:tc>
          <w:tcPr>
            <w:tcW w:type="dxa" w:w="4608"/>
            <w:tcMar>
              <w:top w:w="70" w:type="dxa"/>
              <w:start w:w="80" w:type="dxa"/>
              <w:bottom w:w="70" w:type="dxa"/>
              <w:end w:w="80" w:type="dxa"/>
            </w:tcMar>
            <w:vAlign w:val="top"/>
          </w:tcPr>
          <w:p>
            <w:r>
              <w:rPr>
                <w:rFonts w:ascii="Aptos" w:hAnsi="Aptos"/>
                <w:b w:val="0"/>
                <w:sz w:val="16"/>
              </w:rPr>
              <w:t>Natural persons/control readily established.</w:t>
            </w:r>
          </w:p>
        </w:tc>
      </w:tr>
      <w:tr>
        <w:tc>
          <w:tcPr>
            <w:tcW w:type="dxa" w:w="4032"/>
            <w:tcMar>
              <w:top w:w="70" w:type="dxa"/>
              <w:start w:w="80" w:type="dxa"/>
              <w:bottom w:w="70" w:type="dxa"/>
              <w:end w:w="80" w:type="dxa"/>
            </w:tcMar>
            <w:vAlign w:val="top"/>
            <w:shd w:fill="F7FAFC"/>
          </w:tcPr>
          <w:p>
            <w:r>
              <w:rPr>
                <w:rFonts w:ascii="Aptos" w:hAnsi="Aptos"/>
                <w:b w:val="0"/>
                <w:sz w:val="16"/>
              </w:rPr>
              <w:t>Ownership — modest layering with clear rationale</w:t>
            </w:r>
          </w:p>
        </w:tc>
        <w:tc>
          <w:tcPr>
            <w:tcW w:type="dxa" w:w="1728"/>
            <w:tcMar>
              <w:top w:w="70" w:type="dxa"/>
              <w:start w:w="80" w:type="dxa"/>
              <w:bottom w:w="70" w:type="dxa"/>
              <w:end w:w="80" w:type="dxa"/>
            </w:tcMar>
            <w:vAlign w:val="top"/>
            <w:shd w:fill="F7FAFC"/>
          </w:tcPr>
          <w:p>
            <w:r>
              <w:rPr>
                <w:rFonts w:ascii="Aptos" w:hAnsi="Aptos"/>
                <w:b w:val="0"/>
                <w:sz w:val="16"/>
              </w:rPr>
              <w:t>3–7</w:t>
            </w:r>
          </w:p>
        </w:tc>
        <w:tc>
          <w:tcPr>
            <w:tcW w:type="dxa" w:w="4608"/>
            <w:tcMar>
              <w:top w:w="70" w:type="dxa"/>
              <w:start w:w="80" w:type="dxa"/>
              <w:bottom w:w="70" w:type="dxa"/>
              <w:end w:w="80" w:type="dxa"/>
            </w:tcMar>
            <w:vAlign w:val="top"/>
            <w:shd w:fill="F7FAFC"/>
          </w:tcPr>
          <w:p>
            <w:r>
              <w:rPr>
                <w:rFonts w:ascii="Aptos" w:hAnsi="Aptos"/>
                <w:b w:val="0"/>
                <w:sz w:val="16"/>
              </w:rPr>
              <w:t>Document commercial purpose.</w:t>
            </w:r>
          </w:p>
        </w:tc>
      </w:tr>
      <w:tr>
        <w:tc>
          <w:tcPr>
            <w:tcW w:type="dxa" w:w="4032"/>
            <w:tcMar>
              <w:top w:w="70" w:type="dxa"/>
              <w:start w:w="80" w:type="dxa"/>
              <w:bottom w:w="70" w:type="dxa"/>
              <w:end w:w="80" w:type="dxa"/>
            </w:tcMar>
            <w:vAlign w:val="top"/>
          </w:tcPr>
          <w:p>
            <w:r>
              <w:rPr>
                <w:rFonts w:ascii="Aptos" w:hAnsi="Aptos"/>
                <w:b w:val="0"/>
                <w:sz w:val="16"/>
              </w:rPr>
              <w:t>Ownership — cross-border layers / trusts / nominees</w:t>
            </w:r>
          </w:p>
        </w:tc>
        <w:tc>
          <w:tcPr>
            <w:tcW w:type="dxa" w:w="1728"/>
            <w:tcMar>
              <w:top w:w="70" w:type="dxa"/>
              <w:start w:w="80" w:type="dxa"/>
              <w:bottom w:w="70" w:type="dxa"/>
              <w:end w:w="80" w:type="dxa"/>
            </w:tcMar>
            <w:vAlign w:val="top"/>
          </w:tcPr>
          <w:p>
            <w:r>
              <w:rPr>
                <w:rFonts w:ascii="Aptos" w:hAnsi="Aptos"/>
                <w:b w:val="0"/>
                <w:sz w:val="16"/>
              </w:rPr>
              <w:t>7–13</w:t>
            </w:r>
          </w:p>
        </w:tc>
        <w:tc>
          <w:tcPr>
            <w:tcW w:type="dxa" w:w="4608"/>
            <w:tcMar>
              <w:top w:w="70" w:type="dxa"/>
              <w:start w:w="80" w:type="dxa"/>
              <w:bottom w:w="70" w:type="dxa"/>
              <w:end w:w="80" w:type="dxa"/>
            </w:tcMar>
            <w:vAlign w:val="top"/>
          </w:tcPr>
          <w:p>
            <w:r>
              <w:rPr>
                <w:rFonts w:ascii="Aptos" w:hAnsi="Aptos"/>
                <w:b w:val="0"/>
                <w:sz w:val="16"/>
              </w:rPr>
              <w:t>Depth depends on transparency.</w:t>
            </w:r>
          </w:p>
        </w:tc>
      </w:tr>
      <w:tr>
        <w:tc>
          <w:tcPr>
            <w:tcW w:type="dxa" w:w="4032"/>
            <w:tcMar>
              <w:top w:w="70" w:type="dxa"/>
              <w:start w:w="80" w:type="dxa"/>
              <w:bottom w:w="70" w:type="dxa"/>
              <w:end w:w="80" w:type="dxa"/>
            </w:tcMar>
            <w:vAlign w:val="top"/>
            <w:shd w:fill="F7FAFC"/>
          </w:tcPr>
          <w:p>
            <w:r>
              <w:rPr>
                <w:rFonts w:ascii="Aptos" w:hAnsi="Aptos"/>
                <w:b w:val="0"/>
                <w:sz w:val="16"/>
              </w:rPr>
              <w:t>Ownership — material opacity</w:t>
            </w:r>
          </w:p>
        </w:tc>
        <w:tc>
          <w:tcPr>
            <w:tcW w:type="dxa" w:w="1728"/>
            <w:tcMar>
              <w:top w:w="70" w:type="dxa"/>
              <w:start w:w="80" w:type="dxa"/>
              <w:bottom w:w="70" w:type="dxa"/>
              <w:end w:w="80" w:type="dxa"/>
            </w:tcMar>
            <w:vAlign w:val="top"/>
            <w:shd w:fill="F7FAFC"/>
          </w:tcPr>
          <w:p>
            <w:r>
              <w:rPr>
                <w:rFonts w:ascii="Aptos" w:hAnsi="Aptos"/>
                <w:b w:val="0"/>
                <w:sz w:val="16"/>
              </w:rPr>
              <w:t>12–15</w:t>
            </w:r>
          </w:p>
        </w:tc>
        <w:tc>
          <w:tcPr>
            <w:tcW w:type="dxa" w:w="4608"/>
            <w:tcMar>
              <w:top w:w="70" w:type="dxa"/>
              <w:start w:w="80" w:type="dxa"/>
              <w:bottom w:w="70" w:type="dxa"/>
              <w:end w:w="80" w:type="dxa"/>
            </w:tcMar>
            <w:vAlign w:val="top"/>
            <w:shd w:fill="F7FAFC"/>
          </w:tcPr>
          <w:p>
            <w:r>
              <w:rPr>
                <w:rFonts w:ascii="Aptos" w:hAnsi="Aptos"/>
                <w:b w:val="0"/>
                <w:sz w:val="16"/>
              </w:rPr>
              <w:t>May create mandatory High floor/blocker.</w:t>
            </w:r>
          </w:p>
        </w:tc>
      </w:tr>
      <w:tr>
        <w:tc>
          <w:tcPr>
            <w:tcW w:type="dxa" w:w="4032"/>
            <w:tcMar>
              <w:top w:w="70" w:type="dxa"/>
              <w:start w:w="80" w:type="dxa"/>
              <w:bottom w:w="70" w:type="dxa"/>
              <w:end w:w="80" w:type="dxa"/>
            </w:tcMar>
            <w:vAlign w:val="top"/>
          </w:tcPr>
          <w:p>
            <w:r>
              <w:rPr>
                <w:rFonts w:ascii="Aptos" w:hAnsi="Aptos"/>
                <w:b w:val="0"/>
                <w:sz w:val="16"/>
              </w:rPr>
              <w:t>Behaviour — consistent with profile</w:t>
            </w:r>
          </w:p>
        </w:tc>
        <w:tc>
          <w:tcPr>
            <w:tcW w:type="dxa" w:w="1728"/>
            <w:tcMar>
              <w:top w:w="70" w:type="dxa"/>
              <w:start w:w="80" w:type="dxa"/>
              <w:bottom w:w="70" w:type="dxa"/>
              <w:end w:w="80" w:type="dxa"/>
            </w:tcMar>
            <w:vAlign w:val="top"/>
          </w:tcPr>
          <w:p>
            <w:r>
              <w:rPr>
                <w:rFonts w:ascii="Aptos" w:hAnsi="Aptos"/>
                <w:b w:val="0"/>
                <w:sz w:val="16"/>
              </w:rPr>
              <w:t>0–2</w:t>
            </w:r>
          </w:p>
        </w:tc>
        <w:tc>
          <w:tcPr>
            <w:tcW w:type="dxa" w:w="4608"/>
            <w:tcMar>
              <w:top w:w="70" w:type="dxa"/>
              <w:start w:w="80" w:type="dxa"/>
              <w:bottom w:w="70" w:type="dxa"/>
              <w:end w:w="80" w:type="dxa"/>
            </w:tcMar>
            <w:vAlign w:val="top"/>
          </w:tcPr>
          <w:p>
            <w:r>
              <w:rPr>
                <w:rFonts w:ascii="Aptos" w:hAnsi="Aptos"/>
                <w:b w:val="0"/>
                <w:sz w:val="16"/>
              </w:rPr>
              <w:t>Alert false positives may still score low.</w:t>
            </w:r>
          </w:p>
        </w:tc>
      </w:tr>
      <w:tr>
        <w:tc>
          <w:tcPr>
            <w:tcW w:type="dxa" w:w="4032"/>
            <w:tcMar>
              <w:top w:w="70" w:type="dxa"/>
              <w:start w:w="80" w:type="dxa"/>
              <w:bottom w:w="70" w:type="dxa"/>
              <w:end w:w="80" w:type="dxa"/>
            </w:tcMar>
            <w:vAlign w:val="top"/>
            <w:shd w:fill="F7FAFC"/>
          </w:tcPr>
          <w:p>
            <w:r>
              <w:rPr>
                <w:rFonts w:ascii="Aptos" w:hAnsi="Aptos"/>
                <w:b w:val="0"/>
                <w:sz w:val="16"/>
              </w:rPr>
              <w:t>Behaviour — material explainable change</w:t>
            </w:r>
          </w:p>
        </w:tc>
        <w:tc>
          <w:tcPr>
            <w:tcW w:type="dxa" w:w="1728"/>
            <w:tcMar>
              <w:top w:w="70" w:type="dxa"/>
              <w:start w:w="80" w:type="dxa"/>
              <w:bottom w:w="70" w:type="dxa"/>
              <w:end w:w="80" w:type="dxa"/>
            </w:tcMar>
            <w:vAlign w:val="top"/>
            <w:shd w:fill="F7FAFC"/>
          </w:tcPr>
          <w:p>
            <w:r>
              <w:rPr>
                <w:rFonts w:ascii="Aptos" w:hAnsi="Aptos"/>
                <w:b w:val="0"/>
                <w:sz w:val="16"/>
              </w:rPr>
              <w:t>2–5</w:t>
            </w:r>
          </w:p>
        </w:tc>
        <w:tc>
          <w:tcPr>
            <w:tcW w:type="dxa" w:w="4608"/>
            <w:tcMar>
              <w:top w:w="70" w:type="dxa"/>
              <w:start w:w="80" w:type="dxa"/>
              <w:bottom w:w="70" w:type="dxa"/>
              <w:end w:w="80" w:type="dxa"/>
            </w:tcMar>
            <w:vAlign w:val="top"/>
            <w:shd w:fill="F7FAFC"/>
          </w:tcPr>
          <w:p>
            <w:r>
              <w:rPr>
                <w:rFonts w:ascii="Aptos" w:hAnsi="Aptos"/>
                <w:b w:val="0"/>
                <w:sz w:val="16"/>
              </w:rPr>
              <w:t>Update profile.</w:t>
            </w:r>
          </w:p>
        </w:tc>
      </w:tr>
      <w:tr>
        <w:tc>
          <w:tcPr>
            <w:tcW w:type="dxa" w:w="4032"/>
            <w:tcMar>
              <w:top w:w="70" w:type="dxa"/>
              <w:start w:w="80" w:type="dxa"/>
              <w:bottom w:w="70" w:type="dxa"/>
              <w:end w:w="80" w:type="dxa"/>
            </w:tcMar>
            <w:vAlign w:val="top"/>
          </w:tcPr>
          <w:p>
            <w:r>
              <w:rPr>
                <w:rFonts w:ascii="Aptos" w:hAnsi="Aptos"/>
                <w:b w:val="0"/>
                <w:sz w:val="16"/>
              </w:rPr>
              <w:t>Behaviour — repeated unexplained third-party activity</w:t>
            </w:r>
          </w:p>
        </w:tc>
        <w:tc>
          <w:tcPr>
            <w:tcW w:type="dxa" w:w="1728"/>
            <w:tcMar>
              <w:top w:w="70" w:type="dxa"/>
              <w:start w:w="80" w:type="dxa"/>
              <w:bottom w:w="70" w:type="dxa"/>
              <w:end w:w="80" w:type="dxa"/>
            </w:tcMar>
            <w:vAlign w:val="top"/>
          </w:tcPr>
          <w:p>
            <w:r>
              <w:rPr>
                <w:rFonts w:ascii="Aptos" w:hAnsi="Aptos"/>
                <w:b w:val="0"/>
                <w:sz w:val="16"/>
              </w:rPr>
              <w:t>5–10</w:t>
            </w:r>
          </w:p>
        </w:tc>
        <w:tc>
          <w:tcPr>
            <w:tcW w:type="dxa" w:w="4608"/>
            <w:tcMar>
              <w:top w:w="70" w:type="dxa"/>
              <w:start w:w="80" w:type="dxa"/>
              <w:bottom w:w="70" w:type="dxa"/>
              <w:end w:w="80" w:type="dxa"/>
            </w:tcMar>
            <w:vAlign w:val="top"/>
          </w:tcPr>
          <w:p>
            <w:r>
              <w:rPr>
                <w:rFonts w:ascii="Aptos" w:hAnsi="Aptos"/>
                <w:b w:val="0"/>
                <w:sz w:val="16"/>
              </w:rPr>
              <w:t>EDD.</w:t>
            </w:r>
          </w:p>
        </w:tc>
      </w:tr>
      <w:tr>
        <w:tc>
          <w:tcPr>
            <w:tcW w:type="dxa" w:w="4032"/>
            <w:tcMar>
              <w:top w:w="70" w:type="dxa"/>
              <w:start w:w="80" w:type="dxa"/>
              <w:bottom w:w="70" w:type="dxa"/>
              <w:end w:w="80" w:type="dxa"/>
            </w:tcMar>
            <w:vAlign w:val="top"/>
            <w:shd w:fill="F7FAFC"/>
          </w:tcPr>
          <w:p>
            <w:r>
              <w:rPr>
                <w:rFonts w:ascii="Aptos" w:hAnsi="Aptos"/>
                <w:b w:val="0"/>
                <w:sz w:val="16"/>
              </w:rPr>
              <w:t>Behaviour — rapid movement / substantiated concern</w:t>
            </w:r>
          </w:p>
        </w:tc>
        <w:tc>
          <w:tcPr>
            <w:tcW w:type="dxa" w:w="1728"/>
            <w:tcMar>
              <w:top w:w="70" w:type="dxa"/>
              <w:start w:w="80" w:type="dxa"/>
              <w:bottom w:w="70" w:type="dxa"/>
              <w:end w:w="80" w:type="dxa"/>
            </w:tcMar>
            <w:vAlign w:val="top"/>
            <w:shd w:fill="F7FAFC"/>
          </w:tcPr>
          <w:p>
            <w:r>
              <w:rPr>
                <w:rFonts w:ascii="Aptos" w:hAnsi="Aptos"/>
                <w:b w:val="0"/>
                <w:sz w:val="16"/>
              </w:rPr>
              <w:t>8–15</w:t>
            </w:r>
          </w:p>
        </w:tc>
        <w:tc>
          <w:tcPr>
            <w:tcW w:type="dxa" w:w="4608"/>
            <w:tcMar>
              <w:top w:w="70" w:type="dxa"/>
              <w:start w:w="80" w:type="dxa"/>
              <w:bottom w:w="70" w:type="dxa"/>
              <w:end w:w="80" w:type="dxa"/>
            </w:tcMar>
            <w:vAlign w:val="top"/>
            <w:shd w:fill="F7FAFC"/>
          </w:tcPr>
          <w:p>
            <w:r>
              <w:rPr>
                <w:rFonts w:ascii="Aptos" w:hAnsi="Aptos"/>
                <w:b w:val="0"/>
                <w:sz w:val="16"/>
              </w:rPr>
              <w:t>May create High floor.</w:t>
            </w:r>
          </w:p>
        </w:tc>
      </w:tr>
    </w:tbl>
    <w:p/>
    <w:p>
      <w:r>
        <w:br w:type="page"/>
      </w:r>
    </w:p>
    <w:p>
      <w:pPr>
        <w:pStyle w:val="Heading1"/>
      </w:pPr>
      <w:r>
        <w:t>Appendix E — Override and Mandatory-Floor Reason Codes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296"/>
            <w:shd w:fill="17365D"/>
            <w:tcMar>
              <w:top w:w="70" w:type="dxa"/>
              <w:start w:w="80" w:type="dxa"/>
              <w:bottom w:w="70" w:type="dxa"/>
              <w:end w:w="80" w:type="dxa"/>
            </w:tcMar>
          </w:tcPr>
          <w:p>
            <w:r>
              <w:rPr>
                <w:rFonts w:ascii="Aptos" w:hAnsi="Aptos"/>
                <w:b/>
                <w:color w:val="FFFFFF"/>
                <w:sz w:val="16"/>
              </w:rPr>
              <w:t>Code</w:t>
            </w:r>
          </w:p>
        </w:tc>
        <w:tc>
          <w:tcPr>
            <w:tcW w:type="dxa" w:w="4608"/>
            <w:shd w:fill="17365D"/>
            <w:tcMar>
              <w:top w:w="70" w:type="dxa"/>
              <w:start w:w="80" w:type="dxa"/>
              <w:bottom w:w="70" w:type="dxa"/>
              <w:end w:w="80" w:type="dxa"/>
            </w:tcMar>
          </w:tcPr>
          <w:p>
            <w:r>
              <w:rPr>
                <w:rFonts w:ascii="Aptos" w:hAnsi="Aptos"/>
                <w:b/>
                <w:color w:val="FFFFFF"/>
                <w:sz w:val="16"/>
              </w:rPr>
              <w:t>Condition</w:t>
            </w:r>
          </w:p>
        </w:tc>
        <w:tc>
          <w:tcPr>
            <w:tcW w:type="dxa" w:w="1872"/>
            <w:shd w:fill="17365D"/>
            <w:tcMar>
              <w:top w:w="70" w:type="dxa"/>
              <w:start w:w="80" w:type="dxa"/>
              <w:bottom w:w="70" w:type="dxa"/>
              <w:end w:w="80" w:type="dxa"/>
            </w:tcMar>
          </w:tcPr>
          <w:p>
            <w:r>
              <w:rPr>
                <w:rFonts w:ascii="Aptos" w:hAnsi="Aptos"/>
                <w:b/>
                <w:color w:val="FFFFFF"/>
                <w:sz w:val="16"/>
              </w:rPr>
              <w:t>Direction</w:t>
            </w:r>
          </w:p>
        </w:tc>
        <w:tc>
          <w:tcPr>
            <w:tcW w:type="dxa" w:w="3168"/>
            <w:shd w:fill="17365D"/>
            <w:tcMar>
              <w:top w:w="70" w:type="dxa"/>
              <w:start w:w="80" w:type="dxa"/>
              <w:bottom w:w="70" w:type="dxa"/>
              <w:end w:w="80" w:type="dxa"/>
            </w:tcMar>
          </w:tcPr>
          <w:p>
            <w:r>
              <w:rPr>
                <w:rFonts w:ascii="Aptos" w:hAnsi="Aptos"/>
                <w:b/>
                <w:color w:val="FFFFFF"/>
                <w:sz w:val="16"/>
              </w:rPr>
              <w:t>Minimum Record</w:t>
            </w:r>
          </w:p>
        </w:tc>
      </w:tr>
      <w:tr>
        <w:tc>
          <w:tcPr>
            <w:tcW w:type="dxa" w:w="1296"/>
            <w:tcMar>
              <w:top w:w="70" w:type="dxa"/>
              <w:start w:w="80" w:type="dxa"/>
              <w:bottom w:w="70" w:type="dxa"/>
              <w:end w:w="80" w:type="dxa"/>
            </w:tcMar>
            <w:vAlign w:val="top"/>
          </w:tcPr>
          <w:p>
            <w:r>
              <w:rPr>
                <w:rFonts w:ascii="Aptos" w:hAnsi="Aptos"/>
                <w:b w:val="0"/>
                <w:sz w:val="16"/>
              </w:rPr>
              <w:t>UF01</w:t>
            </w:r>
          </w:p>
        </w:tc>
        <w:tc>
          <w:tcPr>
            <w:tcW w:type="dxa" w:w="4608"/>
            <w:tcMar>
              <w:top w:w="70" w:type="dxa"/>
              <w:start w:w="80" w:type="dxa"/>
              <w:bottom w:w="70" w:type="dxa"/>
              <w:end w:w="80" w:type="dxa"/>
            </w:tcMar>
            <w:vAlign w:val="top"/>
          </w:tcPr>
          <w:p>
            <w:r>
              <w:rPr>
                <w:rFonts w:ascii="Aptos" w:hAnsi="Aptos"/>
                <w:b w:val="0"/>
                <w:sz w:val="16"/>
              </w:rPr>
              <w:t>Risk fact not represented by current points</w:t>
            </w:r>
          </w:p>
        </w:tc>
        <w:tc>
          <w:tcPr>
            <w:tcW w:type="dxa" w:w="1872"/>
            <w:tcMar>
              <w:top w:w="70" w:type="dxa"/>
              <w:start w:w="80" w:type="dxa"/>
              <w:bottom w:w="70" w:type="dxa"/>
              <w:end w:w="80" w:type="dxa"/>
            </w:tcMar>
            <w:vAlign w:val="top"/>
          </w:tcPr>
          <w:p>
            <w:r>
              <w:rPr>
                <w:rFonts w:ascii="Aptos" w:hAnsi="Aptos"/>
                <w:b w:val="0"/>
                <w:sz w:val="16"/>
              </w:rPr>
              <w:t>Upward</w:t>
            </w:r>
          </w:p>
        </w:tc>
        <w:tc>
          <w:tcPr>
            <w:tcW w:type="dxa" w:w="3168"/>
            <w:tcMar>
              <w:top w:w="70" w:type="dxa"/>
              <w:start w:w="80" w:type="dxa"/>
              <w:bottom w:w="70" w:type="dxa"/>
              <w:end w:w="80" w:type="dxa"/>
            </w:tcMar>
            <w:vAlign w:val="top"/>
          </w:tcPr>
          <w:p>
            <w:r>
              <w:rPr>
                <w:rFonts w:ascii="Aptos" w:hAnsi="Aptos"/>
                <w:b w:val="0"/>
                <w:sz w:val="16"/>
              </w:rPr>
              <w:t>Describe fact and why factor table understates it.</w:t>
            </w:r>
          </w:p>
        </w:tc>
      </w:tr>
      <w:tr>
        <w:tc>
          <w:tcPr>
            <w:tcW w:type="dxa" w:w="1296"/>
            <w:tcMar>
              <w:top w:w="70" w:type="dxa"/>
              <w:start w:w="80" w:type="dxa"/>
              <w:bottom w:w="70" w:type="dxa"/>
              <w:end w:w="80" w:type="dxa"/>
            </w:tcMar>
            <w:vAlign w:val="top"/>
            <w:shd w:fill="F7FAFC"/>
          </w:tcPr>
          <w:p>
            <w:r>
              <w:rPr>
                <w:rFonts w:ascii="Aptos" w:hAnsi="Aptos"/>
                <w:b w:val="0"/>
                <w:sz w:val="16"/>
              </w:rPr>
              <w:t>UF02</w:t>
            </w:r>
          </w:p>
        </w:tc>
        <w:tc>
          <w:tcPr>
            <w:tcW w:type="dxa" w:w="4608"/>
            <w:tcMar>
              <w:top w:w="70" w:type="dxa"/>
              <w:start w:w="80" w:type="dxa"/>
              <w:bottom w:w="70" w:type="dxa"/>
              <w:end w:w="80" w:type="dxa"/>
            </w:tcMar>
            <w:vAlign w:val="top"/>
            <w:shd w:fill="F7FAFC"/>
          </w:tcPr>
          <w:p>
            <w:r>
              <w:rPr>
                <w:rFonts w:ascii="Aptos" w:hAnsi="Aptos"/>
                <w:b w:val="0"/>
                <w:sz w:val="16"/>
              </w:rPr>
              <w:t>Multiple moderate factors interact materially</w:t>
            </w:r>
          </w:p>
        </w:tc>
        <w:tc>
          <w:tcPr>
            <w:tcW w:type="dxa" w:w="1872"/>
            <w:tcMar>
              <w:top w:w="70" w:type="dxa"/>
              <w:start w:w="80" w:type="dxa"/>
              <w:bottom w:w="70" w:type="dxa"/>
              <w:end w:w="80" w:type="dxa"/>
            </w:tcMar>
            <w:vAlign w:val="top"/>
            <w:shd w:fill="F7FAFC"/>
          </w:tcPr>
          <w:p>
            <w:r>
              <w:rPr>
                <w:rFonts w:ascii="Aptos" w:hAnsi="Aptos"/>
                <w:b w:val="0"/>
                <w:sz w:val="16"/>
              </w:rPr>
              <w:t>Upward</w:t>
            </w:r>
          </w:p>
        </w:tc>
        <w:tc>
          <w:tcPr>
            <w:tcW w:type="dxa" w:w="3168"/>
            <w:tcMar>
              <w:top w:w="70" w:type="dxa"/>
              <w:start w:w="80" w:type="dxa"/>
              <w:bottom w:w="70" w:type="dxa"/>
              <w:end w:w="80" w:type="dxa"/>
            </w:tcMar>
            <w:vAlign w:val="top"/>
            <w:shd w:fill="F7FAFC"/>
          </w:tcPr>
          <w:p>
            <w:r>
              <w:rPr>
                <w:rFonts w:ascii="Aptos" w:hAnsi="Aptos"/>
                <w:b w:val="0"/>
                <w:sz w:val="16"/>
              </w:rPr>
              <w:t>Avoid double counting; explain interaction.</w:t>
            </w:r>
          </w:p>
        </w:tc>
      </w:tr>
      <w:tr>
        <w:tc>
          <w:tcPr>
            <w:tcW w:type="dxa" w:w="1296"/>
            <w:tcMar>
              <w:top w:w="70" w:type="dxa"/>
              <w:start w:w="80" w:type="dxa"/>
              <w:bottom w:w="70" w:type="dxa"/>
              <w:end w:w="80" w:type="dxa"/>
            </w:tcMar>
            <w:vAlign w:val="top"/>
          </w:tcPr>
          <w:p>
            <w:r>
              <w:rPr>
                <w:rFonts w:ascii="Aptos" w:hAnsi="Aptos"/>
                <w:b w:val="0"/>
                <w:sz w:val="16"/>
              </w:rPr>
              <w:t>UF03</w:t>
            </w:r>
          </w:p>
        </w:tc>
        <w:tc>
          <w:tcPr>
            <w:tcW w:type="dxa" w:w="4608"/>
            <w:tcMar>
              <w:top w:w="70" w:type="dxa"/>
              <w:start w:w="80" w:type="dxa"/>
              <w:bottom w:w="70" w:type="dxa"/>
              <w:end w:w="80" w:type="dxa"/>
            </w:tcMar>
            <w:vAlign w:val="top"/>
          </w:tcPr>
          <w:p>
            <w:r>
              <w:rPr>
                <w:rFonts w:ascii="Aptos" w:hAnsi="Aptos"/>
                <w:b w:val="0"/>
                <w:sz w:val="16"/>
              </w:rPr>
              <w:t>Recent control failure / substantiated monitoring concern</w:t>
            </w:r>
          </w:p>
        </w:tc>
        <w:tc>
          <w:tcPr>
            <w:tcW w:type="dxa" w:w="1872"/>
            <w:tcMar>
              <w:top w:w="70" w:type="dxa"/>
              <w:start w:w="80" w:type="dxa"/>
              <w:bottom w:w="70" w:type="dxa"/>
              <w:end w:w="80" w:type="dxa"/>
            </w:tcMar>
            <w:vAlign w:val="top"/>
          </w:tcPr>
          <w:p>
            <w:r>
              <w:rPr>
                <w:rFonts w:ascii="Aptos" w:hAnsi="Aptos"/>
                <w:b w:val="0"/>
                <w:sz w:val="16"/>
              </w:rPr>
              <w:t>Upward</w:t>
            </w:r>
          </w:p>
        </w:tc>
        <w:tc>
          <w:tcPr>
            <w:tcW w:type="dxa" w:w="3168"/>
            <w:tcMar>
              <w:top w:w="70" w:type="dxa"/>
              <w:start w:w="80" w:type="dxa"/>
              <w:bottom w:w="70" w:type="dxa"/>
              <w:end w:w="80" w:type="dxa"/>
            </w:tcMar>
            <w:vAlign w:val="top"/>
          </w:tcPr>
          <w:p>
            <w:r>
              <w:rPr>
                <w:rFonts w:ascii="Aptos" w:hAnsi="Aptos"/>
                <w:b w:val="0"/>
                <w:sz w:val="16"/>
              </w:rPr>
              <w:t>Link to case evidence and residual risk.</w:t>
            </w:r>
          </w:p>
        </w:tc>
      </w:tr>
      <w:tr>
        <w:tc>
          <w:tcPr>
            <w:tcW w:type="dxa" w:w="1296"/>
            <w:tcMar>
              <w:top w:w="70" w:type="dxa"/>
              <w:start w:w="80" w:type="dxa"/>
              <w:bottom w:w="70" w:type="dxa"/>
              <w:end w:w="80" w:type="dxa"/>
            </w:tcMar>
            <w:vAlign w:val="top"/>
            <w:shd w:fill="F7FAFC"/>
          </w:tcPr>
          <w:p>
            <w:r>
              <w:rPr>
                <w:rFonts w:ascii="Aptos" w:hAnsi="Aptos"/>
                <w:b w:val="0"/>
                <w:sz w:val="16"/>
              </w:rPr>
              <w:t>DF01</w:t>
            </w:r>
          </w:p>
        </w:tc>
        <w:tc>
          <w:tcPr>
            <w:tcW w:type="dxa" w:w="4608"/>
            <w:tcMar>
              <w:top w:w="70" w:type="dxa"/>
              <w:start w:w="80" w:type="dxa"/>
              <w:bottom w:w="70" w:type="dxa"/>
              <w:end w:w="80" w:type="dxa"/>
            </w:tcMar>
            <w:vAlign w:val="top"/>
            <w:shd w:fill="F7FAFC"/>
          </w:tcPr>
          <w:p>
            <w:r>
              <w:rPr>
                <w:rFonts w:ascii="Aptos" w:hAnsi="Aptos"/>
                <w:b w:val="0"/>
                <w:sz w:val="16"/>
              </w:rPr>
              <w:t>System points overstated due to stale fact</w:t>
            </w:r>
          </w:p>
        </w:tc>
        <w:tc>
          <w:tcPr>
            <w:tcW w:type="dxa" w:w="1872"/>
            <w:tcMar>
              <w:top w:w="70" w:type="dxa"/>
              <w:start w:w="80" w:type="dxa"/>
              <w:bottom w:w="70" w:type="dxa"/>
              <w:end w:w="80" w:type="dxa"/>
            </w:tcMar>
            <w:vAlign w:val="top"/>
            <w:shd w:fill="F7FAFC"/>
          </w:tcPr>
          <w:p>
            <w:r>
              <w:rPr>
                <w:rFonts w:ascii="Aptos" w:hAnsi="Aptos"/>
                <w:b w:val="0"/>
                <w:sz w:val="16"/>
              </w:rPr>
              <w:t>Downward</w:t>
            </w:r>
          </w:p>
        </w:tc>
        <w:tc>
          <w:tcPr>
            <w:tcW w:type="dxa" w:w="3168"/>
            <w:tcMar>
              <w:top w:w="70" w:type="dxa"/>
              <w:start w:w="80" w:type="dxa"/>
              <w:bottom w:w="70" w:type="dxa"/>
              <w:end w:w="80" w:type="dxa"/>
            </w:tcMar>
            <w:vAlign w:val="top"/>
            <w:shd w:fill="F7FAFC"/>
          </w:tcPr>
          <w:p>
            <w:r>
              <w:rPr>
                <w:rFonts w:ascii="Aptos" w:hAnsi="Aptos"/>
                <w:b w:val="0"/>
                <w:sz w:val="16"/>
              </w:rPr>
              <w:t>Correct data where possible; override only if data cannot be timely corrected.</w:t>
            </w:r>
          </w:p>
        </w:tc>
      </w:tr>
      <w:tr>
        <w:tc>
          <w:tcPr>
            <w:tcW w:type="dxa" w:w="1296"/>
            <w:tcMar>
              <w:top w:w="70" w:type="dxa"/>
              <w:start w:w="80" w:type="dxa"/>
              <w:bottom w:w="70" w:type="dxa"/>
              <w:end w:w="80" w:type="dxa"/>
            </w:tcMar>
            <w:vAlign w:val="top"/>
          </w:tcPr>
          <w:p>
            <w:r>
              <w:rPr>
                <w:rFonts w:ascii="Aptos" w:hAnsi="Aptos"/>
                <w:b w:val="0"/>
                <w:sz w:val="16"/>
              </w:rPr>
              <w:t>DF02</w:t>
            </w:r>
          </w:p>
        </w:tc>
        <w:tc>
          <w:tcPr>
            <w:tcW w:type="dxa" w:w="4608"/>
            <w:tcMar>
              <w:top w:w="70" w:type="dxa"/>
              <w:start w:w="80" w:type="dxa"/>
              <w:bottom w:w="70" w:type="dxa"/>
              <w:end w:w="80" w:type="dxa"/>
            </w:tcMar>
            <w:vAlign w:val="top"/>
          </w:tcPr>
          <w:p>
            <w:r>
              <w:rPr>
                <w:rFonts w:ascii="Aptos" w:hAnsi="Aptos"/>
                <w:b w:val="0"/>
                <w:sz w:val="16"/>
              </w:rPr>
              <w:t>Geography/category changed but system list not yet implemented</w:t>
            </w:r>
          </w:p>
        </w:tc>
        <w:tc>
          <w:tcPr>
            <w:tcW w:type="dxa" w:w="1872"/>
            <w:tcMar>
              <w:top w:w="70" w:type="dxa"/>
              <w:start w:w="80" w:type="dxa"/>
              <w:bottom w:w="70" w:type="dxa"/>
              <w:end w:w="80" w:type="dxa"/>
            </w:tcMar>
            <w:vAlign w:val="top"/>
          </w:tcPr>
          <w:p>
            <w:r>
              <w:rPr>
                <w:rFonts w:ascii="Aptos" w:hAnsi="Aptos"/>
                <w:b w:val="0"/>
                <w:sz w:val="16"/>
              </w:rPr>
              <w:t>Downward</w:t>
            </w:r>
          </w:p>
        </w:tc>
        <w:tc>
          <w:tcPr>
            <w:tcW w:type="dxa" w:w="3168"/>
            <w:tcMar>
              <w:top w:w="70" w:type="dxa"/>
              <w:start w:w="80" w:type="dxa"/>
              <w:bottom w:w="70" w:type="dxa"/>
              <w:end w:w="80" w:type="dxa"/>
            </w:tcMar>
            <w:vAlign w:val="top"/>
          </w:tcPr>
          <w:p>
            <w:r>
              <w:rPr>
                <w:rFonts w:ascii="Aptos" w:hAnsi="Aptos"/>
                <w:b w:val="0"/>
                <w:sz w:val="16"/>
              </w:rPr>
              <w:t>Requires documented parameter/change-control reference.</w:t>
            </w:r>
          </w:p>
        </w:tc>
      </w:tr>
      <w:tr>
        <w:tc>
          <w:tcPr>
            <w:tcW w:type="dxa" w:w="1296"/>
            <w:tcMar>
              <w:top w:w="70" w:type="dxa"/>
              <w:start w:w="80" w:type="dxa"/>
              <w:bottom w:w="70" w:type="dxa"/>
              <w:end w:w="80" w:type="dxa"/>
            </w:tcMar>
            <w:vAlign w:val="top"/>
            <w:shd w:fill="F7FAFC"/>
          </w:tcPr>
          <w:p>
            <w:r>
              <w:rPr>
                <w:rFonts w:ascii="Aptos" w:hAnsi="Aptos"/>
                <w:b w:val="0"/>
                <w:sz w:val="16"/>
              </w:rPr>
              <w:t>DF03</w:t>
            </w:r>
          </w:p>
        </w:tc>
        <w:tc>
          <w:tcPr>
            <w:tcW w:type="dxa" w:w="4608"/>
            <w:tcMar>
              <w:top w:w="70" w:type="dxa"/>
              <w:start w:w="80" w:type="dxa"/>
              <w:bottom w:w="70" w:type="dxa"/>
              <w:end w:w="80" w:type="dxa"/>
            </w:tcMar>
            <w:vAlign w:val="top"/>
            <w:shd w:fill="F7FAFC"/>
          </w:tcPr>
          <w:p>
            <w:r>
              <w:rPr>
                <w:rFonts w:ascii="Aptos" w:hAnsi="Aptos"/>
                <w:b w:val="0"/>
                <w:sz w:val="16"/>
              </w:rPr>
              <w:t>Exceptional compensating control materially reduces exposure</w:t>
            </w:r>
          </w:p>
        </w:tc>
        <w:tc>
          <w:tcPr>
            <w:tcW w:type="dxa" w:w="1872"/>
            <w:tcMar>
              <w:top w:w="70" w:type="dxa"/>
              <w:start w:w="80" w:type="dxa"/>
              <w:bottom w:w="70" w:type="dxa"/>
              <w:end w:w="80" w:type="dxa"/>
            </w:tcMar>
            <w:vAlign w:val="top"/>
            <w:shd w:fill="F7FAFC"/>
          </w:tcPr>
          <w:p>
            <w:r>
              <w:rPr>
                <w:rFonts w:ascii="Aptos" w:hAnsi="Aptos"/>
                <w:b w:val="0"/>
                <w:sz w:val="16"/>
              </w:rPr>
              <w:t>Downward</w:t>
            </w:r>
          </w:p>
        </w:tc>
        <w:tc>
          <w:tcPr>
            <w:tcW w:type="dxa" w:w="3168"/>
            <w:tcMar>
              <w:top w:w="70" w:type="dxa"/>
              <w:start w:w="80" w:type="dxa"/>
              <w:bottom w:w="70" w:type="dxa"/>
              <w:end w:w="80" w:type="dxa"/>
            </w:tcMar>
            <w:vAlign w:val="top"/>
            <w:shd w:fill="F7FAFC"/>
          </w:tcPr>
          <w:p>
            <w:r>
              <w:rPr>
                <w:rFonts w:ascii="Aptos" w:hAnsi="Aptos"/>
                <w:b w:val="0"/>
                <w:sz w:val="16"/>
              </w:rPr>
              <w:t>High→Medium requires Chief AML Officer and no mandatory floor.</w:t>
            </w:r>
          </w:p>
        </w:tc>
      </w:tr>
      <w:tr>
        <w:tc>
          <w:tcPr>
            <w:tcW w:type="dxa" w:w="1296"/>
            <w:tcMar>
              <w:top w:w="70" w:type="dxa"/>
              <w:start w:w="80" w:type="dxa"/>
              <w:bottom w:w="70" w:type="dxa"/>
              <w:end w:w="80" w:type="dxa"/>
            </w:tcMar>
            <w:vAlign w:val="top"/>
          </w:tcPr>
          <w:p>
            <w:r>
              <w:rPr>
                <w:rFonts w:ascii="Aptos" w:hAnsi="Aptos"/>
                <w:b w:val="0"/>
                <w:sz w:val="16"/>
              </w:rPr>
              <w:t>MF01</w:t>
            </w:r>
          </w:p>
        </w:tc>
        <w:tc>
          <w:tcPr>
            <w:tcW w:type="dxa" w:w="4608"/>
            <w:tcMar>
              <w:top w:w="70" w:type="dxa"/>
              <w:start w:w="80" w:type="dxa"/>
              <w:bottom w:w="70" w:type="dxa"/>
              <w:end w:w="80" w:type="dxa"/>
            </w:tcMar>
            <w:vAlign w:val="top"/>
          </w:tcPr>
          <w:p>
            <w:r>
              <w:rPr>
                <w:rFonts w:ascii="Aptos" w:hAnsi="Aptos"/>
                <w:b w:val="0"/>
                <w:sz w:val="16"/>
              </w:rPr>
              <w:t>Confirmed PEP</w:t>
            </w:r>
          </w:p>
        </w:tc>
        <w:tc>
          <w:tcPr>
            <w:tcW w:type="dxa" w:w="1872"/>
            <w:tcMar>
              <w:top w:w="70" w:type="dxa"/>
              <w:start w:w="80" w:type="dxa"/>
              <w:bottom w:w="70" w:type="dxa"/>
              <w:end w:w="80" w:type="dxa"/>
            </w:tcMar>
            <w:vAlign w:val="top"/>
          </w:tcPr>
          <w:p>
            <w:r>
              <w:rPr>
                <w:rFonts w:ascii="Aptos" w:hAnsi="Aptos"/>
                <w:b w:val="0"/>
                <w:sz w:val="16"/>
              </w:rPr>
              <w:t>Mandatory floor</w:t>
            </w:r>
          </w:p>
        </w:tc>
        <w:tc>
          <w:tcPr>
            <w:tcW w:type="dxa" w:w="3168"/>
            <w:tcMar>
              <w:top w:w="70" w:type="dxa"/>
              <w:start w:w="80" w:type="dxa"/>
              <w:bottom w:w="70" w:type="dxa"/>
              <w:end w:w="80" w:type="dxa"/>
            </w:tcMar>
            <w:vAlign w:val="top"/>
          </w:tcPr>
          <w:p>
            <w:r>
              <w:rPr>
                <w:rFonts w:ascii="Aptos" w:hAnsi="Aptos"/>
                <w:b w:val="0"/>
                <w:sz w:val="16"/>
              </w:rPr>
              <w:t>Final rating High regardless of base score.</w:t>
            </w:r>
          </w:p>
        </w:tc>
      </w:tr>
      <w:tr>
        <w:tc>
          <w:tcPr>
            <w:tcW w:type="dxa" w:w="1296"/>
            <w:tcMar>
              <w:top w:w="70" w:type="dxa"/>
              <w:start w:w="80" w:type="dxa"/>
              <w:bottom w:w="70" w:type="dxa"/>
              <w:end w:w="80" w:type="dxa"/>
            </w:tcMar>
            <w:vAlign w:val="top"/>
            <w:shd w:fill="F7FAFC"/>
          </w:tcPr>
          <w:p>
            <w:r>
              <w:rPr>
                <w:rFonts w:ascii="Aptos" w:hAnsi="Aptos"/>
                <w:b w:val="0"/>
                <w:sz w:val="16"/>
              </w:rPr>
              <w:t>MF02</w:t>
            </w:r>
          </w:p>
        </w:tc>
        <w:tc>
          <w:tcPr>
            <w:tcW w:type="dxa" w:w="4608"/>
            <w:tcMar>
              <w:top w:w="70" w:type="dxa"/>
              <w:start w:w="80" w:type="dxa"/>
              <w:bottom w:w="70" w:type="dxa"/>
              <w:end w:w="80" w:type="dxa"/>
            </w:tcMar>
            <w:vAlign w:val="top"/>
            <w:shd w:fill="F7FAFC"/>
          </w:tcPr>
          <w:p>
            <w:r>
              <w:rPr>
                <w:rFonts w:ascii="Aptos" w:hAnsi="Aptos"/>
                <w:b w:val="0"/>
                <w:sz w:val="16"/>
              </w:rPr>
              <w:t>Accepted material ownership opacity</w:t>
            </w:r>
          </w:p>
        </w:tc>
        <w:tc>
          <w:tcPr>
            <w:tcW w:type="dxa" w:w="1872"/>
            <w:tcMar>
              <w:top w:w="70" w:type="dxa"/>
              <w:start w:w="80" w:type="dxa"/>
              <w:bottom w:w="70" w:type="dxa"/>
              <w:end w:w="80" w:type="dxa"/>
            </w:tcMar>
            <w:vAlign w:val="top"/>
            <w:shd w:fill="F7FAFC"/>
          </w:tcPr>
          <w:p>
            <w:r>
              <w:rPr>
                <w:rFonts w:ascii="Aptos" w:hAnsi="Aptos"/>
                <w:b w:val="0"/>
                <w:sz w:val="16"/>
              </w:rPr>
              <w:t>Mandatory floor</w:t>
            </w:r>
          </w:p>
        </w:tc>
        <w:tc>
          <w:tcPr>
            <w:tcW w:type="dxa" w:w="3168"/>
            <w:tcMar>
              <w:top w:w="70" w:type="dxa"/>
              <w:start w:w="80" w:type="dxa"/>
              <w:bottom w:w="70" w:type="dxa"/>
              <w:end w:w="80" w:type="dxa"/>
            </w:tcMar>
            <w:vAlign w:val="top"/>
            <w:shd w:fill="F7FAFC"/>
          </w:tcPr>
          <w:p>
            <w:r>
              <w:rPr>
                <w:rFonts w:ascii="Aptos" w:hAnsi="Aptos"/>
                <w:b w:val="0"/>
                <w:sz w:val="16"/>
              </w:rPr>
              <w:t>High.</w:t>
            </w:r>
          </w:p>
        </w:tc>
      </w:tr>
      <w:tr>
        <w:tc>
          <w:tcPr>
            <w:tcW w:type="dxa" w:w="1296"/>
            <w:tcMar>
              <w:top w:w="70" w:type="dxa"/>
              <w:start w:w="80" w:type="dxa"/>
              <w:bottom w:w="70" w:type="dxa"/>
              <w:end w:w="80" w:type="dxa"/>
            </w:tcMar>
            <w:vAlign w:val="top"/>
          </w:tcPr>
          <w:p>
            <w:r>
              <w:rPr>
                <w:rFonts w:ascii="Aptos" w:hAnsi="Aptos"/>
                <w:b w:val="0"/>
                <w:sz w:val="16"/>
              </w:rPr>
              <w:t>MF03</w:t>
            </w:r>
          </w:p>
        </w:tc>
        <w:tc>
          <w:tcPr>
            <w:tcW w:type="dxa" w:w="4608"/>
            <w:tcMar>
              <w:top w:w="70" w:type="dxa"/>
              <w:start w:w="80" w:type="dxa"/>
              <w:bottom w:w="70" w:type="dxa"/>
              <w:end w:w="80" w:type="dxa"/>
            </w:tcMar>
            <w:vAlign w:val="top"/>
          </w:tcPr>
          <w:p>
            <w:r>
              <w:rPr>
                <w:rFonts w:ascii="Aptos" w:hAnsi="Aptos"/>
                <w:b w:val="0"/>
                <w:sz w:val="16"/>
              </w:rPr>
              <w:t>Material high-risk geography central to relationship</w:t>
            </w:r>
          </w:p>
        </w:tc>
        <w:tc>
          <w:tcPr>
            <w:tcW w:type="dxa" w:w="1872"/>
            <w:tcMar>
              <w:top w:w="70" w:type="dxa"/>
              <w:start w:w="80" w:type="dxa"/>
              <w:bottom w:w="70" w:type="dxa"/>
              <w:end w:w="80" w:type="dxa"/>
            </w:tcMar>
            <w:vAlign w:val="top"/>
          </w:tcPr>
          <w:p>
            <w:r>
              <w:rPr>
                <w:rFonts w:ascii="Aptos" w:hAnsi="Aptos"/>
                <w:b w:val="0"/>
                <w:sz w:val="16"/>
              </w:rPr>
              <w:t>Mandatory floor</w:t>
            </w:r>
          </w:p>
        </w:tc>
        <w:tc>
          <w:tcPr>
            <w:tcW w:type="dxa" w:w="3168"/>
            <w:tcMar>
              <w:top w:w="70" w:type="dxa"/>
              <w:start w:w="80" w:type="dxa"/>
              <w:bottom w:w="70" w:type="dxa"/>
              <w:end w:w="80" w:type="dxa"/>
            </w:tcMar>
            <w:vAlign w:val="top"/>
          </w:tcPr>
          <w:p>
            <w:r>
              <w:rPr>
                <w:rFonts w:ascii="Aptos" w:hAnsi="Aptos"/>
                <w:b w:val="0"/>
                <w:sz w:val="16"/>
              </w:rPr>
              <w:t>High.</w:t>
            </w:r>
          </w:p>
        </w:tc>
      </w:tr>
      <w:tr>
        <w:tc>
          <w:tcPr>
            <w:tcW w:type="dxa" w:w="1296"/>
            <w:tcMar>
              <w:top w:w="70" w:type="dxa"/>
              <w:start w:w="80" w:type="dxa"/>
              <w:bottom w:w="70" w:type="dxa"/>
              <w:end w:w="80" w:type="dxa"/>
            </w:tcMar>
            <w:vAlign w:val="top"/>
            <w:shd w:fill="F7FAFC"/>
          </w:tcPr>
          <w:p>
            <w:r>
              <w:rPr>
                <w:rFonts w:ascii="Aptos" w:hAnsi="Aptos"/>
                <w:b w:val="0"/>
                <w:sz w:val="16"/>
              </w:rPr>
              <w:t>MF04</w:t>
            </w:r>
          </w:p>
        </w:tc>
        <w:tc>
          <w:tcPr>
            <w:tcW w:type="dxa" w:w="4608"/>
            <w:tcMar>
              <w:top w:w="70" w:type="dxa"/>
              <w:start w:w="80" w:type="dxa"/>
              <w:bottom w:w="70" w:type="dxa"/>
              <w:end w:w="80" w:type="dxa"/>
            </w:tcMar>
            <w:vAlign w:val="top"/>
            <w:shd w:fill="F7FAFC"/>
          </w:tcPr>
          <w:p>
            <w:r>
              <w:rPr>
                <w:rFonts w:ascii="Aptos" w:hAnsi="Aptos"/>
                <w:b w:val="0"/>
                <w:sz w:val="16"/>
              </w:rPr>
              <w:t>Accepted EDD case with significant monitoring conditions</w:t>
            </w:r>
          </w:p>
        </w:tc>
        <w:tc>
          <w:tcPr>
            <w:tcW w:type="dxa" w:w="1872"/>
            <w:tcMar>
              <w:top w:w="70" w:type="dxa"/>
              <w:start w:w="80" w:type="dxa"/>
              <w:bottom w:w="70" w:type="dxa"/>
              <w:end w:w="80" w:type="dxa"/>
            </w:tcMar>
            <w:vAlign w:val="top"/>
            <w:shd w:fill="F7FAFC"/>
          </w:tcPr>
          <w:p>
            <w:r>
              <w:rPr>
                <w:rFonts w:ascii="Aptos" w:hAnsi="Aptos"/>
                <w:b w:val="0"/>
                <w:sz w:val="16"/>
              </w:rPr>
              <w:t>Mandatory floor</w:t>
            </w:r>
          </w:p>
        </w:tc>
        <w:tc>
          <w:tcPr>
            <w:tcW w:type="dxa" w:w="3168"/>
            <w:tcMar>
              <w:top w:w="70" w:type="dxa"/>
              <w:start w:w="80" w:type="dxa"/>
              <w:bottom w:w="70" w:type="dxa"/>
              <w:end w:w="80" w:type="dxa"/>
            </w:tcMar>
            <w:vAlign w:val="top"/>
            <w:shd w:fill="F7FAFC"/>
          </w:tcPr>
          <w:p>
            <w:r>
              <w:rPr>
                <w:rFonts w:ascii="Aptos" w:hAnsi="Aptos"/>
                <w:b w:val="0"/>
                <w:sz w:val="16"/>
              </w:rPr>
              <w:t>High.</w:t>
            </w:r>
          </w:p>
        </w:tc>
      </w:tr>
    </w:tbl>
    <w:p/>
    <w:p>
      <w:r>
        <w:br w:type="page"/>
      </w:r>
    </w:p>
    <w:p>
      <w:pPr>
        <w:pStyle w:val="Heading1"/>
      </w:pPr>
      <w:r>
        <w:t>Appendix F — Risk Migration Examples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600"/>
            <w:shd w:fill="17365D"/>
            <w:tcMar>
              <w:top w:w="70" w:type="dxa"/>
              <w:start w:w="80" w:type="dxa"/>
              <w:bottom w:w="70" w:type="dxa"/>
              <w:end w:w="80" w:type="dxa"/>
            </w:tcMar>
          </w:tcPr>
          <w:p>
            <w:r>
              <w:rPr>
                <w:rFonts w:ascii="Aptos" w:hAnsi="Aptos"/>
                <w:b/>
                <w:color w:val="FFFFFF"/>
                <w:sz w:val="16"/>
              </w:rPr>
              <w:t>Scenario</w:t>
            </w:r>
          </w:p>
        </w:tc>
        <w:tc>
          <w:tcPr>
            <w:tcW w:type="dxa" w:w="2160"/>
            <w:shd w:fill="17365D"/>
            <w:tcMar>
              <w:top w:w="70" w:type="dxa"/>
              <w:start w:w="80" w:type="dxa"/>
              <w:bottom w:w="70" w:type="dxa"/>
              <w:end w:w="80" w:type="dxa"/>
            </w:tcMar>
          </w:tcPr>
          <w:p>
            <w:r>
              <w:rPr>
                <w:rFonts w:ascii="Aptos" w:hAnsi="Aptos"/>
                <w:b/>
                <w:color w:val="FFFFFF"/>
                <w:sz w:val="16"/>
              </w:rPr>
              <w:t>Base Score Change</w:t>
            </w:r>
          </w:p>
        </w:tc>
        <w:tc>
          <w:tcPr>
            <w:tcW w:type="dxa" w:w="2880"/>
            <w:shd w:fill="17365D"/>
            <w:tcMar>
              <w:top w:w="70" w:type="dxa"/>
              <w:start w:w="80" w:type="dxa"/>
              <w:bottom w:w="70" w:type="dxa"/>
              <w:end w:w="80" w:type="dxa"/>
            </w:tcMar>
          </w:tcPr>
          <w:p>
            <w:r>
              <w:rPr>
                <w:rFonts w:ascii="Aptos" w:hAnsi="Aptos"/>
                <w:b/>
                <w:color w:val="FFFFFF"/>
                <w:sz w:val="16"/>
              </w:rPr>
              <w:t>Control</w:t>
            </w:r>
          </w:p>
        </w:tc>
        <w:tc>
          <w:tcPr>
            <w:tcW w:type="dxa" w:w="2592"/>
            <w:shd w:fill="17365D"/>
            <w:tcMar>
              <w:top w:w="70" w:type="dxa"/>
              <w:start w:w="80" w:type="dxa"/>
              <w:bottom w:w="70" w:type="dxa"/>
              <w:end w:w="80" w:type="dxa"/>
            </w:tcMar>
          </w:tcPr>
          <w:p>
            <w:r>
              <w:rPr>
                <w:rFonts w:ascii="Aptos" w:hAnsi="Aptos"/>
                <w:b/>
                <w:color w:val="FFFFFF"/>
                <w:sz w:val="16"/>
              </w:rPr>
              <w:t>Final Treatment</w:t>
            </w:r>
          </w:p>
        </w:tc>
      </w:tr>
      <w:tr>
        <w:tc>
          <w:tcPr>
            <w:tcW w:type="dxa" w:w="3600"/>
            <w:tcMar>
              <w:top w:w="70" w:type="dxa"/>
              <w:start w:w="80" w:type="dxa"/>
              <w:bottom w:w="70" w:type="dxa"/>
              <w:end w:w="80" w:type="dxa"/>
            </w:tcMar>
            <w:vAlign w:val="top"/>
          </w:tcPr>
          <w:p>
            <w:r>
              <w:rPr>
                <w:rFonts w:ascii="Aptos" w:hAnsi="Aptos"/>
                <w:b w:val="0"/>
                <w:sz w:val="16"/>
              </w:rPr>
              <w:t>Existing Low customer becomes PEP</w:t>
            </w:r>
          </w:p>
        </w:tc>
        <w:tc>
          <w:tcPr>
            <w:tcW w:type="dxa" w:w="2160"/>
            <w:tcMar>
              <w:top w:w="70" w:type="dxa"/>
              <w:start w:w="80" w:type="dxa"/>
              <w:bottom w:w="70" w:type="dxa"/>
              <w:end w:w="80" w:type="dxa"/>
            </w:tcMar>
            <w:vAlign w:val="top"/>
          </w:tcPr>
          <w:p>
            <w:r>
              <w:rPr>
                <w:rFonts w:ascii="Aptos" w:hAnsi="Aptos"/>
                <w:b w:val="0"/>
                <w:sz w:val="16"/>
              </w:rPr>
              <w:t>Base 18</w:t>
            </w:r>
          </w:p>
        </w:tc>
        <w:tc>
          <w:tcPr>
            <w:tcW w:type="dxa" w:w="2880"/>
            <w:tcMar>
              <w:top w:w="70" w:type="dxa"/>
              <w:start w:w="80" w:type="dxa"/>
              <w:bottom w:w="70" w:type="dxa"/>
              <w:end w:w="80" w:type="dxa"/>
            </w:tcMar>
            <w:vAlign w:val="top"/>
          </w:tcPr>
          <w:p>
            <w:r>
              <w:rPr>
                <w:rFonts w:ascii="Aptos" w:hAnsi="Aptos"/>
                <w:b w:val="0"/>
                <w:sz w:val="16"/>
              </w:rPr>
              <w:t>MF01 High floor</w:t>
            </w:r>
          </w:p>
        </w:tc>
        <w:tc>
          <w:tcPr>
            <w:tcW w:type="dxa" w:w="2592"/>
            <w:tcMar>
              <w:top w:w="70" w:type="dxa"/>
              <w:start w:w="80" w:type="dxa"/>
              <w:bottom w:w="70" w:type="dxa"/>
              <w:end w:w="80" w:type="dxa"/>
            </w:tcMar>
            <w:vAlign w:val="top"/>
          </w:tcPr>
          <w:p>
            <w:r>
              <w:rPr>
                <w:rFonts w:ascii="Aptos" w:hAnsi="Aptos"/>
                <w:b w:val="0"/>
                <w:sz w:val="16"/>
              </w:rPr>
              <w:t>High; 12-month review; EDD/approval.</w:t>
            </w:r>
          </w:p>
        </w:tc>
      </w:tr>
      <w:tr>
        <w:tc>
          <w:tcPr>
            <w:tcW w:type="dxa" w:w="3600"/>
            <w:tcMar>
              <w:top w:w="70" w:type="dxa"/>
              <w:start w:w="80" w:type="dxa"/>
              <w:bottom w:w="70" w:type="dxa"/>
              <w:end w:w="80" w:type="dxa"/>
            </w:tcMar>
            <w:vAlign w:val="top"/>
            <w:shd w:fill="F7FAFC"/>
          </w:tcPr>
          <w:p>
            <w:r>
              <w:rPr>
                <w:rFonts w:ascii="Aptos" w:hAnsi="Aptos"/>
                <w:b w:val="0"/>
                <w:sz w:val="16"/>
              </w:rPr>
              <w:t>Medium SME adds transparent new foreign supplier corridor</w:t>
            </w:r>
          </w:p>
        </w:tc>
        <w:tc>
          <w:tcPr>
            <w:tcW w:type="dxa" w:w="2160"/>
            <w:tcMar>
              <w:top w:w="70" w:type="dxa"/>
              <w:start w:w="80" w:type="dxa"/>
              <w:bottom w:w="70" w:type="dxa"/>
              <w:end w:w="80" w:type="dxa"/>
            </w:tcMar>
            <w:vAlign w:val="top"/>
            <w:shd w:fill="F7FAFC"/>
          </w:tcPr>
          <w:p>
            <w:r>
              <w:rPr>
                <w:rFonts w:ascii="Aptos" w:hAnsi="Aptos"/>
                <w:b w:val="0"/>
                <w:sz w:val="16"/>
              </w:rPr>
              <w:t>Base 42→48</w:t>
            </w:r>
          </w:p>
        </w:tc>
        <w:tc>
          <w:tcPr>
            <w:tcW w:type="dxa" w:w="2880"/>
            <w:tcMar>
              <w:top w:w="70" w:type="dxa"/>
              <w:start w:w="80" w:type="dxa"/>
              <w:bottom w:w="70" w:type="dxa"/>
              <w:end w:w="80" w:type="dxa"/>
            </w:tcMar>
            <w:vAlign w:val="top"/>
            <w:shd w:fill="F7FAFC"/>
          </w:tcPr>
          <w:p>
            <w:r>
              <w:rPr>
                <w:rFonts w:ascii="Aptos" w:hAnsi="Aptos"/>
                <w:b w:val="0"/>
                <w:sz w:val="16"/>
              </w:rPr>
              <w:t>No override</w:t>
            </w:r>
          </w:p>
        </w:tc>
        <w:tc>
          <w:tcPr>
            <w:tcW w:type="dxa" w:w="2592"/>
            <w:tcMar>
              <w:top w:w="70" w:type="dxa"/>
              <w:start w:w="80" w:type="dxa"/>
              <w:bottom w:w="70" w:type="dxa"/>
              <w:end w:w="80" w:type="dxa"/>
            </w:tcMar>
            <w:vAlign w:val="top"/>
            <w:shd w:fill="F7FAFC"/>
          </w:tcPr>
          <w:p>
            <w:r>
              <w:rPr>
                <w:rFonts w:ascii="Aptos" w:hAnsi="Aptos"/>
                <w:b w:val="0"/>
                <w:sz w:val="16"/>
              </w:rPr>
              <w:t>Medium; update expected activity.</w:t>
            </w:r>
          </w:p>
        </w:tc>
      </w:tr>
      <w:tr>
        <w:tc>
          <w:tcPr>
            <w:tcW w:type="dxa" w:w="3600"/>
            <w:tcMar>
              <w:top w:w="70" w:type="dxa"/>
              <w:start w:w="80" w:type="dxa"/>
              <w:bottom w:w="70" w:type="dxa"/>
              <w:end w:w="80" w:type="dxa"/>
            </w:tcMar>
            <w:vAlign w:val="top"/>
          </w:tcPr>
          <w:p>
            <w:r>
              <w:rPr>
                <w:rFonts w:ascii="Aptos" w:hAnsi="Aptos"/>
                <w:b w:val="0"/>
                <w:sz w:val="16"/>
              </w:rPr>
              <w:t>Low salaried customer receives documented property sale</w:t>
            </w:r>
          </w:p>
        </w:tc>
        <w:tc>
          <w:tcPr>
            <w:tcW w:type="dxa" w:w="2160"/>
            <w:tcMar>
              <w:top w:w="70" w:type="dxa"/>
              <w:start w:w="80" w:type="dxa"/>
              <w:bottom w:w="70" w:type="dxa"/>
              <w:end w:w="80" w:type="dxa"/>
            </w:tcMar>
            <w:vAlign w:val="top"/>
          </w:tcPr>
          <w:p>
            <w:r>
              <w:rPr>
                <w:rFonts w:ascii="Aptos" w:hAnsi="Aptos"/>
                <w:b w:val="0"/>
                <w:sz w:val="16"/>
              </w:rPr>
              <w:t>Base 12→16</w:t>
            </w:r>
          </w:p>
        </w:tc>
        <w:tc>
          <w:tcPr>
            <w:tcW w:type="dxa" w:w="2880"/>
            <w:tcMar>
              <w:top w:w="70" w:type="dxa"/>
              <w:start w:w="80" w:type="dxa"/>
              <w:bottom w:w="70" w:type="dxa"/>
              <w:end w:w="80" w:type="dxa"/>
            </w:tcMar>
            <w:vAlign w:val="top"/>
          </w:tcPr>
          <w:p>
            <w:r>
              <w:rPr>
                <w:rFonts w:ascii="Aptos" w:hAnsi="Aptos"/>
                <w:b w:val="0"/>
                <w:sz w:val="16"/>
              </w:rPr>
              <w:t>No override</w:t>
            </w:r>
          </w:p>
        </w:tc>
        <w:tc>
          <w:tcPr>
            <w:tcW w:type="dxa" w:w="2592"/>
            <w:tcMar>
              <w:top w:w="70" w:type="dxa"/>
              <w:start w:w="80" w:type="dxa"/>
              <w:bottom w:w="70" w:type="dxa"/>
              <w:end w:w="80" w:type="dxa"/>
            </w:tcMar>
            <w:vAlign w:val="top"/>
          </w:tcPr>
          <w:p>
            <w:r>
              <w:rPr>
                <w:rFonts w:ascii="Aptos" w:hAnsi="Aptos"/>
                <w:b w:val="0"/>
                <w:sz w:val="16"/>
              </w:rPr>
              <w:t>Low if source and purpose evidenced.</w:t>
            </w:r>
          </w:p>
        </w:tc>
      </w:tr>
      <w:tr>
        <w:tc>
          <w:tcPr>
            <w:tcW w:type="dxa" w:w="3600"/>
            <w:tcMar>
              <w:top w:w="70" w:type="dxa"/>
              <w:start w:w="80" w:type="dxa"/>
              <w:bottom w:w="70" w:type="dxa"/>
              <w:end w:w="80" w:type="dxa"/>
            </w:tcMar>
            <w:vAlign w:val="top"/>
            <w:shd w:fill="F7FAFC"/>
          </w:tcPr>
          <w:p>
            <w:r>
              <w:rPr>
                <w:rFonts w:ascii="Aptos" w:hAnsi="Aptos"/>
                <w:b w:val="0"/>
                <w:sz w:val="16"/>
              </w:rPr>
              <w:t>Medium company adds opaque nominee layer</w:t>
            </w:r>
          </w:p>
        </w:tc>
        <w:tc>
          <w:tcPr>
            <w:tcW w:type="dxa" w:w="2160"/>
            <w:tcMar>
              <w:top w:w="70" w:type="dxa"/>
              <w:start w:w="80" w:type="dxa"/>
              <w:bottom w:w="70" w:type="dxa"/>
              <w:end w:w="80" w:type="dxa"/>
            </w:tcMar>
            <w:vAlign w:val="top"/>
            <w:shd w:fill="F7FAFC"/>
          </w:tcPr>
          <w:p>
            <w:r>
              <w:rPr>
                <w:rFonts w:ascii="Aptos" w:hAnsi="Aptos"/>
                <w:b w:val="0"/>
                <w:sz w:val="16"/>
              </w:rPr>
              <w:t>Base 47→58</w:t>
            </w:r>
          </w:p>
        </w:tc>
        <w:tc>
          <w:tcPr>
            <w:tcW w:type="dxa" w:w="2880"/>
            <w:tcMar>
              <w:top w:w="70" w:type="dxa"/>
              <w:start w:w="80" w:type="dxa"/>
              <w:bottom w:w="70" w:type="dxa"/>
              <w:end w:w="80" w:type="dxa"/>
            </w:tcMar>
            <w:vAlign w:val="top"/>
            <w:shd w:fill="F7FAFC"/>
          </w:tcPr>
          <w:p>
            <w:r>
              <w:rPr>
                <w:rFonts w:ascii="Aptos" w:hAnsi="Aptos"/>
                <w:b w:val="0"/>
                <w:sz w:val="16"/>
              </w:rPr>
              <w:t>MF02 High floor</w:t>
            </w:r>
          </w:p>
        </w:tc>
        <w:tc>
          <w:tcPr>
            <w:tcW w:type="dxa" w:w="2592"/>
            <w:tcMar>
              <w:top w:w="70" w:type="dxa"/>
              <w:start w:w="80" w:type="dxa"/>
              <w:bottom w:w="70" w:type="dxa"/>
              <w:end w:w="80" w:type="dxa"/>
            </w:tcMar>
            <w:vAlign w:val="top"/>
            <w:shd w:fill="F7FAFC"/>
          </w:tcPr>
          <w:p>
            <w:r>
              <w:rPr>
                <w:rFonts w:ascii="Aptos" w:hAnsi="Aptos"/>
                <w:b w:val="0"/>
                <w:sz w:val="16"/>
              </w:rPr>
              <w:t>High; EDD and ownership remediation.</w:t>
            </w:r>
          </w:p>
        </w:tc>
      </w:tr>
      <w:tr>
        <w:tc>
          <w:tcPr>
            <w:tcW w:type="dxa" w:w="3600"/>
            <w:tcMar>
              <w:top w:w="70" w:type="dxa"/>
              <w:start w:w="80" w:type="dxa"/>
              <w:bottom w:w="70" w:type="dxa"/>
              <w:end w:w="80" w:type="dxa"/>
            </w:tcMar>
            <w:vAlign w:val="top"/>
          </w:tcPr>
          <w:p>
            <w:r>
              <w:rPr>
                <w:rFonts w:ascii="Aptos" w:hAnsi="Aptos"/>
                <w:b w:val="0"/>
                <w:sz w:val="16"/>
              </w:rPr>
              <w:t>High customer exits high-risk geography and ownership simplifies</w:t>
            </w:r>
          </w:p>
        </w:tc>
        <w:tc>
          <w:tcPr>
            <w:tcW w:type="dxa" w:w="2160"/>
            <w:tcMar>
              <w:top w:w="70" w:type="dxa"/>
              <w:start w:w="80" w:type="dxa"/>
              <w:bottom w:w="70" w:type="dxa"/>
              <w:end w:w="80" w:type="dxa"/>
            </w:tcMar>
            <w:vAlign w:val="top"/>
          </w:tcPr>
          <w:p>
            <w:r>
              <w:rPr>
                <w:rFonts w:ascii="Aptos" w:hAnsi="Aptos"/>
                <w:b w:val="0"/>
                <w:sz w:val="16"/>
              </w:rPr>
              <w:t>Base 66→39</w:t>
            </w:r>
          </w:p>
        </w:tc>
        <w:tc>
          <w:tcPr>
            <w:tcW w:type="dxa" w:w="2880"/>
            <w:tcMar>
              <w:top w:w="70" w:type="dxa"/>
              <w:start w:w="80" w:type="dxa"/>
              <w:bottom w:w="70" w:type="dxa"/>
              <w:end w:w="80" w:type="dxa"/>
            </w:tcMar>
            <w:vAlign w:val="top"/>
          </w:tcPr>
          <w:p>
            <w:r>
              <w:rPr>
                <w:rFonts w:ascii="Aptos" w:hAnsi="Aptos"/>
                <w:b w:val="0"/>
                <w:sz w:val="16"/>
              </w:rPr>
              <w:t>Potential downgrade after completed review</w:t>
            </w:r>
          </w:p>
        </w:tc>
        <w:tc>
          <w:tcPr>
            <w:tcW w:type="dxa" w:w="2592"/>
            <w:tcMar>
              <w:top w:w="70" w:type="dxa"/>
              <w:start w:w="80" w:type="dxa"/>
              <w:bottom w:w="70" w:type="dxa"/>
              <w:end w:w="80" w:type="dxa"/>
            </w:tcMar>
            <w:vAlign w:val="top"/>
          </w:tcPr>
          <w:p>
            <w:r>
              <w:rPr>
                <w:rFonts w:ascii="Aptos" w:hAnsi="Aptos"/>
                <w:b w:val="0"/>
                <w:sz w:val="16"/>
              </w:rPr>
              <w:t>Medium only if no floor remains and approval complete.</w:t>
            </w:r>
          </w:p>
        </w:tc>
      </w:tr>
      <w:tr>
        <w:tc>
          <w:tcPr>
            <w:tcW w:type="dxa" w:w="3600"/>
            <w:tcMar>
              <w:top w:w="70" w:type="dxa"/>
              <w:start w:w="80" w:type="dxa"/>
              <w:bottom w:w="70" w:type="dxa"/>
              <w:end w:w="80" w:type="dxa"/>
            </w:tcMar>
            <w:vAlign w:val="top"/>
            <w:shd w:fill="F7FAFC"/>
          </w:tcPr>
          <w:p>
            <w:r>
              <w:rPr>
                <w:rFonts w:ascii="Aptos" w:hAnsi="Aptos"/>
                <w:b w:val="0"/>
                <w:sz w:val="16"/>
              </w:rPr>
              <w:t>Repeated false-positive alerts from same known payroll pattern</w:t>
            </w:r>
          </w:p>
        </w:tc>
        <w:tc>
          <w:tcPr>
            <w:tcW w:type="dxa" w:w="2160"/>
            <w:tcMar>
              <w:top w:w="70" w:type="dxa"/>
              <w:start w:w="80" w:type="dxa"/>
              <w:bottom w:w="70" w:type="dxa"/>
              <w:end w:w="80" w:type="dxa"/>
            </w:tcMar>
            <w:vAlign w:val="top"/>
            <w:shd w:fill="F7FAFC"/>
          </w:tcPr>
          <w:p>
            <w:r>
              <w:rPr>
                <w:rFonts w:ascii="Aptos" w:hAnsi="Aptos"/>
                <w:b w:val="0"/>
                <w:sz w:val="16"/>
              </w:rPr>
              <w:t>Behaviour points remain 0–2</w:t>
            </w:r>
          </w:p>
        </w:tc>
        <w:tc>
          <w:tcPr>
            <w:tcW w:type="dxa" w:w="2880"/>
            <w:tcMar>
              <w:top w:w="70" w:type="dxa"/>
              <w:start w:w="80" w:type="dxa"/>
              <w:bottom w:w="70" w:type="dxa"/>
              <w:end w:w="80" w:type="dxa"/>
            </w:tcMar>
            <w:vAlign w:val="top"/>
            <w:shd w:fill="F7FAFC"/>
          </w:tcPr>
          <w:p>
            <w:r>
              <w:rPr>
                <w:rFonts w:ascii="Aptos" w:hAnsi="Aptos"/>
                <w:b w:val="0"/>
                <w:sz w:val="16"/>
              </w:rPr>
              <w:t>Suppression governance may apply</w:t>
            </w:r>
          </w:p>
        </w:tc>
        <w:tc>
          <w:tcPr>
            <w:tcW w:type="dxa" w:w="2592"/>
            <w:tcMar>
              <w:top w:w="70" w:type="dxa"/>
              <w:start w:w="80" w:type="dxa"/>
              <w:bottom w:w="70" w:type="dxa"/>
              <w:end w:w="80" w:type="dxa"/>
            </w:tcMar>
            <w:vAlign w:val="top"/>
            <w:shd w:fill="F7FAFC"/>
          </w:tcPr>
          <w:p>
            <w:r>
              <w:rPr>
                <w:rFonts w:ascii="Aptos" w:hAnsi="Aptos"/>
                <w:b w:val="0"/>
                <w:sz w:val="16"/>
              </w:rPr>
              <w:t>Risk rating need not increase solely due alert count.</w:t>
            </w:r>
          </w:p>
        </w:tc>
      </w:tr>
      <w:tr>
        <w:tc>
          <w:tcPr>
            <w:tcW w:type="dxa" w:w="3600"/>
            <w:tcMar>
              <w:top w:w="70" w:type="dxa"/>
              <w:start w:w="80" w:type="dxa"/>
              <w:bottom w:w="70" w:type="dxa"/>
              <w:end w:w="80" w:type="dxa"/>
            </w:tcMar>
            <w:vAlign w:val="top"/>
          </w:tcPr>
          <w:p>
            <w:r>
              <w:rPr>
                <w:rFonts w:ascii="Aptos" w:hAnsi="Aptos"/>
                <w:b w:val="0"/>
                <w:sz w:val="16"/>
              </w:rPr>
              <w:t>Customer with high credit risk but ordinary transparent financial profile</w:t>
            </w:r>
          </w:p>
        </w:tc>
        <w:tc>
          <w:tcPr>
            <w:tcW w:type="dxa" w:w="2160"/>
            <w:tcMar>
              <w:top w:w="70" w:type="dxa"/>
              <w:start w:w="80" w:type="dxa"/>
              <w:bottom w:w="70" w:type="dxa"/>
              <w:end w:w="80" w:type="dxa"/>
            </w:tcMar>
            <w:vAlign w:val="top"/>
          </w:tcPr>
          <w:p>
            <w:r>
              <w:rPr>
                <w:rFonts w:ascii="Aptos" w:hAnsi="Aptos"/>
                <w:b w:val="0"/>
                <w:sz w:val="16"/>
              </w:rPr>
              <w:t>AML base 10</w:t>
            </w:r>
          </w:p>
        </w:tc>
        <w:tc>
          <w:tcPr>
            <w:tcW w:type="dxa" w:w="2880"/>
            <w:tcMar>
              <w:top w:w="70" w:type="dxa"/>
              <w:start w:w="80" w:type="dxa"/>
              <w:bottom w:w="70" w:type="dxa"/>
              <w:end w:w="80" w:type="dxa"/>
            </w:tcMar>
            <w:vAlign w:val="top"/>
          </w:tcPr>
          <w:p>
            <w:r>
              <w:rPr>
                <w:rFonts w:ascii="Aptos" w:hAnsi="Aptos"/>
                <w:b w:val="0"/>
                <w:sz w:val="16"/>
              </w:rPr>
              <w:t>None</w:t>
            </w:r>
          </w:p>
        </w:tc>
        <w:tc>
          <w:tcPr>
            <w:tcW w:type="dxa" w:w="2592"/>
            <w:tcMar>
              <w:top w:w="70" w:type="dxa"/>
              <w:start w:w="80" w:type="dxa"/>
              <w:bottom w:w="70" w:type="dxa"/>
              <w:end w:w="80" w:type="dxa"/>
            </w:tcMar>
            <w:vAlign w:val="top"/>
          </w:tcPr>
          <w:p>
            <w:r>
              <w:rPr>
                <w:rFonts w:ascii="Aptos" w:hAnsi="Aptos"/>
                <w:b w:val="0"/>
                <w:sz w:val="16"/>
              </w:rPr>
              <w:t>Low AML; credit handled separately.</w:t>
            </w:r>
          </w:p>
        </w:tc>
      </w:tr>
      <w:tr>
        <w:tc>
          <w:tcPr>
            <w:tcW w:type="dxa" w:w="3600"/>
            <w:tcMar>
              <w:top w:w="70" w:type="dxa"/>
              <w:start w:w="80" w:type="dxa"/>
              <w:bottom w:w="70" w:type="dxa"/>
              <w:end w:w="80" w:type="dxa"/>
            </w:tcMar>
            <w:vAlign w:val="top"/>
            <w:shd w:fill="F7FAFC"/>
          </w:tcPr>
          <w:p>
            <w:r>
              <w:rPr>
                <w:rFonts w:ascii="Aptos" w:hAnsi="Aptos"/>
                <w:b w:val="0"/>
                <w:sz w:val="16"/>
              </w:rPr>
              <w:t>High-credit-score applicant with identity discrepancy</w:t>
            </w:r>
          </w:p>
        </w:tc>
        <w:tc>
          <w:tcPr>
            <w:tcW w:type="dxa" w:w="2160"/>
            <w:tcMar>
              <w:top w:w="70" w:type="dxa"/>
              <w:start w:w="80" w:type="dxa"/>
              <w:bottom w:w="70" w:type="dxa"/>
              <w:end w:w="80" w:type="dxa"/>
            </w:tcMar>
            <w:vAlign w:val="top"/>
            <w:shd w:fill="F7FAFC"/>
          </w:tcPr>
          <w:p>
            <w:r>
              <w:rPr>
                <w:rFonts w:ascii="Aptos" w:hAnsi="Aptos"/>
                <w:b w:val="0"/>
                <w:sz w:val="16"/>
              </w:rPr>
              <w:t>AML/KYC facts pending</w:t>
            </w:r>
          </w:p>
        </w:tc>
        <w:tc>
          <w:tcPr>
            <w:tcW w:type="dxa" w:w="2880"/>
            <w:tcMar>
              <w:top w:w="70" w:type="dxa"/>
              <w:start w:w="80" w:type="dxa"/>
              <w:bottom w:w="70" w:type="dxa"/>
              <w:end w:w="80" w:type="dxa"/>
            </w:tcMar>
            <w:vAlign w:val="top"/>
            <w:shd w:fill="F7FAFC"/>
          </w:tcPr>
          <w:p>
            <w:r>
              <w:rPr>
                <w:rFonts w:ascii="Aptos" w:hAnsi="Aptos"/>
                <w:b w:val="0"/>
                <w:sz w:val="16"/>
              </w:rPr>
              <w:t>Cannot finalize rating/release</w:t>
            </w:r>
          </w:p>
        </w:tc>
        <w:tc>
          <w:tcPr>
            <w:tcW w:type="dxa" w:w="2592"/>
            <w:tcMar>
              <w:top w:w="70" w:type="dxa"/>
              <w:start w:w="80" w:type="dxa"/>
              <w:bottom w:w="70" w:type="dxa"/>
              <w:end w:w="80" w:type="dxa"/>
            </w:tcMar>
            <w:vAlign w:val="top"/>
            <w:shd w:fill="F7FAFC"/>
          </w:tcPr>
          <w:p>
            <w:r>
              <w:rPr>
                <w:rFonts w:ascii="Aptos" w:hAnsi="Aptos"/>
                <w:b w:val="0"/>
                <w:sz w:val="16"/>
              </w:rPr>
              <w:t>KYC restriction regardless of credit score.</w:t>
            </w:r>
          </w:p>
        </w:tc>
      </w:tr>
      <w:tr>
        <w:tc>
          <w:tcPr>
            <w:tcW w:type="dxa" w:w="3600"/>
            <w:tcMar>
              <w:top w:w="70" w:type="dxa"/>
              <w:start w:w="80" w:type="dxa"/>
              <w:bottom w:w="70" w:type="dxa"/>
              <w:end w:w="80" w:type="dxa"/>
            </w:tcMar>
            <w:vAlign w:val="top"/>
          </w:tcPr>
          <w:p>
            <w:r>
              <w:rPr>
                <w:rFonts w:ascii="Aptos" w:hAnsi="Aptos"/>
                <w:b w:val="0"/>
                <w:sz w:val="16"/>
              </w:rPr>
              <w:t>Introduced low-value customer through weak intermediary control</w:t>
            </w:r>
          </w:p>
        </w:tc>
        <w:tc>
          <w:tcPr>
            <w:tcW w:type="dxa" w:w="2160"/>
            <w:tcMar>
              <w:top w:w="70" w:type="dxa"/>
              <w:start w:w="80" w:type="dxa"/>
              <w:bottom w:w="70" w:type="dxa"/>
              <w:end w:w="80" w:type="dxa"/>
            </w:tcMar>
            <w:vAlign w:val="top"/>
          </w:tcPr>
          <w:p>
            <w:r>
              <w:rPr>
                <w:rFonts w:ascii="Aptos" w:hAnsi="Aptos"/>
                <w:b w:val="0"/>
                <w:sz w:val="16"/>
              </w:rPr>
              <w:t>Base 28</w:t>
            </w:r>
          </w:p>
        </w:tc>
        <w:tc>
          <w:tcPr>
            <w:tcW w:type="dxa" w:w="2880"/>
            <w:tcMar>
              <w:top w:w="70" w:type="dxa"/>
              <w:start w:w="80" w:type="dxa"/>
              <w:bottom w:w="70" w:type="dxa"/>
              <w:end w:w="80" w:type="dxa"/>
            </w:tcMar>
            <w:vAlign w:val="top"/>
          </w:tcPr>
          <w:p>
            <w:r>
              <w:rPr>
                <w:rFonts w:ascii="Aptos" w:hAnsi="Aptos"/>
                <w:b w:val="0"/>
                <w:sz w:val="16"/>
              </w:rPr>
              <w:t>Upward UF01</w:t>
            </w:r>
          </w:p>
        </w:tc>
        <w:tc>
          <w:tcPr>
            <w:tcW w:type="dxa" w:w="2592"/>
            <w:tcMar>
              <w:top w:w="70" w:type="dxa"/>
              <w:start w:w="80" w:type="dxa"/>
              <w:bottom w:w="70" w:type="dxa"/>
              <w:end w:w="80" w:type="dxa"/>
            </w:tcMar>
            <w:vAlign w:val="top"/>
          </w:tcPr>
          <w:p>
            <w:r>
              <w:rPr>
                <w:rFonts w:ascii="Aptos" w:hAnsi="Aptos"/>
                <w:b w:val="0"/>
                <w:sz w:val="16"/>
              </w:rPr>
              <w:t>Medium due channel weakness.</w:t>
            </w:r>
          </w:p>
        </w:tc>
      </w:tr>
      <w:tr>
        <w:tc>
          <w:tcPr>
            <w:tcW w:type="dxa" w:w="3600"/>
            <w:tcMar>
              <w:top w:w="70" w:type="dxa"/>
              <w:start w:w="80" w:type="dxa"/>
              <w:bottom w:w="70" w:type="dxa"/>
              <w:end w:w="80" w:type="dxa"/>
            </w:tcMar>
            <w:vAlign w:val="top"/>
            <w:shd w:fill="F7FAFC"/>
          </w:tcPr>
          <w:p>
            <w:r>
              <w:rPr>
                <w:rFonts w:ascii="Aptos" w:hAnsi="Aptos"/>
                <w:b w:val="0"/>
                <w:sz w:val="16"/>
              </w:rPr>
              <w:t>PEP close associate with transparent wealth and no adverse info</w:t>
            </w:r>
          </w:p>
        </w:tc>
        <w:tc>
          <w:tcPr>
            <w:tcW w:type="dxa" w:w="2160"/>
            <w:tcMar>
              <w:top w:w="70" w:type="dxa"/>
              <w:start w:w="80" w:type="dxa"/>
              <w:bottom w:w="70" w:type="dxa"/>
              <w:end w:w="80" w:type="dxa"/>
            </w:tcMar>
            <w:vAlign w:val="top"/>
            <w:shd w:fill="F7FAFC"/>
          </w:tcPr>
          <w:p>
            <w:r>
              <w:rPr>
                <w:rFonts w:ascii="Aptos" w:hAnsi="Aptos"/>
                <w:b w:val="0"/>
                <w:sz w:val="16"/>
              </w:rPr>
              <w:t>Base 24</w:t>
            </w:r>
          </w:p>
        </w:tc>
        <w:tc>
          <w:tcPr>
            <w:tcW w:type="dxa" w:w="2880"/>
            <w:tcMar>
              <w:top w:w="70" w:type="dxa"/>
              <w:start w:w="80" w:type="dxa"/>
              <w:bottom w:w="70" w:type="dxa"/>
              <w:end w:w="80" w:type="dxa"/>
            </w:tcMar>
            <w:vAlign w:val="top"/>
            <w:shd w:fill="F7FAFC"/>
          </w:tcPr>
          <w:p>
            <w:r>
              <w:rPr>
                <w:rFonts w:ascii="Aptos" w:hAnsi="Aptos"/>
                <w:b w:val="0"/>
                <w:sz w:val="16"/>
              </w:rPr>
              <w:t>MF01/PEP treatment</w:t>
            </w:r>
          </w:p>
        </w:tc>
        <w:tc>
          <w:tcPr>
            <w:tcW w:type="dxa" w:w="2592"/>
            <w:tcMar>
              <w:top w:w="70" w:type="dxa"/>
              <w:start w:w="80" w:type="dxa"/>
              <w:bottom w:w="70" w:type="dxa"/>
              <w:end w:w="80" w:type="dxa"/>
            </w:tcMar>
            <w:vAlign w:val="top"/>
            <w:shd w:fill="F7FAFC"/>
          </w:tcPr>
          <w:p>
            <w:r>
              <w:rPr>
                <w:rFonts w:ascii="Aptos" w:hAnsi="Aptos"/>
                <w:b w:val="0"/>
                <w:sz w:val="16"/>
              </w:rPr>
              <w:t>High due mandatory floor.</w:t>
            </w:r>
          </w:p>
        </w:tc>
      </w:tr>
    </w:tbl>
    <w:p/>
    <w:p>
      <w:pPr>
        <w:jc w:val="center"/>
      </w:pPr>
      <w:r>
        <w:rPr>
          <w:rFonts w:ascii="Aptos" w:hAnsi="Aptos"/>
          <w:b/>
          <w:color w:val="666666"/>
          <w:sz w:val="16"/>
        </w:rPr>
        <w:t>END OF CONTROLLED DOCUMENT</w:t>
      </w:r>
    </w:p>
    <w:sectPr w:rsidR="00FC693F" w:rsidRPr="0006063C" w:rsidSect="00034616">
      <w:headerReference w:type="default" r:id="rId9"/>
      <w:footerReference w:type="default" r:id="rId10"/>
      <w:pgSz w:w="12240" w:h="15840"/>
      <w:pgMar w:top="792"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6"/>
      <w:gridCol w:w="3456"/>
      <w:gridCol w:w="3456"/>
    </w:tblGrid>
    <w:tr>
      <w:tc>
        <w:tcPr>
          <w:tcW w:type="dxa" w:w="3312"/>
          <w:tcMar>
            <w:top w:w="20" w:type="dxa"/>
            <w:start w:w="20" w:type="dxa"/>
            <w:bottom w:w="20" w:type="dxa"/>
            <w:end w:w="20" w:type="dxa"/>
          </w:tcMar>
        </w:tcPr>
        <w:p>
          <w:r>
            <w:rPr>
              <w:rFonts w:ascii="Aptos" w:hAnsi="Aptos"/>
              <w:color w:val="666666"/>
              <w:sz w:val="14"/>
            </w:rPr>
            <w:t>CRR-033 | v1.0</w:t>
          </w:r>
        </w:p>
      </w:tc>
      <w:tc>
        <w:tcPr>
          <w:tcW w:type="dxa" w:w="4032"/>
          <w:tcMar>
            <w:top w:w="20" w:type="dxa"/>
            <w:start w:w="20" w:type="dxa"/>
            <w:bottom w:w="20" w:type="dxa"/>
            <w:end w:w="20" w:type="dxa"/>
          </w:tcMar>
        </w:tcPr>
        <w:p>
          <w:pPr>
            <w:jc w:val="center"/>
          </w:pPr>
          <w:r>
            <w:rPr>
              <w:rFonts w:ascii="Aptos" w:hAnsi="Aptos"/>
              <w:color w:val="666666"/>
              <w:sz w:val="14"/>
            </w:rPr>
            <w:t>Synthetic Internal Document</w:t>
          </w:r>
        </w:p>
      </w:tc>
      <w:tc>
        <w:tcPr>
          <w:tcW w:type="dxa" w:w="3024"/>
          <w:tcMar>
            <w:top w:w="20" w:type="dxa"/>
            <w:start w:w="20" w:type="dxa"/>
            <w:bottom w:w="20" w:type="dxa"/>
            <w:end w:w="20" w:type="dxa"/>
          </w:tcMar>
        </w:tcPr>
        <w:p>
          <w:pPr>
            <w:jc w:val="right"/>
          </w:pPr>
          <w:r>
            <w:rPr>
              <w:rFonts w:ascii="Aptos" w:hAnsi="Aptos"/>
              <w:color w:val="666666"/>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NORTHSTAR FINANCIAL  |  INTERNAL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ControlBullet">
    <w:name w:val="Control Bullet"/>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