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Employee Operations Manual</w:t>
      </w:r>
    </w:p>
    <w:p>
      <w:pPr>
        <w:jc w:val="center"/>
      </w:pPr>
      <w:r>
        <w:rPr>
          <w:sz w:val="20"/>
        </w:rPr>
        <w:t>EOM-020  |  Version 2.4  |  Internal</w:t>
      </w:r>
    </w:p>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D9EAF7"/>
          </w:tcPr>
          <w:p>
            <w:r/>
            <w:r>
              <w:rPr>
                <w:b/>
                <w:color w:val="17365D"/>
                <w:sz w:val="16"/>
              </w:rPr>
              <w:t>Document ID</w:t>
            </w:r>
          </w:p>
        </w:tc>
        <w:tc>
          <w:tcPr>
            <w:tcW w:type="dxa" w:w="5155"/>
            <w:vAlign w:val="center"/>
          </w:tcPr>
          <w:p>
            <w:r/>
            <w:r>
              <w:rPr>
                <w:b w:val="0"/>
                <w:sz w:val="16"/>
              </w:rPr>
              <w:t>EOM-020</w:t>
            </w:r>
          </w:p>
        </w:tc>
      </w:tr>
      <w:tr>
        <w:tc>
          <w:tcPr>
            <w:tcW w:type="dxa" w:w="5155"/>
            <w:vAlign w:val="center"/>
            <w:shd w:fill="D9EAF7"/>
          </w:tcPr>
          <w:p>
            <w:r/>
            <w:r>
              <w:rPr>
                <w:b/>
                <w:color w:val="17365D"/>
                <w:sz w:val="16"/>
              </w:rPr>
              <w:t>Document Title</w:t>
            </w:r>
          </w:p>
        </w:tc>
        <w:tc>
          <w:tcPr>
            <w:tcW w:type="dxa" w:w="5155"/>
            <w:vAlign w:val="center"/>
          </w:tcPr>
          <w:p>
            <w:r/>
            <w:r>
              <w:rPr>
                <w:b w:val="0"/>
                <w:sz w:val="16"/>
              </w:rPr>
              <w:t>Employee Operations Manual</w:t>
            </w:r>
          </w:p>
        </w:tc>
      </w:tr>
      <w:tr>
        <w:tc>
          <w:tcPr>
            <w:tcW w:type="dxa" w:w="5155"/>
            <w:vAlign w:val="center"/>
            <w:shd w:fill="D9EAF7"/>
          </w:tcPr>
          <w:p>
            <w:r/>
            <w:r>
              <w:rPr>
                <w:b/>
                <w:color w:val="17365D"/>
                <w:sz w:val="16"/>
              </w:rPr>
              <w:t>Version</w:t>
            </w:r>
          </w:p>
        </w:tc>
        <w:tc>
          <w:tcPr>
            <w:tcW w:type="dxa" w:w="5155"/>
            <w:vAlign w:val="center"/>
          </w:tcPr>
          <w:p>
            <w:r/>
            <w:r>
              <w:rPr>
                <w:b w:val="0"/>
                <w:sz w:val="16"/>
              </w:rPr>
              <w:t>2.4</w:t>
            </w:r>
          </w:p>
        </w:tc>
      </w:tr>
      <w:tr>
        <w:tc>
          <w:tcPr>
            <w:tcW w:type="dxa" w:w="5155"/>
            <w:vAlign w:val="center"/>
            <w:shd w:fill="D9EAF7"/>
          </w:tcPr>
          <w:p>
            <w:r/>
            <w:r>
              <w:rPr>
                <w:b/>
                <w:color w:val="17365D"/>
                <w:sz w:val="16"/>
              </w:rPr>
              <w:t>Policy Owner</w:t>
            </w:r>
          </w:p>
        </w:tc>
        <w:tc>
          <w:tcPr>
            <w:tcW w:type="dxa" w:w="5155"/>
            <w:vAlign w:val="center"/>
          </w:tcPr>
          <w:p>
            <w:r/>
            <w:r>
              <w:rPr>
                <w:b w:val="0"/>
                <w:sz w:val="16"/>
              </w:rPr>
              <w:t>Ritika Sharma — Head of Operations Governance</w:t>
            </w:r>
          </w:p>
        </w:tc>
      </w:tr>
      <w:tr>
        <w:tc>
          <w:tcPr>
            <w:tcW w:type="dxa" w:w="5155"/>
            <w:vAlign w:val="center"/>
            <w:shd w:fill="D9EAF7"/>
          </w:tcPr>
          <w:p>
            <w:r/>
            <w:r>
              <w:rPr>
                <w:b/>
                <w:color w:val="17365D"/>
                <w:sz w:val="16"/>
              </w:rPr>
              <w:t>Business Unit</w:t>
            </w:r>
          </w:p>
        </w:tc>
        <w:tc>
          <w:tcPr>
            <w:tcW w:type="dxa" w:w="5155"/>
            <w:vAlign w:val="center"/>
          </w:tcPr>
          <w:p>
            <w:r/>
            <w:r>
              <w:rPr>
                <w:b w:val="0"/>
                <w:sz w:val="16"/>
              </w:rPr>
              <w:t>Operations / Human Resources</w:t>
            </w:r>
          </w:p>
        </w:tc>
      </w:tr>
      <w:tr>
        <w:tc>
          <w:tcPr>
            <w:tcW w:type="dxa" w:w="5155"/>
            <w:vAlign w:val="center"/>
            <w:shd w:fill="D9EAF7"/>
          </w:tcPr>
          <w:p>
            <w:r/>
            <w:r>
              <w:rPr>
                <w:b/>
                <w:color w:val="17365D"/>
                <w:sz w:val="16"/>
              </w:rPr>
              <w:t>Approving Authority</w:t>
            </w:r>
          </w:p>
        </w:tc>
        <w:tc>
          <w:tcPr>
            <w:tcW w:type="dxa" w:w="5155"/>
            <w:vAlign w:val="center"/>
          </w:tcPr>
          <w:p>
            <w:r/>
            <w:r>
              <w:rPr>
                <w:b w:val="0"/>
                <w:sz w:val="16"/>
              </w:rPr>
              <w:t>Chief Operating Officer and Chief Human Resources Officer</w:t>
            </w:r>
          </w:p>
        </w:tc>
      </w:tr>
      <w:tr>
        <w:tc>
          <w:tcPr>
            <w:tcW w:type="dxa" w:w="5155"/>
            <w:vAlign w:val="center"/>
            <w:shd w:fill="D9EAF7"/>
          </w:tcPr>
          <w:p>
            <w:r/>
            <w:r>
              <w:rPr>
                <w:b/>
                <w:color w:val="17365D"/>
                <w:sz w:val="16"/>
              </w:rPr>
              <w:t>Effective Date</w:t>
            </w:r>
          </w:p>
        </w:tc>
        <w:tc>
          <w:tcPr>
            <w:tcW w:type="dxa" w:w="5155"/>
            <w:vAlign w:val="center"/>
          </w:tcPr>
          <w:p>
            <w:r/>
            <w:r>
              <w:rPr>
                <w:b w:val="0"/>
                <w:sz w:val="16"/>
              </w:rPr>
              <w:t>1 June 2026</w:t>
            </w:r>
          </w:p>
        </w:tc>
      </w:tr>
      <w:tr>
        <w:tc>
          <w:tcPr>
            <w:tcW w:type="dxa" w:w="5155"/>
            <w:vAlign w:val="center"/>
            <w:shd w:fill="D9EAF7"/>
          </w:tcPr>
          <w:p>
            <w:r/>
            <w:r>
              <w:rPr>
                <w:b/>
                <w:color w:val="17365D"/>
                <w:sz w:val="16"/>
              </w:rPr>
              <w:t>Previous Version</w:t>
            </w:r>
          </w:p>
        </w:tc>
        <w:tc>
          <w:tcPr>
            <w:tcW w:type="dxa" w:w="5155"/>
            <w:vAlign w:val="center"/>
          </w:tcPr>
          <w:p>
            <w:r/>
            <w:r>
              <w:rPr>
                <w:b w:val="0"/>
                <w:sz w:val="16"/>
              </w:rPr>
              <w:t>2.3</w:t>
            </w:r>
          </w:p>
        </w:tc>
      </w:tr>
      <w:tr>
        <w:tc>
          <w:tcPr>
            <w:tcW w:type="dxa" w:w="5155"/>
            <w:vAlign w:val="center"/>
            <w:shd w:fill="D9EAF7"/>
          </w:tcPr>
          <w:p>
            <w:r/>
            <w:r>
              <w:rPr>
                <w:b/>
                <w:color w:val="17365D"/>
                <w:sz w:val="16"/>
              </w:rPr>
              <w:t>Review Frequency</w:t>
            </w:r>
          </w:p>
        </w:tc>
        <w:tc>
          <w:tcPr>
            <w:tcW w:type="dxa" w:w="5155"/>
            <w:vAlign w:val="center"/>
          </w:tcPr>
          <w:p>
            <w:r/>
            <w:r>
              <w:rPr>
                <w:b w:val="0"/>
                <w:sz w:val="16"/>
              </w:rPr>
              <w:t>Annual</w:t>
            </w:r>
          </w:p>
        </w:tc>
      </w:tr>
      <w:tr>
        <w:tc>
          <w:tcPr>
            <w:tcW w:type="dxa" w:w="5155"/>
            <w:vAlign w:val="center"/>
            <w:shd w:fill="D9EAF7"/>
          </w:tcPr>
          <w:p>
            <w:r/>
            <w:r>
              <w:rPr>
                <w:b/>
                <w:color w:val="17365D"/>
                <w:sz w:val="16"/>
              </w:rPr>
              <w:t>Classification</w:t>
            </w:r>
          </w:p>
        </w:tc>
        <w:tc>
          <w:tcPr>
            <w:tcW w:type="dxa" w:w="5155"/>
            <w:vAlign w:val="center"/>
          </w:tcPr>
          <w:p>
            <w:r/>
            <w:r>
              <w:rPr>
                <w:b w:val="0"/>
                <w:sz w:val="16"/>
              </w:rPr>
              <w:t>Internal</w:t>
            </w:r>
          </w:p>
        </w:tc>
      </w:tr>
      <w:tr>
        <w:tc>
          <w:tcPr>
            <w:tcW w:type="dxa" w:w="5155"/>
            <w:vAlign w:val="center"/>
            <w:shd w:fill="D9EAF7"/>
          </w:tcPr>
          <w:p>
            <w:r/>
            <w:r>
              <w:rPr>
                <w:b/>
                <w:color w:val="17365D"/>
                <w:sz w:val="16"/>
              </w:rPr>
              <w:t>Status</w:t>
            </w:r>
          </w:p>
        </w:tc>
        <w:tc>
          <w:tcPr>
            <w:tcW w:type="dxa" w:w="5155"/>
            <w:vAlign w:val="center"/>
          </w:tcPr>
          <w:p>
            <w:r/>
            <w:r>
              <w:rPr>
                <w:b w:val="0"/>
                <w:sz w:val="16"/>
              </w:rPr>
              <w:t>Approved</w:t>
            </w:r>
          </w:p>
        </w:tc>
      </w:tr>
      <w:tr>
        <w:tc>
          <w:tcPr>
            <w:tcW w:type="dxa" w:w="5155"/>
            <w:vAlign w:val="center"/>
            <w:shd w:fill="D9EAF7"/>
          </w:tcPr>
          <w:p>
            <w:r/>
            <w:r>
              <w:rPr>
                <w:b/>
                <w:color w:val="17365D"/>
                <w:sz w:val="16"/>
              </w:rPr>
              <w:t>Supersedes</w:t>
            </w:r>
          </w:p>
        </w:tc>
        <w:tc>
          <w:tcPr>
            <w:tcW w:type="dxa" w:w="5155"/>
            <w:vAlign w:val="center"/>
          </w:tcPr>
          <w:p>
            <w:r/>
            <w:r>
              <w:rPr>
                <w:b w:val="0"/>
                <w:sz w:val="16"/>
              </w:rPr>
              <w:t>EOM-020 v2.3</w:t>
            </w:r>
          </w:p>
        </w:tc>
      </w:tr>
      <w:tr>
        <w:tc>
          <w:tcPr>
            <w:tcW w:type="dxa" w:w="5155"/>
            <w:vAlign w:val="center"/>
            <w:shd w:fill="D9EAF7"/>
          </w:tcPr>
          <w:p>
            <w:r/>
            <w:r>
              <w:rPr>
                <w:b/>
                <w:color w:val="17365D"/>
                <w:sz w:val="16"/>
              </w:rPr>
              <w:t>Related Documents</w:t>
            </w:r>
          </w:p>
        </w:tc>
        <w:tc>
          <w:tcPr>
            <w:tcW w:type="dxa" w:w="5155"/>
            <w:vAlign w:val="center"/>
          </w:tcPr>
          <w:p>
            <w:r/>
            <w:r>
              <w:rPr>
                <w:b w:val="0"/>
                <w:sz w:val="16"/>
              </w:rPr>
              <w:t>LOP-002; LDP-013; KYC-004; AML-003; CDD-005; CEP-006; CDAS-007; CMP-012; CBP-043; ISP-014; ACS-051; SIR-052; VRP-053</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Version</w:t>
            </w:r>
          </w:p>
        </w:tc>
        <w:tc>
          <w:tcPr>
            <w:tcW w:type="dxa" w:w="2577"/>
            <w:vAlign w:val="center"/>
            <w:shd w:fill="17365D"/>
          </w:tcPr>
          <w:p>
            <w:r/>
            <w:r>
              <w:rPr>
                <w:b/>
                <w:color w:val="FFFFFF"/>
                <w:sz w:val="15"/>
              </w:rPr>
              <w:t>Effective Date</w:t>
            </w:r>
          </w:p>
        </w:tc>
        <w:tc>
          <w:tcPr>
            <w:tcW w:type="dxa" w:w="2577"/>
            <w:vAlign w:val="center"/>
            <w:shd w:fill="17365D"/>
          </w:tcPr>
          <w:p>
            <w:r/>
            <w:r>
              <w:rPr>
                <w:b/>
                <w:color w:val="FFFFFF"/>
                <w:sz w:val="15"/>
              </w:rPr>
              <w:t>Change Summary</w:t>
            </w:r>
          </w:p>
        </w:tc>
        <w:tc>
          <w:tcPr>
            <w:tcW w:type="dxa" w:w="2577"/>
            <w:vAlign w:val="center"/>
            <w:shd w:fill="17365D"/>
          </w:tcPr>
          <w:p>
            <w:r/>
            <w:r>
              <w:rPr>
                <w:b/>
                <w:color w:val="FFFFFF"/>
                <w:sz w:val="15"/>
              </w:rPr>
              <w:t>Approving Authority</w:t>
            </w:r>
          </w:p>
        </w:tc>
      </w:tr>
      <w:tr>
        <w:tc>
          <w:tcPr>
            <w:tcW w:type="dxa" w:w="2577"/>
            <w:vAlign w:val="center"/>
          </w:tcPr>
          <w:p>
            <w:r/>
            <w:r>
              <w:rPr>
                <w:b w:val="0"/>
                <w:sz w:val="15"/>
              </w:rPr>
              <w:t>2.1</w:t>
            </w:r>
          </w:p>
        </w:tc>
        <w:tc>
          <w:tcPr>
            <w:tcW w:type="dxa" w:w="2577"/>
            <w:vAlign w:val="center"/>
          </w:tcPr>
          <w:p>
            <w:r/>
            <w:r>
              <w:rPr>
                <w:b w:val="0"/>
                <w:sz w:val="15"/>
              </w:rPr>
              <w:t>1 Sep 2024</w:t>
            </w:r>
          </w:p>
        </w:tc>
        <w:tc>
          <w:tcPr>
            <w:tcW w:type="dxa" w:w="2577"/>
            <w:vAlign w:val="center"/>
          </w:tcPr>
          <w:p>
            <w:r/>
            <w:r>
              <w:rPr>
                <w:b w:val="0"/>
                <w:sz w:val="15"/>
              </w:rPr>
              <w:t>Consolidated branch and central-operations guidance.</w:t>
            </w:r>
          </w:p>
        </w:tc>
        <w:tc>
          <w:tcPr>
            <w:tcW w:type="dxa" w:w="2577"/>
            <w:vAlign w:val="center"/>
          </w:tcPr>
          <w:p>
            <w:r/>
            <w:r>
              <w:rPr>
                <w:b w:val="0"/>
                <w:sz w:val="15"/>
              </w:rPr>
              <w:t>COO</w:t>
            </w:r>
          </w:p>
        </w:tc>
      </w:tr>
      <w:tr>
        <w:tc>
          <w:tcPr>
            <w:tcW w:type="dxa" w:w="2577"/>
            <w:vAlign w:val="center"/>
          </w:tcPr>
          <w:p>
            <w:r/>
            <w:r>
              <w:rPr>
                <w:b w:val="0"/>
                <w:sz w:val="15"/>
              </w:rPr>
              <w:t>2.3</w:t>
            </w:r>
          </w:p>
        </w:tc>
        <w:tc>
          <w:tcPr>
            <w:tcW w:type="dxa" w:w="2577"/>
            <w:vAlign w:val="center"/>
          </w:tcPr>
          <w:p>
            <w:r/>
            <w:r>
              <w:rPr>
                <w:b w:val="0"/>
                <w:sz w:val="15"/>
              </w:rPr>
              <w:t>1 Jul 2025</w:t>
            </w:r>
          </w:p>
        </w:tc>
        <w:tc>
          <w:tcPr>
            <w:tcW w:type="dxa" w:w="2577"/>
            <w:vAlign w:val="center"/>
          </w:tcPr>
          <w:p>
            <w:r/>
            <w:r>
              <w:rPr>
                <w:b w:val="0"/>
                <w:sz w:val="15"/>
              </w:rPr>
              <w:t>Aligned lending, KYC and maker-checker controls to 2025 policy updates.</w:t>
            </w:r>
          </w:p>
        </w:tc>
        <w:tc>
          <w:tcPr>
            <w:tcW w:type="dxa" w:w="2577"/>
            <w:vAlign w:val="center"/>
          </w:tcPr>
          <w:p>
            <w:r/>
            <w:r>
              <w:rPr>
                <w:b w:val="0"/>
                <w:sz w:val="15"/>
              </w:rPr>
              <w:t>COO / CHRO</w:t>
            </w:r>
          </w:p>
        </w:tc>
      </w:tr>
      <w:tr>
        <w:tc>
          <w:tcPr>
            <w:tcW w:type="dxa" w:w="2577"/>
            <w:vAlign w:val="center"/>
          </w:tcPr>
          <w:p>
            <w:r/>
            <w:r>
              <w:rPr>
                <w:b w:val="0"/>
                <w:sz w:val="15"/>
              </w:rPr>
              <w:t>2.4</w:t>
            </w:r>
          </w:p>
        </w:tc>
        <w:tc>
          <w:tcPr>
            <w:tcW w:type="dxa" w:w="2577"/>
            <w:vAlign w:val="center"/>
          </w:tcPr>
          <w:p>
            <w:r/>
            <w:r>
              <w:rPr>
                <w:b w:val="0"/>
                <w:sz w:val="15"/>
              </w:rPr>
              <w:t>1 Jun 2026</w:t>
            </w:r>
          </w:p>
        </w:tc>
        <w:tc>
          <w:tcPr>
            <w:tcW w:type="dxa" w:w="2577"/>
            <w:vAlign w:val="center"/>
          </w:tcPr>
          <w:p>
            <w:r/>
            <w:r>
              <w:rPr>
                <w:b w:val="0"/>
                <w:sz w:val="15"/>
              </w:rPr>
              <w:t>Aligned information security, access, compliance and vendor controls; revised password references and incident escalation.</w:t>
            </w:r>
          </w:p>
        </w:tc>
        <w:tc>
          <w:tcPr>
            <w:tcW w:type="dxa" w:w="2577"/>
            <w:vAlign w:val="center"/>
          </w:tcPr>
          <w:p>
            <w:r/>
            <w:r>
              <w:rPr>
                <w:b w:val="0"/>
                <w:sz w:val="15"/>
              </w:rPr>
              <w:t>COO / CHRO</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Manual sets practical operating expectations for Northstar employees and contractors performing customer, lending, KYC/AML, investment-support and general operational activities.</w:t>
      </w:r>
    </w:p>
    <w:p>
      <w:r>
        <w:t>It does not replace specialist policies or delegated-authority schedules. Employees shall use the current controlled specialist document when a decision depends on a threshold, approval or restriction.</w:t>
      </w:r>
    </w:p>
    <w:p>
      <w:pPr>
        <w:pStyle w:val="Heading1"/>
      </w:pPr>
      <w:r>
        <w:t>2. Applicability</w:t>
      </w:r>
    </w:p>
    <w:p>
      <w:r>
        <w:t>The Manual applies across branches, operations centers, customer service, lending operations, KYC operations, support functions and employees using Northstar systems or customer information.</w:t>
      </w:r>
    </w:p>
    <w:p>
      <w:pPr>
        <w:pStyle w:val="Heading1"/>
      </w:pPr>
      <w:r>
        <w:t>3. Employee Responsibilities</w:t>
      </w:r>
    </w:p>
    <w:p>
      <w:r>
        <w:t>Employees shall perform only activities for which they are trained, authorized and appropriately supervised.</w:t>
      </w:r>
    </w:p>
    <w:p>
      <w:pPr>
        <w:pStyle w:val="ListBullet"/>
      </w:pPr>
      <w:r>
        <w:t>Follow current procedures and controlled instructions.</w:t>
      </w:r>
    </w:p>
    <w:p>
      <w:pPr>
        <w:pStyle w:val="ListBullet"/>
      </w:pPr>
      <w:r>
        <w:t>Protect customer and Northstar information.</w:t>
      </w:r>
    </w:p>
    <w:p>
      <w:pPr>
        <w:pStyle w:val="ListBullet"/>
      </w:pPr>
      <w:r>
        <w:t>Do not share credentials or approval tokens.</w:t>
      </w:r>
    </w:p>
    <w:p>
      <w:pPr>
        <w:pStyle w:val="ListBullet"/>
      </w:pPr>
      <w:r>
        <w:t>Escalate uncertainty before bypassing a control.</w:t>
      </w:r>
    </w:p>
    <w:p>
      <w:pPr>
        <w:pStyle w:val="ListBullet"/>
      </w:pPr>
      <w:r>
        <w:t>Record decisions and evidence accurately.</w:t>
      </w:r>
    </w:p>
    <w:p>
      <w:pPr>
        <w:pStyle w:val="ListBullet"/>
      </w:pPr>
      <w:r>
        <w:t>Avoid conflicts of interest and improper gifts.</w:t>
      </w:r>
    </w:p>
    <w:p>
      <w:pPr>
        <w:pStyle w:val="ListBullet"/>
      </w:pPr>
      <w:r>
        <w:t>Cooperate with QA, Compliance, Risk and Audit.</w:t>
      </w:r>
    </w:p>
    <w:p>
      <w:pPr>
        <w:pStyle w:val="Heading1"/>
      </w:pPr>
      <w:r>
        <w:t>4. Document Hierarchy</w:t>
      </w:r>
    </w:p>
    <w:p>
      <w:r>
        <w:t>Employees should resolve conflicting instructions by considering authority, scope and effective date.</w:t>
      </w:r>
    </w:p>
    <w:p>
      <w:r>
        <w:t>A schedule can control a specific approval amount even though it appears lower in the document hierarchy because the governing policy expressly delegates that detail to the schedule. Employees must therefore read cross-references, not rely only on document type.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Higher to Lower</w:t>
            </w:r>
          </w:p>
        </w:tc>
        <w:tc>
          <w:tcPr>
            <w:tcW w:type="dxa" w:w="5155"/>
            <w:vAlign w:val="center"/>
            <w:shd w:fill="17365D"/>
          </w:tcPr>
          <w:p>
            <w:r/>
            <w:r>
              <w:rPr>
                <w:b/>
                <w:color w:val="FFFFFF"/>
                <w:sz w:val="15"/>
              </w:rPr>
              <w:t>Example</w:t>
            </w:r>
          </w:p>
        </w:tc>
      </w:tr>
      <w:tr>
        <w:tc>
          <w:tcPr>
            <w:tcW w:type="dxa" w:w="5155"/>
            <w:vAlign w:val="center"/>
          </w:tcPr>
          <w:p>
            <w:r/>
            <w:r>
              <w:rPr>
                <w:b w:val="0"/>
                <w:sz w:val="15"/>
              </w:rPr>
              <w:t>Board policy / Risk Appetite</w:t>
            </w:r>
          </w:p>
        </w:tc>
        <w:tc>
          <w:tcPr>
            <w:tcW w:type="dxa" w:w="5155"/>
            <w:vAlign w:val="center"/>
          </w:tcPr>
          <w:p>
            <w:r/>
            <w:r>
              <w:rPr>
                <w:b w:val="0"/>
                <w:sz w:val="15"/>
              </w:rPr>
              <w:t>RAS-009, CRP-001, ISP-014</w:t>
            </w:r>
          </w:p>
        </w:tc>
      </w:tr>
      <w:tr>
        <w:tc>
          <w:tcPr>
            <w:tcW w:type="dxa" w:w="5155"/>
            <w:vAlign w:val="center"/>
          </w:tcPr>
          <w:p>
            <w:r/>
            <w:r>
              <w:rPr>
                <w:b w:val="0"/>
                <w:sz w:val="15"/>
              </w:rPr>
              <w:t>Framework</w:t>
            </w:r>
          </w:p>
        </w:tc>
        <w:tc>
          <w:tcPr>
            <w:tcW w:type="dxa" w:w="5155"/>
            <w:vAlign w:val="center"/>
          </w:tcPr>
          <w:p>
            <w:r/>
            <w:r>
              <w:rPr>
                <w:b w:val="0"/>
                <w:sz w:val="15"/>
              </w:rPr>
              <w:t>RMF-008</w:t>
            </w:r>
          </w:p>
        </w:tc>
      </w:tr>
      <w:tr>
        <w:tc>
          <w:tcPr>
            <w:tcW w:type="dxa" w:w="5155"/>
            <w:vAlign w:val="center"/>
          </w:tcPr>
          <w:p>
            <w:r/>
            <w:r>
              <w:rPr>
                <w:b w:val="0"/>
                <w:sz w:val="15"/>
              </w:rPr>
              <w:t>Standard</w:t>
            </w:r>
          </w:p>
        </w:tc>
        <w:tc>
          <w:tcPr>
            <w:tcW w:type="dxa" w:w="5155"/>
            <w:vAlign w:val="center"/>
          </w:tcPr>
          <w:p>
            <w:r/>
            <w:r>
              <w:rPr>
                <w:b w:val="0"/>
                <w:sz w:val="15"/>
              </w:rPr>
              <w:t>ACS-051</w:t>
            </w:r>
          </w:p>
        </w:tc>
      </w:tr>
      <w:tr>
        <w:tc>
          <w:tcPr>
            <w:tcW w:type="dxa" w:w="5155"/>
            <w:vAlign w:val="center"/>
          </w:tcPr>
          <w:p>
            <w:r/>
            <w:r>
              <w:rPr>
                <w:b w:val="0"/>
                <w:sz w:val="15"/>
              </w:rPr>
              <w:t>Procedure</w:t>
            </w:r>
          </w:p>
        </w:tc>
        <w:tc>
          <w:tcPr>
            <w:tcW w:type="dxa" w:w="5155"/>
            <w:vAlign w:val="center"/>
          </w:tcPr>
          <w:p>
            <w:r/>
            <w:r>
              <w:rPr>
                <w:b w:val="0"/>
                <w:sz w:val="15"/>
              </w:rPr>
              <w:t>LDP-013, KEP-022, SIR-052</w:t>
            </w:r>
          </w:p>
        </w:tc>
      </w:tr>
      <w:tr>
        <w:tc>
          <w:tcPr>
            <w:tcW w:type="dxa" w:w="5155"/>
            <w:vAlign w:val="center"/>
          </w:tcPr>
          <w:p>
            <w:r/>
            <w:r>
              <w:rPr>
                <w:b w:val="0"/>
                <w:sz w:val="15"/>
              </w:rPr>
              <w:t>Manual</w:t>
            </w:r>
          </w:p>
        </w:tc>
        <w:tc>
          <w:tcPr>
            <w:tcW w:type="dxa" w:w="5155"/>
            <w:vAlign w:val="center"/>
          </w:tcPr>
          <w:p>
            <w:r/>
            <w:r>
              <w:rPr>
                <w:b w:val="0"/>
                <w:sz w:val="15"/>
              </w:rPr>
              <w:t>EOM-020</w:t>
            </w:r>
          </w:p>
        </w:tc>
      </w:tr>
      <w:tr>
        <w:tc>
          <w:tcPr>
            <w:tcW w:type="dxa" w:w="5155"/>
            <w:vAlign w:val="center"/>
          </w:tcPr>
          <w:p>
            <w:r/>
            <w:r>
              <w:rPr>
                <w:b w:val="0"/>
                <w:sz w:val="15"/>
              </w:rPr>
              <w:t>Schedule</w:t>
            </w:r>
          </w:p>
        </w:tc>
        <w:tc>
          <w:tcPr>
            <w:tcW w:type="dxa" w:w="5155"/>
            <w:vAlign w:val="center"/>
          </w:tcPr>
          <w:p>
            <w:r/>
            <w:r>
              <w:rPr>
                <w:b w:val="0"/>
                <w:sz w:val="15"/>
              </w:rPr>
              <w:t>CDAS-007, IDS-042</w:t>
            </w:r>
          </w:p>
        </w:tc>
      </w:tr>
      <w:tr>
        <w:tc>
          <w:tcPr>
            <w:tcW w:type="dxa" w:w="5155"/>
            <w:vAlign w:val="center"/>
          </w:tcPr>
          <w:p>
            <w:r/>
            <w:r>
              <w:rPr>
                <w:b w:val="0"/>
                <w:sz w:val="15"/>
              </w:rPr>
              <w:t>Checklist / job aid</w:t>
            </w:r>
          </w:p>
        </w:tc>
        <w:tc>
          <w:tcPr>
            <w:tcW w:type="dxa" w:w="5155"/>
            <w:vAlign w:val="center"/>
          </w:tcPr>
          <w:p>
            <w:r/>
            <w:r>
              <w:rPr>
                <w:b w:val="0"/>
                <w:sz w:val="15"/>
              </w:rPr>
              <w:t>Local operational aid</w:t>
            </w:r>
          </w:p>
        </w:tc>
      </w:tr>
    </w:tbl>
    <w:p/>
    <w:p>
      <w:pPr>
        <w:pStyle w:val="Heading1"/>
      </w:pPr>
      <w:r>
        <w:t>5. Customer Interaction</w:t>
      </w:r>
    </w:p>
    <w:p>
      <w:r>
        <w:t>Employees shall communicate accurately, respectfully and without misleading pressure.</w:t>
      </w:r>
    </w:p>
    <w:p>
      <w:pPr>
        <w:pStyle w:val="ListBullet"/>
      </w:pPr>
      <w:r>
        <w:t>Explain requested documents and next steps in plain business language.</w:t>
      </w:r>
    </w:p>
    <w:p>
      <w:pPr>
        <w:pStyle w:val="ListBullet"/>
      </w:pPr>
      <w:r>
        <w:t>Do not promise approval, rate, disbursement or exception before authorized decision.</w:t>
      </w:r>
    </w:p>
    <w:p>
      <w:pPr>
        <w:pStyle w:val="ListBullet"/>
      </w:pPr>
      <w:r>
        <w:t>Avoid asking for information unrelated to the controlled process.</w:t>
      </w:r>
    </w:p>
    <w:p>
      <w:pPr>
        <w:pStyle w:val="ListBullet"/>
      </w:pPr>
      <w:r>
        <w:t>Protect customer information in public branch areas and shared screens.</w:t>
      </w:r>
    </w:p>
    <w:p>
      <w:pPr>
        <w:pStyle w:val="ListBullet"/>
      </w:pPr>
      <w:r>
        <w:t>Escalate threats, suspected impersonation or fraud indicators.</w:t>
      </w:r>
    </w:p>
    <w:p>
      <w:pPr>
        <w:pStyle w:val="Heading1"/>
      </w:pPr>
      <w:r>
        <w:t>6. Customer Identification and KYC</w:t>
      </w:r>
    </w:p>
    <w:p>
      <w:r>
        <w:t>Customer onboarding must follow KYC-004, COP-021 and KEP-022.</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Situation</w:t>
            </w:r>
          </w:p>
        </w:tc>
        <w:tc>
          <w:tcPr>
            <w:tcW w:type="dxa" w:w="5155"/>
            <w:vAlign w:val="center"/>
            <w:shd w:fill="17365D"/>
          </w:tcPr>
          <w:p>
            <w:r/>
            <w:r>
              <w:rPr>
                <w:b/>
                <w:color w:val="FFFFFF"/>
                <w:sz w:val="15"/>
              </w:rPr>
              <w:t>Employee Action</w:t>
            </w:r>
          </w:p>
        </w:tc>
      </w:tr>
      <w:tr>
        <w:tc>
          <w:tcPr>
            <w:tcW w:type="dxa" w:w="5155"/>
            <w:vAlign w:val="center"/>
          </w:tcPr>
          <w:p>
            <w:r/>
            <w:r>
              <w:rPr>
                <w:b w:val="0"/>
                <w:sz w:val="15"/>
              </w:rPr>
              <w:t>Name mismatch</w:t>
            </w:r>
          </w:p>
        </w:tc>
        <w:tc>
          <w:tcPr>
            <w:tcW w:type="dxa" w:w="5155"/>
            <w:vAlign w:val="center"/>
          </w:tcPr>
          <w:p>
            <w:r/>
            <w:r>
              <w:rPr>
                <w:b w:val="0"/>
                <w:sz w:val="15"/>
              </w:rPr>
              <w:t>Do not silently overwrite; obtain evidence and escalate where material.</w:t>
            </w:r>
          </w:p>
        </w:tc>
      </w:tr>
      <w:tr>
        <w:tc>
          <w:tcPr>
            <w:tcW w:type="dxa" w:w="5155"/>
            <w:vAlign w:val="center"/>
          </w:tcPr>
          <w:p>
            <w:r/>
            <w:r>
              <w:rPr>
                <w:b w:val="0"/>
                <w:sz w:val="15"/>
              </w:rPr>
              <w:t>Address mismatch</w:t>
            </w:r>
          </w:p>
        </w:tc>
        <w:tc>
          <w:tcPr>
            <w:tcW w:type="dxa" w:w="5155"/>
            <w:vAlign w:val="center"/>
          </w:tcPr>
          <w:p>
            <w:r/>
            <w:r>
              <w:rPr>
                <w:b w:val="0"/>
                <w:sz w:val="15"/>
              </w:rPr>
              <w:t>Apply current onboarding/KYC discrepancy process.</w:t>
            </w:r>
          </w:p>
        </w:tc>
      </w:tr>
      <w:tr>
        <w:tc>
          <w:tcPr>
            <w:tcW w:type="dxa" w:w="5155"/>
            <w:vAlign w:val="center"/>
          </w:tcPr>
          <w:p>
            <w:r/>
            <w:r>
              <w:rPr>
                <w:b w:val="0"/>
                <w:sz w:val="15"/>
              </w:rPr>
              <w:t>Potential PEP/sanctions match</w:t>
            </w:r>
          </w:p>
        </w:tc>
        <w:tc>
          <w:tcPr>
            <w:tcW w:type="dxa" w:w="5155"/>
            <w:vAlign w:val="center"/>
          </w:tcPr>
          <w:p>
            <w:r/>
            <w:r>
              <w:rPr>
                <w:b w:val="0"/>
                <w:sz w:val="15"/>
              </w:rPr>
              <w:t>Do not clear based on personal judgment; route to specialist review.</w:t>
            </w:r>
          </w:p>
        </w:tc>
      </w:tr>
      <w:tr>
        <w:tc>
          <w:tcPr>
            <w:tcW w:type="dxa" w:w="5155"/>
            <w:vAlign w:val="center"/>
          </w:tcPr>
          <w:p>
            <w:r/>
            <w:r>
              <w:rPr>
                <w:b w:val="0"/>
                <w:sz w:val="15"/>
              </w:rPr>
              <w:t>Ownership unclear</w:t>
            </w:r>
          </w:p>
        </w:tc>
        <w:tc>
          <w:tcPr>
            <w:tcW w:type="dxa" w:w="5155"/>
            <w:vAlign w:val="center"/>
          </w:tcPr>
          <w:p>
            <w:r/>
            <w:r>
              <w:rPr>
                <w:b w:val="0"/>
                <w:sz w:val="15"/>
              </w:rPr>
              <w:t>Do not activate unrestricted relationship until required ownership work is complete.</w:t>
            </w:r>
          </w:p>
        </w:tc>
      </w:tr>
      <w:tr>
        <w:tc>
          <w:tcPr>
            <w:tcW w:type="dxa" w:w="5155"/>
            <w:vAlign w:val="center"/>
          </w:tcPr>
          <w:p>
            <w:r/>
            <w:r>
              <w:rPr>
                <w:b w:val="0"/>
                <w:sz w:val="15"/>
              </w:rPr>
              <w:t>Restricted-KYC status</w:t>
            </w:r>
          </w:p>
        </w:tc>
        <w:tc>
          <w:tcPr>
            <w:tcW w:type="dxa" w:w="5155"/>
            <w:vAlign w:val="center"/>
          </w:tcPr>
          <w:p>
            <w:r/>
            <w:r>
              <w:rPr>
                <w:b w:val="0"/>
                <w:sz w:val="15"/>
              </w:rPr>
              <w:t>Do not treat customer ID creation as full KYC clearance.</w:t>
            </w:r>
          </w:p>
        </w:tc>
      </w:tr>
    </w:tbl>
    <w:p/>
    <w:p>
      <w:pPr>
        <w:pStyle w:val="Heading1"/>
      </w:pPr>
      <w:r>
        <w:t>7. Customer Due Diligence</w:t>
      </w:r>
    </w:p>
    <w:p>
      <w:r>
        <w:t>CDD-005, EDD-032 and CRR-033 govern risk-based due diligence. Employees should distinguish operational KYC tier from formal AML customer risk.</w:t>
      </w:r>
    </w:p>
    <w:p>
      <w:r>
        <w:t>A customer can have complete identity verification but still require enhanced AML due diligence. Conversely, a documentation issue can require KYC escalation without automatically making the customer High AML risk.</w:t>
      </w:r>
    </w:p>
    <w:p>
      <w:pPr>
        <w:pStyle w:val="Heading1"/>
      </w:pPr>
      <w:r>
        <w:t>8. AML and Transaction Monitoring</w:t>
      </w:r>
    </w:p>
    <w:p>
      <w:r>
        <w:t>Employees shall promptly refer unusual activity or specialist screening issues to AML Compliance. Do not tell a customer that an internal alert or suspicious-activity review exists unless an authorized process requires communication.</w:t>
      </w:r>
    </w:p>
    <w:p>
      <w:pPr>
        <w:pStyle w:val="Heading1"/>
      </w:pPr>
      <w:r>
        <w:t>9. Loan Application Intake</w:t>
      </w:r>
    </w:p>
    <w:p>
      <w:r>
        <w:t>Loan applications shall be recorded accurately under LOP-002.</w:t>
      </w:r>
    </w:p>
    <w:p>
      <w:pPr>
        <w:pStyle w:val="ListBullet"/>
      </w:pPr>
      <w:r>
        <w:t>Capture customer declarations without inventing or “improving” information.</w:t>
      </w:r>
    </w:p>
    <w:p>
      <w:pPr>
        <w:pStyle w:val="ListBullet"/>
      </w:pPr>
      <w:r>
        <w:t>Identify duplicate applications and linked customers where systems indicate them.</w:t>
      </w:r>
    </w:p>
    <w:p>
      <w:pPr>
        <w:pStyle w:val="ListBullet"/>
      </w:pPr>
      <w:r>
        <w:t>Obtain required documents through approved channels.</w:t>
      </w:r>
    </w:p>
    <w:p>
      <w:pPr>
        <w:pStyle w:val="ListBullet"/>
      </w:pPr>
      <w:r>
        <w:t>Do not mark a document verified before completion of the required check.</w:t>
      </w:r>
    </w:p>
    <w:p>
      <w:pPr>
        <w:pStyle w:val="ListBullet"/>
      </w:pPr>
      <w:r>
        <w:t>Record material changes before decision/disbursement.</w:t>
      </w:r>
    </w:p>
    <w:p>
      <w:pPr>
        <w:pStyle w:val="Heading1"/>
      </w:pPr>
      <w:r>
        <w:t>10. Credit Assessment Interface</w:t>
      </w:r>
    </w:p>
    <w:p>
      <w:r>
        <w:t>Credit underwriting follows CRP-001 and product procedures such as PLU-011. Operations may collect evidence but shall not alter a credit conclusion or approve an exception without authority.</w:t>
      </w:r>
    </w:p>
    <w:p>
      <w:pPr>
        <w:pStyle w:val="Heading1"/>
      </w:pPr>
      <w:r>
        <w:t>11. Personal Loan Key Controls</w:t>
      </w:r>
    </w:p>
    <w:p>
      <w:r>
        <w:t>Employees supporting personal-loan workflows shall recognize current reference thresholds while relying on the controlled credit documents for decisions.</w:t>
      </w:r>
    </w:p>
    <w:p>
      <w:r>
        <w:t>Historical DTI 50% treatment applied only to a closed 2025 transition population and shall not be used for current applications.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Metric</w:t>
            </w:r>
          </w:p>
        </w:tc>
        <w:tc>
          <w:tcPr>
            <w:tcW w:type="dxa" w:w="3437"/>
            <w:vAlign w:val="center"/>
            <w:shd w:fill="17365D"/>
          </w:tcPr>
          <w:p>
            <w:r/>
            <w:r>
              <w:rPr>
                <w:b/>
                <w:color w:val="FFFFFF"/>
                <w:sz w:val="15"/>
              </w:rPr>
              <w:t>Current Reference</w:t>
            </w:r>
          </w:p>
        </w:tc>
        <w:tc>
          <w:tcPr>
            <w:tcW w:type="dxa" w:w="3437"/>
            <w:vAlign w:val="center"/>
            <w:shd w:fill="17365D"/>
          </w:tcPr>
          <w:p>
            <w:r/>
            <w:r>
              <w:rPr>
                <w:b/>
                <w:color w:val="FFFFFF"/>
                <w:sz w:val="15"/>
              </w:rPr>
              <w:t>Operational Meaning</w:t>
            </w:r>
          </w:p>
        </w:tc>
      </w:tr>
      <w:tr>
        <w:tc>
          <w:tcPr>
            <w:tcW w:type="dxa" w:w="3437"/>
            <w:vAlign w:val="center"/>
          </w:tcPr>
          <w:p>
            <w:r/>
            <w:r>
              <w:rPr>
                <w:b w:val="0"/>
                <w:sz w:val="15"/>
              </w:rPr>
              <w:t>DTI</w:t>
            </w:r>
          </w:p>
        </w:tc>
        <w:tc>
          <w:tcPr>
            <w:tcW w:type="dxa" w:w="3437"/>
            <w:vAlign w:val="center"/>
          </w:tcPr>
          <w:p>
            <w:r/>
            <w:r>
              <w:rPr>
                <w:b w:val="0"/>
                <w:sz w:val="15"/>
              </w:rPr>
              <w:t>≤45% standard</w:t>
            </w:r>
          </w:p>
        </w:tc>
        <w:tc>
          <w:tcPr>
            <w:tcW w:type="dxa" w:w="3437"/>
            <w:vAlign w:val="center"/>
          </w:tcPr>
          <w:p>
            <w:r/>
            <w:r>
              <w:rPr>
                <w:b w:val="0"/>
                <w:sz w:val="15"/>
              </w:rPr>
              <w:t>Above standard requires applicable exception route.</w:t>
            </w:r>
          </w:p>
        </w:tc>
      </w:tr>
      <w:tr>
        <w:tc>
          <w:tcPr>
            <w:tcW w:type="dxa" w:w="3437"/>
            <w:vAlign w:val="center"/>
          </w:tcPr>
          <w:p>
            <w:r/>
            <w:r>
              <w:rPr>
                <w:b w:val="0"/>
                <w:sz w:val="15"/>
              </w:rPr>
              <w:t>DTI 45.01–46.50%</w:t>
            </w:r>
          </w:p>
        </w:tc>
        <w:tc>
          <w:tcPr>
            <w:tcW w:type="dxa" w:w="3437"/>
            <w:vAlign w:val="center"/>
          </w:tcPr>
          <w:p>
            <w:r/>
            <w:r>
              <w:rPr>
                <w:b w:val="0"/>
                <w:sz w:val="15"/>
              </w:rPr>
              <w:t>E2 band</w:t>
            </w:r>
          </w:p>
        </w:tc>
        <w:tc>
          <w:tcPr>
            <w:tcW w:type="dxa" w:w="3437"/>
            <w:vAlign w:val="center"/>
          </w:tcPr>
          <w:p>
            <w:r/>
            <w:r>
              <w:rPr>
                <w:b w:val="0"/>
                <w:sz w:val="15"/>
              </w:rPr>
              <w:t>CA4 / Senior Credit Manager minimum under CEP/PLU.</w:t>
            </w:r>
          </w:p>
        </w:tc>
      </w:tr>
      <w:tr>
        <w:tc>
          <w:tcPr>
            <w:tcW w:type="dxa" w:w="3437"/>
            <w:vAlign w:val="center"/>
          </w:tcPr>
          <w:p>
            <w:r/>
            <w:r>
              <w:rPr>
                <w:b w:val="0"/>
                <w:sz w:val="15"/>
              </w:rPr>
              <w:t>DTI 46.51–48%</w:t>
            </w:r>
          </w:p>
        </w:tc>
        <w:tc>
          <w:tcPr>
            <w:tcW w:type="dxa" w:w="3437"/>
            <w:vAlign w:val="center"/>
          </w:tcPr>
          <w:p>
            <w:r/>
            <w:r>
              <w:rPr>
                <w:b w:val="0"/>
                <w:sz w:val="15"/>
              </w:rPr>
              <w:t>E3 band</w:t>
            </w:r>
          </w:p>
        </w:tc>
        <w:tc>
          <w:tcPr>
            <w:tcW w:type="dxa" w:w="3437"/>
            <w:vAlign w:val="center"/>
          </w:tcPr>
          <w:p>
            <w:r/>
            <w:r>
              <w:rPr>
                <w:b w:val="0"/>
                <w:sz w:val="15"/>
              </w:rPr>
              <w:t>CA4 plus Credit Risk concurrence.</w:t>
            </w:r>
          </w:p>
        </w:tc>
      </w:tr>
      <w:tr>
        <w:tc>
          <w:tcPr>
            <w:tcW w:type="dxa" w:w="3437"/>
            <w:vAlign w:val="center"/>
          </w:tcPr>
          <w:p>
            <w:r/>
            <w:r>
              <w:rPr>
                <w:b w:val="0"/>
                <w:sz w:val="15"/>
              </w:rPr>
              <w:t>Bureau 640–649</w:t>
            </w:r>
          </w:p>
        </w:tc>
        <w:tc>
          <w:tcPr>
            <w:tcW w:type="dxa" w:w="3437"/>
            <w:vAlign w:val="center"/>
          </w:tcPr>
          <w:p>
            <w:r/>
            <w:r>
              <w:rPr>
                <w:b w:val="0"/>
                <w:sz w:val="15"/>
              </w:rPr>
              <w:t>Manual review</w:t>
            </w:r>
          </w:p>
        </w:tc>
        <w:tc>
          <w:tcPr>
            <w:tcW w:type="dxa" w:w="3437"/>
            <w:vAlign w:val="center"/>
          </w:tcPr>
          <w:p>
            <w:r/>
            <w:r>
              <w:rPr>
                <w:b w:val="0"/>
                <w:sz w:val="15"/>
              </w:rPr>
              <w:t>Not automatically a score exception under PLU-011.</w:t>
            </w:r>
          </w:p>
        </w:tc>
      </w:tr>
      <w:tr>
        <w:tc>
          <w:tcPr>
            <w:tcW w:type="dxa" w:w="3437"/>
            <w:vAlign w:val="center"/>
          </w:tcPr>
          <w:p>
            <w:r/>
            <w:r>
              <w:rPr>
                <w:b w:val="0"/>
                <w:sz w:val="15"/>
              </w:rPr>
              <w:t>Bureau 620–639</w:t>
            </w:r>
          </w:p>
        </w:tc>
        <w:tc>
          <w:tcPr>
            <w:tcW w:type="dxa" w:w="3437"/>
            <w:vAlign w:val="center"/>
          </w:tcPr>
          <w:p>
            <w:r/>
            <w:r>
              <w:rPr>
                <w:b w:val="0"/>
                <w:sz w:val="15"/>
              </w:rPr>
              <w:t>E2 score exception</w:t>
            </w:r>
          </w:p>
        </w:tc>
        <w:tc>
          <w:tcPr>
            <w:tcW w:type="dxa" w:w="3437"/>
            <w:vAlign w:val="center"/>
          </w:tcPr>
          <w:p>
            <w:r/>
            <w:r>
              <w:rPr>
                <w:b w:val="0"/>
                <w:sz w:val="15"/>
              </w:rPr>
              <w:t>CA3 minimum plus manual review.</w:t>
            </w:r>
          </w:p>
        </w:tc>
      </w:tr>
      <w:tr>
        <w:tc>
          <w:tcPr>
            <w:tcW w:type="dxa" w:w="3437"/>
            <w:vAlign w:val="center"/>
          </w:tcPr>
          <w:p>
            <w:r/>
            <w:r>
              <w:rPr>
                <w:b w:val="0"/>
                <w:sz w:val="15"/>
              </w:rPr>
              <w:t>Loan amount</w:t>
            </w:r>
          </w:p>
        </w:tc>
        <w:tc>
          <w:tcPr>
            <w:tcW w:type="dxa" w:w="3437"/>
            <w:vAlign w:val="center"/>
          </w:tcPr>
          <w:p>
            <w:r/>
            <w:r>
              <w:rPr>
                <w:b w:val="0"/>
                <w:sz w:val="15"/>
              </w:rPr>
              <w:t>₹20 lakh standard cap</w:t>
            </w:r>
          </w:p>
        </w:tc>
        <w:tc>
          <w:tcPr>
            <w:tcW w:type="dxa" w:w="3437"/>
            <w:vAlign w:val="center"/>
          </w:tcPr>
          <w:p>
            <w:r/>
            <w:r>
              <w:rPr>
                <w:b w:val="0"/>
                <w:sz w:val="15"/>
              </w:rPr>
              <w:t>Higher approver authority does not remove product cap.</w:t>
            </w:r>
          </w:p>
        </w:tc>
      </w:tr>
    </w:tbl>
    <w:p/>
    <w:p>
      <w:pPr>
        <w:pStyle w:val="Heading1"/>
      </w:pPr>
      <w:r>
        <w:t>12. Delegated Credit Authority</w:t>
      </w:r>
    </w:p>
    <w:p>
      <w:r>
        <w:t>Employees shall verify current CDAS-007 authority before approval. System workflow or prior approval history does not create authority.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Example</w:t>
            </w:r>
          </w:p>
        </w:tc>
        <w:tc>
          <w:tcPr>
            <w:tcW w:type="dxa" w:w="5155"/>
            <w:vAlign w:val="center"/>
            <w:shd w:fill="17365D"/>
          </w:tcPr>
          <w:p>
            <w:r/>
            <w:r>
              <w:rPr>
                <w:b/>
                <w:color w:val="FFFFFF"/>
                <w:sz w:val="15"/>
              </w:rPr>
              <w:t>Correct Treatment</w:t>
            </w:r>
          </w:p>
        </w:tc>
      </w:tr>
      <w:tr>
        <w:tc>
          <w:tcPr>
            <w:tcW w:type="dxa" w:w="5155"/>
            <w:vAlign w:val="center"/>
          </w:tcPr>
          <w:p>
            <w:r/>
            <w:r>
              <w:rPr>
                <w:b w:val="0"/>
                <w:sz w:val="15"/>
              </w:rPr>
              <w:t>CA1 screen allows above current limit</w:t>
            </w:r>
          </w:p>
        </w:tc>
        <w:tc>
          <w:tcPr>
            <w:tcW w:type="dxa" w:w="5155"/>
            <w:vAlign w:val="center"/>
          </w:tcPr>
          <w:p>
            <w:r/>
            <w:r>
              <w:rPr>
                <w:b w:val="0"/>
                <w:sz w:val="15"/>
              </w:rPr>
              <w:t>Do not approve; escalate entitlement defect.</w:t>
            </w:r>
          </w:p>
        </w:tc>
      </w:tr>
      <w:tr>
        <w:tc>
          <w:tcPr>
            <w:tcW w:type="dxa" w:w="5155"/>
            <w:vAlign w:val="center"/>
          </w:tcPr>
          <w:p>
            <w:r/>
            <w:r>
              <w:rPr>
                <w:b w:val="0"/>
                <w:sz w:val="15"/>
              </w:rPr>
              <w:t>Manager verbally says “I will approve later”</w:t>
            </w:r>
          </w:p>
        </w:tc>
        <w:tc>
          <w:tcPr>
            <w:tcW w:type="dxa" w:w="5155"/>
            <w:vAlign w:val="center"/>
          </w:tcPr>
          <w:p>
            <w:r/>
            <w:r>
              <w:rPr>
                <w:b w:val="0"/>
                <w:sz w:val="15"/>
              </w:rPr>
              <w:t>Not a valid prospective approval.</w:t>
            </w:r>
          </w:p>
        </w:tc>
      </w:tr>
      <w:tr>
        <w:tc>
          <w:tcPr>
            <w:tcW w:type="dxa" w:w="5155"/>
            <w:vAlign w:val="center"/>
          </w:tcPr>
          <w:p>
            <w:r/>
            <w:r>
              <w:rPr>
                <w:b w:val="0"/>
                <w:sz w:val="15"/>
              </w:rPr>
              <w:t>Case already disbursed without required authority</w:t>
            </w:r>
          </w:p>
        </w:tc>
        <w:tc>
          <w:tcPr>
            <w:tcW w:type="dxa" w:w="5155"/>
            <w:vAlign w:val="center"/>
          </w:tcPr>
          <w:p>
            <w:r/>
            <w:r>
              <w:rPr>
                <w:b w:val="0"/>
                <w:sz w:val="15"/>
              </w:rPr>
              <w:t>Treat as breach/remediation issue, not retroactive normal approval.</w:t>
            </w:r>
          </w:p>
        </w:tc>
      </w:tr>
    </w:tbl>
    <w:p/>
    <w:p>
      <w:pPr>
        <w:pStyle w:val="Heading1"/>
      </w:pPr>
      <w:r>
        <w:t>13. Credit Exceptions</w:t>
      </w:r>
    </w:p>
    <w:p>
      <w:r>
        <w:t>Exceptions must be approved prospectively under CEP-006.</w:t>
      </w:r>
    </w:p>
    <w:p>
      <w:pPr>
        <w:pStyle w:val="ListBullet"/>
      </w:pPr>
      <w:r>
        <w:t>State the rule being exceeded.</w:t>
      </w:r>
    </w:p>
    <w:p>
      <w:pPr>
        <w:pStyle w:val="ListBullet"/>
      </w:pPr>
      <w:r>
        <w:t>Document compensating factors.</w:t>
      </w:r>
    </w:p>
    <w:p>
      <w:pPr>
        <w:pStyle w:val="ListBullet"/>
      </w:pPr>
      <w:r>
        <w:t>Use the required authority for the exception class.</w:t>
      </w:r>
    </w:p>
    <w:p>
      <w:pPr>
        <w:pStyle w:val="ListBullet"/>
      </w:pPr>
      <w:r>
        <w:t>Do not split exposure or manipulate data to fit authority.</w:t>
      </w:r>
    </w:p>
    <w:p>
      <w:pPr>
        <w:pStyle w:val="ListBullet"/>
      </w:pPr>
      <w:r>
        <w:t>Retrospective endorsement may remediate but does not erase the control breach.</w:t>
      </w:r>
    </w:p>
    <w:p>
      <w:pPr>
        <w:pStyle w:val="Heading1"/>
      </w:pPr>
      <w:r>
        <w:t>14. Pre-Disbursement Controls</w:t>
      </w:r>
    </w:p>
    <w:p>
      <w:r>
        <w:t>LDP-013 requires a separate readiness check after credit approval.</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Check</w:t>
            </w:r>
          </w:p>
        </w:tc>
        <w:tc>
          <w:tcPr>
            <w:tcW w:type="dxa" w:w="5155"/>
            <w:vAlign w:val="center"/>
            <w:shd w:fill="17365D"/>
          </w:tcPr>
          <w:p>
            <w:r/>
            <w:r>
              <w:rPr>
                <w:b/>
                <w:color w:val="FFFFFF"/>
                <w:sz w:val="15"/>
              </w:rPr>
              <w:t>Employee Responsibility</w:t>
            </w:r>
          </w:p>
        </w:tc>
      </w:tr>
      <w:tr>
        <w:tc>
          <w:tcPr>
            <w:tcW w:type="dxa" w:w="5155"/>
            <w:vAlign w:val="center"/>
          </w:tcPr>
          <w:p>
            <w:r/>
            <w:r>
              <w:rPr>
                <w:b w:val="0"/>
                <w:sz w:val="15"/>
              </w:rPr>
              <w:t>Approval valid</w:t>
            </w:r>
          </w:p>
        </w:tc>
        <w:tc>
          <w:tcPr>
            <w:tcW w:type="dxa" w:w="5155"/>
            <w:vAlign w:val="center"/>
          </w:tcPr>
          <w:p>
            <w:r/>
            <w:r>
              <w:rPr>
                <w:b w:val="0"/>
                <w:sz w:val="15"/>
              </w:rPr>
              <w:t>Confirm current decision and authority.</w:t>
            </w:r>
          </w:p>
        </w:tc>
      </w:tr>
      <w:tr>
        <w:tc>
          <w:tcPr>
            <w:tcW w:type="dxa" w:w="5155"/>
            <w:vAlign w:val="center"/>
          </w:tcPr>
          <w:p>
            <w:r/>
            <w:r>
              <w:rPr>
                <w:b w:val="0"/>
                <w:sz w:val="15"/>
              </w:rPr>
              <w:t>Conditions</w:t>
            </w:r>
          </w:p>
        </w:tc>
        <w:tc>
          <w:tcPr>
            <w:tcW w:type="dxa" w:w="5155"/>
            <w:vAlign w:val="center"/>
          </w:tcPr>
          <w:p>
            <w:r/>
            <w:r>
              <w:rPr>
                <w:b w:val="0"/>
                <w:sz w:val="15"/>
              </w:rPr>
              <w:t>Evidence each condition precedent.</w:t>
            </w:r>
          </w:p>
        </w:tc>
      </w:tr>
      <w:tr>
        <w:tc>
          <w:tcPr>
            <w:tcW w:type="dxa" w:w="5155"/>
            <w:vAlign w:val="center"/>
          </w:tcPr>
          <w:p>
            <w:r/>
            <w:r>
              <w:rPr>
                <w:b w:val="0"/>
                <w:sz w:val="15"/>
              </w:rPr>
              <w:t>KYC/AML</w:t>
            </w:r>
          </w:p>
        </w:tc>
        <w:tc>
          <w:tcPr>
            <w:tcW w:type="dxa" w:w="5155"/>
            <w:vAlign w:val="center"/>
          </w:tcPr>
          <w:p>
            <w:r/>
            <w:r>
              <w:rPr>
                <w:b w:val="0"/>
                <w:sz w:val="15"/>
              </w:rPr>
              <w:t>Confirm no unresolved restriction/hold.</w:t>
            </w:r>
          </w:p>
        </w:tc>
      </w:tr>
      <w:tr>
        <w:tc>
          <w:tcPr>
            <w:tcW w:type="dxa" w:w="5155"/>
            <w:vAlign w:val="center"/>
          </w:tcPr>
          <w:p>
            <w:r/>
            <w:r>
              <w:rPr>
                <w:b w:val="0"/>
                <w:sz w:val="15"/>
              </w:rPr>
              <w:t>Customer/bank details</w:t>
            </w:r>
          </w:p>
        </w:tc>
        <w:tc>
          <w:tcPr>
            <w:tcW w:type="dxa" w:w="5155"/>
            <w:vAlign w:val="center"/>
          </w:tcPr>
          <w:p>
            <w:r/>
            <w:r>
              <w:rPr>
                <w:b w:val="0"/>
                <w:sz w:val="15"/>
              </w:rPr>
              <w:t>Verify beneficiary details through controlled process.</w:t>
            </w:r>
          </w:p>
        </w:tc>
      </w:tr>
      <w:tr>
        <w:tc>
          <w:tcPr>
            <w:tcW w:type="dxa" w:w="5155"/>
            <w:vAlign w:val="center"/>
          </w:tcPr>
          <w:p>
            <w:r/>
            <w:r>
              <w:rPr>
                <w:b w:val="0"/>
                <w:sz w:val="15"/>
              </w:rPr>
              <w:t>Changed facts</w:t>
            </w:r>
          </w:p>
        </w:tc>
        <w:tc>
          <w:tcPr>
            <w:tcW w:type="dxa" w:w="5155"/>
            <w:vAlign w:val="center"/>
          </w:tcPr>
          <w:p>
            <w:r/>
            <w:r>
              <w:rPr>
                <w:b w:val="0"/>
                <w:sz w:val="15"/>
              </w:rPr>
              <w:t>Return to underwriting where required.</w:t>
            </w:r>
          </w:p>
        </w:tc>
      </w:tr>
      <w:tr>
        <w:tc>
          <w:tcPr>
            <w:tcW w:type="dxa" w:w="5155"/>
            <w:vAlign w:val="center"/>
          </w:tcPr>
          <w:p>
            <w:r/>
            <w:r>
              <w:rPr>
                <w:b w:val="0"/>
                <w:sz w:val="15"/>
              </w:rPr>
              <w:t>Maker-checker</w:t>
            </w:r>
          </w:p>
        </w:tc>
        <w:tc>
          <w:tcPr>
            <w:tcW w:type="dxa" w:w="5155"/>
            <w:vAlign w:val="center"/>
          </w:tcPr>
          <w:p>
            <w:r/>
            <w:r>
              <w:rPr>
                <w:b w:val="0"/>
                <w:sz w:val="15"/>
              </w:rPr>
              <w:t>Independent checker releases payment.</w:t>
            </w:r>
          </w:p>
        </w:tc>
      </w:tr>
    </w:tbl>
    <w:p/>
    <w:p>
      <w:pPr>
        <w:pStyle w:val="Heading1"/>
      </w:pPr>
      <w:r>
        <w:t>15. Maker-Checker</w:t>
      </w:r>
    </w:p>
    <w:p>
      <w:r>
        <w:t>Maker-checker means one person prepares or initiates and another independently verifies/approves the controlled action.</w:t>
      </w:r>
    </w:p>
    <w:p>
      <w:r>
        <w:t>The checker must perform a real review. Clicking “approve” because the maker is trusted defeats the control. Where workflow cannot technically separate duties, a documented compensating control and owner is required.</w:t>
      </w:r>
    </w:p>
    <w:p>
      <w:pPr>
        <w:pStyle w:val="Heading1"/>
      </w:pPr>
      <w:r>
        <w:t>16. Segregation of Duties</w:t>
      </w:r>
    </w:p>
    <w:p>
      <w:r>
        <w:t>Employees shall not intentionally combine incompatible responsibilities.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Process</w:t>
            </w:r>
          </w:p>
        </w:tc>
        <w:tc>
          <w:tcPr>
            <w:tcW w:type="dxa" w:w="5155"/>
            <w:vAlign w:val="center"/>
            <w:shd w:fill="17365D"/>
          </w:tcPr>
          <w:p>
            <w:r/>
            <w:r>
              <w:rPr>
                <w:b/>
                <w:color w:val="FFFFFF"/>
                <w:sz w:val="15"/>
              </w:rPr>
              <w:t>Example Incompatibility</w:t>
            </w:r>
          </w:p>
        </w:tc>
      </w:tr>
      <w:tr>
        <w:tc>
          <w:tcPr>
            <w:tcW w:type="dxa" w:w="5155"/>
            <w:vAlign w:val="center"/>
          </w:tcPr>
          <w:p>
            <w:r/>
            <w:r>
              <w:rPr>
                <w:b w:val="0"/>
                <w:sz w:val="15"/>
              </w:rPr>
              <w:t>Loan disbursement</w:t>
            </w:r>
          </w:p>
        </w:tc>
        <w:tc>
          <w:tcPr>
            <w:tcW w:type="dxa" w:w="5155"/>
            <w:vAlign w:val="center"/>
          </w:tcPr>
          <w:p>
            <w:r/>
            <w:r>
              <w:rPr>
                <w:b w:val="0"/>
                <w:sz w:val="15"/>
              </w:rPr>
              <w:t>Prepare beneficiary details and release payment.</w:t>
            </w:r>
          </w:p>
        </w:tc>
      </w:tr>
      <w:tr>
        <w:tc>
          <w:tcPr>
            <w:tcW w:type="dxa" w:w="5155"/>
            <w:vAlign w:val="center"/>
          </w:tcPr>
          <w:p>
            <w:r/>
            <w:r>
              <w:rPr>
                <w:b w:val="0"/>
                <w:sz w:val="15"/>
              </w:rPr>
              <w:t>Customer master</w:t>
            </w:r>
          </w:p>
        </w:tc>
        <w:tc>
          <w:tcPr>
            <w:tcW w:type="dxa" w:w="5155"/>
            <w:vAlign w:val="center"/>
          </w:tcPr>
          <w:p>
            <w:r/>
            <w:r>
              <w:rPr>
                <w:b w:val="0"/>
                <w:sz w:val="15"/>
              </w:rPr>
              <w:t>Create high-risk customer and independently verify own KYC.</w:t>
            </w:r>
          </w:p>
        </w:tc>
      </w:tr>
      <w:tr>
        <w:tc>
          <w:tcPr>
            <w:tcW w:type="dxa" w:w="5155"/>
            <w:vAlign w:val="center"/>
          </w:tcPr>
          <w:p>
            <w:r/>
            <w:r>
              <w:rPr>
                <w:b w:val="0"/>
                <w:sz w:val="15"/>
              </w:rPr>
              <w:t>Credit exception</w:t>
            </w:r>
          </w:p>
        </w:tc>
        <w:tc>
          <w:tcPr>
            <w:tcW w:type="dxa" w:w="5155"/>
            <w:vAlign w:val="center"/>
          </w:tcPr>
          <w:p>
            <w:r/>
            <w:r>
              <w:rPr>
                <w:b w:val="0"/>
                <w:sz w:val="15"/>
              </w:rPr>
              <w:t>Prepare exception and act as required independent approver.</w:t>
            </w:r>
          </w:p>
        </w:tc>
      </w:tr>
      <w:tr>
        <w:tc>
          <w:tcPr>
            <w:tcW w:type="dxa" w:w="5155"/>
            <w:vAlign w:val="center"/>
          </w:tcPr>
          <w:p>
            <w:r/>
            <w:r>
              <w:rPr>
                <w:b w:val="0"/>
                <w:sz w:val="15"/>
              </w:rPr>
              <w:t>Investment support</w:t>
            </w:r>
          </w:p>
        </w:tc>
        <w:tc>
          <w:tcPr>
            <w:tcW w:type="dxa" w:w="5155"/>
            <w:vAlign w:val="center"/>
          </w:tcPr>
          <w:p>
            <w:r/>
            <w:r>
              <w:rPr>
                <w:b w:val="0"/>
                <w:sz w:val="15"/>
              </w:rPr>
              <w:t>Execute trade and independently approve own pricing exception.</w:t>
            </w:r>
          </w:p>
        </w:tc>
      </w:tr>
      <w:tr>
        <w:tc>
          <w:tcPr>
            <w:tcW w:type="dxa" w:w="5155"/>
            <w:vAlign w:val="center"/>
          </w:tcPr>
          <w:p>
            <w:r/>
            <w:r>
              <w:rPr>
                <w:b w:val="0"/>
                <w:sz w:val="15"/>
              </w:rPr>
              <w:t>Access</w:t>
            </w:r>
          </w:p>
        </w:tc>
        <w:tc>
          <w:tcPr>
            <w:tcW w:type="dxa" w:w="5155"/>
            <w:vAlign w:val="center"/>
          </w:tcPr>
          <w:p>
            <w:r/>
            <w:r>
              <w:rPr>
                <w:b w:val="0"/>
                <w:sz w:val="15"/>
              </w:rPr>
              <w:t>Request/administer and self-certify critical privilege.</w:t>
            </w:r>
          </w:p>
        </w:tc>
      </w:tr>
    </w:tbl>
    <w:p/>
    <w:p>
      <w:pPr>
        <w:pStyle w:val="Heading1"/>
      </w:pPr>
      <w:r>
        <w:t>17. Payment and Beneficiary Changes</w:t>
      </w:r>
    </w:p>
    <w:p>
      <w:r>
        <w:t>Last-minute beneficiary or bank-detail changes require heightened verification and may trigger fraud escalation.</w:t>
      </w:r>
    </w:p>
    <w:p>
      <w:pPr>
        <w:pStyle w:val="ListBullet"/>
      </w:pPr>
      <w:r>
        <w:t>Do not rely solely on an email requesting changed bank details.</w:t>
      </w:r>
    </w:p>
    <w:p>
      <w:pPr>
        <w:pStyle w:val="ListBullet"/>
      </w:pPr>
      <w:r>
        <w:t>Use approved independent confirmation where process requires it.</w:t>
      </w:r>
    </w:p>
    <w:p>
      <w:pPr>
        <w:pStyle w:val="ListBullet"/>
      </w:pPr>
      <w:r>
        <w:t>Record who verified, source used and date/time.</w:t>
      </w:r>
    </w:p>
    <w:p>
      <w:pPr>
        <w:pStyle w:val="ListBullet"/>
      </w:pPr>
      <w:r>
        <w:t>Escalate unusual urgency, secrecy or third-party beneficiary.</w:t>
      </w:r>
    </w:p>
    <w:p>
      <w:pPr>
        <w:pStyle w:val="Heading1"/>
      </w:pPr>
      <w:r>
        <w:t>18. Operational Quality Assurance</w:t>
      </w:r>
    </w:p>
    <w:p>
      <w:r>
        <w:t>QA shall sample cases based on volume and risk. Findings should distinguish isolated documentation error, control failure, repeat pattern and potential customer/financial impact.</w:t>
      </w:r>
    </w:p>
    <w:p>
      <w:pPr>
        <w:pStyle w:val="Heading1"/>
      </w:pPr>
      <w:r>
        <w:t>19. Error Correction</w:t>
      </w:r>
    </w:p>
    <w:p>
      <w:r>
        <w:t>Employees must correct records transparently. Do not delete or overwrite material evidence to make a case appear compliant.</w:t>
      </w:r>
    </w:p>
    <w:p>
      <w:r>
        <w:t>Where systems permit correction without visible history, the employee should document the reason in the case note or controlled record when the change affects a decision, approval or customer outcome.</w:t>
      </w:r>
    </w:p>
    <w:p>
      <w:pPr>
        <w:pStyle w:val="Heading1"/>
      </w:pPr>
      <w:r>
        <w:t>20. Complaints</w:t>
      </w:r>
    </w:p>
    <w:p>
      <w:r>
        <w:t>Customer complaints shall be recorded and routed under the Complaints Handling Procedure when issued. Until then, use approved Customer Service escalation and CMP-012 oversight.</w:t>
      </w:r>
    </w:p>
    <w:p>
      <w:pPr>
        <w:pStyle w:val="ListBullet"/>
      </w:pPr>
      <w:r>
        <w:t>Do not discourage a customer from making a complaint.</w:t>
      </w:r>
    </w:p>
    <w:p>
      <w:pPr>
        <w:pStyle w:val="ListBullet"/>
      </w:pPr>
      <w:r>
        <w:t>Record the substance, not only the employee’s interpretation.</w:t>
      </w:r>
    </w:p>
    <w:p>
      <w:pPr>
        <w:pStyle w:val="ListBullet"/>
      </w:pPr>
      <w:r>
        <w:t>Escalate potential financial loss, discrimination, misconduct or repeat themes.</w:t>
      </w:r>
    </w:p>
    <w:p>
      <w:pPr>
        <w:pStyle w:val="ListBullet"/>
      </w:pPr>
      <w:r>
        <w:t>Customer remediation requires authorized calculation and approval.</w:t>
      </w:r>
    </w:p>
    <w:p>
      <w:pPr>
        <w:pStyle w:val="Heading1"/>
      </w:pPr>
      <w:r>
        <w:t>21. Fraud Indicators</w:t>
      </w:r>
    </w:p>
    <w:p>
      <w:r>
        <w:t>Suspected fraud must be escalated without accusing the customer or employee unless authorized investigative process requires it.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Indicator</w:t>
            </w:r>
          </w:p>
        </w:tc>
        <w:tc>
          <w:tcPr>
            <w:tcW w:type="dxa" w:w="5155"/>
            <w:vAlign w:val="center"/>
            <w:shd w:fill="17365D"/>
          </w:tcPr>
          <w:p>
            <w:r/>
            <w:r>
              <w:rPr>
                <w:b/>
                <w:color w:val="FFFFFF"/>
                <w:sz w:val="15"/>
              </w:rPr>
              <w:t>Action</w:t>
            </w:r>
          </w:p>
        </w:tc>
      </w:tr>
      <w:tr>
        <w:tc>
          <w:tcPr>
            <w:tcW w:type="dxa" w:w="5155"/>
            <w:vAlign w:val="center"/>
          </w:tcPr>
          <w:p>
            <w:r/>
            <w:r>
              <w:rPr>
                <w:b w:val="0"/>
                <w:sz w:val="15"/>
              </w:rPr>
              <w:t>Document manipulation</w:t>
            </w:r>
          </w:p>
        </w:tc>
        <w:tc>
          <w:tcPr>
            <w:tcW w:type="dxa" w:w="5155"/>
            <w:vAlign w:val="center"/>
          </w:tcPr>
          <w:p>
            <w:r/>
            <w:r>
              <w:rPr>
                <w:b w:val="0"/>
                <w:sz w:val="15"/>
              </w:rPr>
              <w:t>Preserve evidence; refer Fraud Risk/KYC as relevant.</w:t>
            </w:r>
          </w:p>
        </w:tc>
      </w:tr>
      <w:tr>
        <w:tc>
          <w:tcPr>
            <w:tcW w:type="dxa" w:w="5155"/>
            <w:vAlign w:val="center"/>
          </w:tcPr>
          <w:p>
            <w:r/>
            <w:r>
              <w:rPr>
                <w:b w:val="0"/>
                <w:sz w:val="15"/>
              </w:rPr>
              <w:t>Multiple linked applications</w:t>
            </w:r>
          </w:p>
        </w:tc>
        <w:tc>
          <w:tcPr>
            <w:tcW w:type="dxa" w:w="5155"/>
            <w:vAlign w:val="center"/>
          </w:tcPr>
          <w:p>
            <w:r/>
            <w:r>
              <w:rPr>
                <w:b w:val="0"/>
                <w:sz w:val="15"/>
              </w:rPr>
              <w:t>Hold/review duplicates; do not choose one silently.</w:t>
            </w:r>
          </w:p>
        </w:tc>
      </w:tr>
      <w:tr>
        <w:tc>
          <w:tcPr>
            <w:tcW w:type="dxa" w:w="5155"/>
            <w:vAlign w:val="center"/>
          </w:tcPr>
          <w:p>
            <w:r/>
            <w:r>
              <w:rPr>
                <w:b w:val="0"/>
                <w:sz w:val="15"/>
              </w:rPr>
              <w:t>Unexpected third-party beneficiary</w:t>
            </w:r>
          </w:p>
        </w:tc>
        <w:tc>
          <w:tcPr>
            <w:tcW w:type="dxa" w:w="5155"/>
            <w:vAlign w:val="center"/>
          </w:tcPr>
          <w:p>
            <w:r/>
            <w:r>
              <w:rPr>
                <w:b w:val="0"/>
                <w:sz w:val="15"/>
              </w:rPr>
              <w:t>Verify and escalate.</w:t>
            </w:r>
          </w:p>
        </w:tc>
      </w:tr>
      <w:tr>
        <w:tc>
          <w:tcPr>
            <w:tcW w:type="dxa" w:w="5155"/>
            <w:vAlign w:val="center"/>
          </w:tcPr>
          <w:p>
            <w:r/>
            <w:r>
              <w:rPr>
                <w:b w:val="0"/>
                <w:sz w:val="15"/>
              </w:rPr>
              <w:t>Employee bypassing controls</w:t>
            </w:r>
          </w:p>
        </w:tc>
        <w:tc>
          <w:tcPr>
            <w:tcW w:type="dxa" w:w="5155"/>
            <w:vAlign w:val="center"/>
          </w:tcPr>
          <w:p>
            <w:r/>
            <w:r>
              <w:rPr>
                <w:b w:val="0"/>
                <w:sz w:val="15"/>
              </w:rPr>
              <w:t>Manager + Fraud/Compliance/Security depending facts.</w:t>
            </w:r>
          </w:p>
        </w:tc>
      </w:tr>
      <w:tr>
        <w:tc>
          <w:tcPr>
            <w:tcW w:type="dxa" w:w="5155"/>
            <w:vAlign w:val="center"/>
          </w:tcPr>
          <w:p>
            <w:r/>
            <w:r>
              <w:rPr>
                <w:b w:val="0"/>
                <w:sz w:val="15"/>
              </w:rPr>
              <w:t>Account takeover signs</w:t>
            </w:r>
          </w:p>
        </w:tc>
        <w:tc>
          <w:tcPr>
            <w:tcW w:type="dxa" w:w="5155"/>
            <w:vAlign w:val="center"/>
          </w:tcPr>
          <w:p>
            <w:r/>
            <w:r>
              <w:rPr>
                <w:b w:val="0"/>
                <w:sz w:val="15"/>
              </w:rPr>
              <w:t>Security/Fraud response; protect customer access.</w:t>
            </w:r>
          </w:p>
        </w:tc>
      </w:tr>
    </w:tbl>
    <w:p/>
    <w:p>
      <w:pPr>
        <w:pStyle w:val="Heading1"/>
      </w:pPr>
      <w:r>
        <w:t>22. Information Classification</w:t>
      </w:r>
    </w:p>
    <w:p>
      <w:r>
        <w:t>Employees shall follow ISP-014 classifications: Public, Internal, Confidential and Restricted.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Information</w:t>
            </w:r>
          </w:p>
        </w:tc>
        <w:tc>
          <w:tcPr>
            <w:tcW w:type="dxa" w:w="5155"/>
            <w:vAlign w:val="center"/>
            <w:shd w:fill="17365D"/>
          </w:tcPr>
          <w:p>
            <w:r/>
            <w:r>
              <w:rPr>
                <w:b/>
                <w:color w:val="FFFFFF"/>
                <w:sz w:val="15"/>
              </w:rPr>
              <w:t>Typical Class</w:t>
            </w:r>
          </w:p>
        </w:tc>
      </w:tr>
      <w:tr>
        <w:tc>
          <w:tcPr>
            <w:tcW w:type="dxa" w:w="5155"/>
            <w:vAlign w:val="center"/>
          </w:tcPr>
          <w:p>
            <w:r/>
            <w:r>
              <w:rPr>
                <w:b w:val="0"/>
                <w:sz w:val="15"/>
              </w:rPr>
              <w:t>Approved public brochure</w:t>
            </w:r>
          </w:p>
        </w:tc>
        <w:tc>
          <w:tcPr>
            <w:tcW w:type="dxa" w:w="5155"/>
            <w:vAlign w:val="center"/>
          </w:tcPr>
          <w:p>
            <w:r/>
            <w:r>
              <w:rPr>
                <w:b w:val="0"/>
                <w:sz w:val="15"/>
              </w:rPr>
              <w:t>Public</w:t>
            </w:r>
          </w:p>
        </w:tc>
      </w:tr>
      <w:tr>
        <w:tc>
          <w:tcPr>
            <w:tcW w:type="dxa" w:w="5155"/>
            <w:vAlign w:val="center"/>
          </w:tcPr>
          <w:p>
            <w:r/>
            <w:r>
              <w:rPr>
                <w:b w:val="0"/>
                <w:sz w:val="15"/>
              </w:rPr>
              <w:t>Routine internal procedure</w:t>
            </w:r>
          </w:p>
        </w:tc>
        <w:tc>
          <w:tcPr>
            <w:tcW w:type="dxa" w:w="5155"/>
            <w:vAlign w:val="center"/>
          </w:tcPr>
          <w:p>
            <w:r/>
            <w:r>
              <w:rPr>
                <w:b w:val="0"/>
                <w:sz w:val="15"/>
              </w:rPr>
              <w:t>Internal</w:t>
            </w:r>
          </w:p>
        </w:tc>
      </w:tr>
      <w:tr>
        <w:tc>
          <w:tcPr>
            <w:tcW w:type="dxa" w:w="5155"/>
            <w:vAlign w:val="center"/>
          </w:tcPr>
          <w:p>
            <w:r/>
            <w:r>
              <w:rPr>
                <w:b w:val="0"/>
                <w:sz w:val="15"/>
              </w:rPr>
              <w:t>Customer statement / credit file</w:t>
            </w:r>
          </w:p>
        </w:tc>
        <w:tc>
          <w:tcPr>
            <w:tcW w:type="dxa" w:w="5155"/>
            <w:vAlign w:val="center"/>
          </w:tcPr>
          <w:p>
            <w:r/>
            <w:r>
              <w:rPr>
                <w:b w:val="0"/>
                <w:sz w:val="15"/>
              </w:rPr>
              <w:t>Confidential</w:t>
            </w:r>
          </w:p>
        </w:tc>
      </w:tr>
      <w:tr>
        <w:tc>
          <w:tcPr>
            <w:tcW w:type="dxa" w:w="5155"/>
            <w:vAlign w:val="center"/>
          </w:tcPr>
          <w:p>
            <w:r/>
            <w:r>
              <w:rPr>
                <w:b w:val="0"/>
                <w:sz w:val="15"/>
              </w:rPr>
              <w:t>Authentication secret / sensitive investigation / full identity pack</w:t>
            </w:r>
          </w:p>
        </w:tc>
        <w:tc>
          <w:tcPr>
            <w:tcW w:type="dxa" w:w="5155"/>
            <w:vAlign w:val="center"/>
          </w:tcPr>
          <w:p>
            <w:r/>
            <w:r>
              <w:rPr>
                <w:b w:val="0"/>
                <w:sz w:val="15"/>
              </w:rPr>
              <w:t>Restricted</w:t>
            </w:r>
          </w:p>
        </w:tc>
      </w:tr>
    </w:tbl>
    <w:p/>
    <w:p>
      <w:pPr>
        <w:pStyle w:val="Heading1"/>
      </w:pPr>
      <w:r>
        <w:t>23. Customer Data Handling</w:t>
      </w:r>
    </w:p>
    <w:p>
      <w:r>
        <w:t>Customer data shall be used only for legitimate business purposes and through approved systems.</w:t>
      </w:r>
    </w:p>
    <w:p>
      <w:pPr>
        <w:pStyle w:val="ListBullet"/>
      </w:pPr>
      <w:r>
        <w:t>Do not copy customer records to personal email or messaging.</w:t>
      </w:r>
    </w:p>
    <w:p>
      <w:pPr>
        <w:pStyle w:val="ListBullet"/>
      </w:pPr>
      <w:r>
        <w:t>Do not photograph customer documents with a personal phone.</w:t>
      </w:r>
    </w:p>
    <w:p>
      <w:pPr>
        <w:pStyle w:val="ListBullet"/>
      </w:pPr>
      <w:r>
        <w:t>Do not discuss customer information where unauthorized persons can hear.</w:t>
      </w:r>
    </w:p>
    <w:p>
      <w:pPr>
        <w:pStyle w:val="ListBullet"/>
      </w:pPr>
      <w:r>
        <w:t>Use approved secure transfer methods.</w:t>
      </w:r>
    </w:p>
    <w:p>
      <w:pPr>
        <w:pStyle w:val="ListBullet"/>
      </w:pPr>
      <w:r>
        <w:t>Shred/dispose printed sensitive material securely.</w:t>
      </w:r>
    </w:p>
    <w:p>
      <w:pPr>
        <w:pStyle w:val="Heading1"/>
      </w:pPr>
      <w:r>
        <w:t>24. Passwords and MFA</w:t>
      </w:r>
    </w:p>
    <w:p>
      <w:r>
        <w:t>Employees shall follow ACS-051. The current workforce password baseline is 14 characters where password authentication applies, with MFA for remote/high-risk access.</w:t>
      </w:r>
    </w:p>
    <w:p>
      <w:r>
        <w:t>EOM-020 v2.3 referenced a 12-character password baseline from the older access standard. That wording is superseded from 1 June 2026; existing credentials transition under ACS-051 rather than forcing an unnecessary immediate reset solely because this Manual changed.</w:t>
      </w:r>
    </w:p>
    <w:p>
      <w:pPr>
        <w:pStyle w:val="Heading1"/>
      </w:pPr>
      <w:r>
        <w:t>25. Access Requests and Reviews</w:t>
      </w:r>
    </w:p>
    <w:p>
      <w:r>
        <w:t>Employees and managers shall request only access needed for current duties and respond to recertification requests accurately.</w:t>
      </w:r>
    </w:p>
    <w:p>
      <w:pPr>
        <w:pStyle w:val="ListBullet"/>
      </w:pPr>
      <w:r>
        <w:t>Do not approve access reviews without checking the user’s actual role.</w:t>
      </w:r>
    </w:p>
    <w:p>
      <w:pPr>
        <w:pStyle w:val="ListBullet"/>
      </w:pPr>
      <w:r>
        <w:t>Remove prior-role access after transfers.</w:t>
      </w:r>
    </w:p>
    <w:p>
      <w:pPr>
        <w:pStyle w:val="ListBullet"/>
      </w:pPr>
      <w:r>
        <w:t>Do not share accounts to avoid onboarding delay.</w:t>
      </w:r>
    </w:p>
    <w:p>
      <w:pPr>
        <w:pStyle w:val="ListBullet"/>
      </w:pPr>
      <w:r>
        <w:t>Vendor access requires internal sponsor and expiry.</w:t>
      </w:r>
    </w:p>
    <w:p>
      <w:pPr>
        <w:pStyle w:val="ListBullet"/>
      </w:pPr>
      <w:r>
        <w:t>Emergency access must be reviewed after use.</w:t>
      </w:r>
    </w:p>
    <w:p>
      <w:pPr>
        <w:pStyle w:val="Heading1"/>
      </w:pPr>
      <w:r>
        <w:t>26. Remote Work and Devices</w:t>
      </w:r>
    </w:p>
    <w:p>
      <w:r>
        <w:t>Employees shall use approved devices and protect screens, conversations and printed information when working remotely. Loss or theft of a device must be reported immediately.</w:t>
      </w:r>
    </w:p>
    <w:p>
      <w:pPr>
        <w:pStyle w:val="Heading1"/>
      </w:pPr>
      <w:r>
        <w:t>27. Security Incident Reporting</w:t>
      </w:r>
    </w:p>
    <w:p>
      <w:r>
        <w:t>Employees shall report suspected security incidents under SIR-052.</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Example</w:t>
            </w:r>
          </w:p>
        </w:tc>
        <w:tc>
          <w:tcPr>
            <w:tcW w:type="dxa" w:w="5155"/>
            <w:vAlign w:val="center"/>
            <w:shd w:fill="17365D"/>
          </w:tcPr>
          <w:p>
            <w:r/>
            <w:r>
              <w:rPr>
                <w:b/>
                <w:color w:val="FFFFFF"/>
                <w:sz w:val="15"/>
              </w:rPr>
              <w:t>Immediate Action</w:t>
            </w:r>
          </w:p>
        </w:tc>
      </w:tr>
      <w:tr>
        <w:tc>
          <w:tcPr>
            <w:tcW w:type="dxa" w:w="5155"/>
            <w:vAlign w:val="center"/>
          </w:tcPr>
          <w:p>
            <w:r/>
            <w:r>
              <w:rPr>
                <w:b w:val="0"/>
                <w:sz w:val="15"/>
              </w:rPr>
              <w:t>Unexpected MFA prompts</w:t>
            </w:r>
          </w:p>
        </w:tc>
        <w:tc>
          <w:tcPr>
            <w:tcW w:type="dxa" w:w="5155"/>
            <w:vAlign w:val="center"/>
          </w:tcPr>
          <w:p>
            <w:r/>
            <w:r>
              <w:rPr>
                <w:b w:val="0"/>
                <w:sz w:val="15"/>
              </w:rPr>
              <w:t>Do not approve; report to Security.</w:t>
            </w:r>
          </w:p>
        </w:tc>
      </w:tr>
      <w:tr>
        <w:tc>
          <w:tcPr>
            <w:tcW w:type="dxa" w:w="5155"/>
            <w:vAlign w:val="center"/>
          </w:tcPr>
          <w:p>
            <w:r/>
            <w:r>
              <w:rPr>
                <w:b w:val="0"/>
                <w:sz w:val="15"/>
              </w:rPr>
              <w:t>Lost laptop/phone</w:t>
            </w:r>
          </w:p>
        </w:tc>
        <w:tc>
          <w:tcPr>
            <w:tcW w:type="dxa" w:w="5155"/>
            <w:vAlign w:val="center"/>
          </w:tcPr>
          <w:p>
            <w:r/>
            <w:r>
              <w:rPr>
                <w:b w:val="0"/>
                <w:sz w:val="15"/>
              </w:rPr>
              <w:t>Report immediately; provide device/time/location.</w:t>
            </w:r>
          </w:p>
        </w:tc>
      </w:tr>
      <w:tr>
        <w:tc>
          <w:tcPr>
            <w:tcW w:type="dxa" w:w="5155"/>
            <w:vAlign w:val="center"/>
          </w:tcPr>
          <w:p>
            <w:r/>
            <w:r>
              <w:rPr>
                <w:b w:val="0"/>
                <w:sz w:val="15"/>
              </w:rPr>
              <w:t>Customer file sent to wrong recipient</w:t>
            </w:r>
          </w:p>
        </w:tc>
        <w:tc>
          <w:tcPr>
            <w:tcW w:type="dxa" w:w="5155"/>
            <w:vAlign w:val="center"/>
          </w:tcPr>
          <w:p>
            <w:r/>
            <w:r>
              <w:rPr>
                <w:b w:val="0"/>
                <w:sz w:val="15"/>
              </w:rPr>
              <w:t>Report and attempt controlled recall/containment; do not conceal error.</w:t>
            </w:r>
          </w:p>
        </w:tc>
      </w:tr>
      <w:tr>
        <w:tc>
          <w:tcPr>
            <w:tcW w:type="dxa" w:w="5155"/>
            <w:vAlign w:val="center"/>
          </w:tcPr>
          <w:p>
            <w:r/>
            <w:r>
              <w:rPr>
                <w:b w:val="0"/>
                <w:sz w:val="15"/>
              </w:rPr>
              <w:t>Malware warning</w:t>
            </w:r>
          </w:p>
        </w:tc>
        <w:tc>
          <w:tcPr>
            <w:tcW w:type="dxa" w:w="5155"/>
            <w:vAlign w:val="center"/>
          </w:tcPr>
          <w:p>
            <w:r/>
            <w:r>
              <w:rPr>
                <w:b w:val="0"/>
                <w:sz w:val="15"/>
              </w:rPr>
              <w:t>Disconnect/isolate as instructed; contact Security.</w:t>
            </w:r>
          </w:p>
        </w:tc>
      </w:tr>
      <w:tr>
        <w:tc>
          <w:tcPr>
            <w:tcW w:type="dxa" w:w="5155"/>
            <w:vAlign w:val="center"/>
          </w:tcPr>
          <w:p>
            <w:r/>
            <w:r>
              <w:rPr>
                <w:b w:val="0"/>
                <w:sz w:val="15"/>
              </w:rPr>
              <w:t>Suspicious admin activity</w:t>
            </w:r>
          </w:p>
        </w:tc>
        <w:tc>
          <w:tcPr>
            <w:tcW w:type="dxa" w:w="5155"/>
            <w:vAlign w:val="center"/>
          </w:tcPr>
          <w:p>
            <w:r/>
            <w:r>
              <w:rPr>
                <w:b w:val="0"/>
                <w:sz w:val="15"/>
              </w:rPr>
              <w:t>Preserve evidence and escalate.</w:t>
            </w:r>
          </w:p>
        </w:tc>
      </w:tr>
    </w:tbl>
    <w:p/>
    <w:p>
      <w:pPr>
        <w:pStyle w:val="Heading1"/>
      </w:pPr>
      <w:r>
        <w:t>28. Vendor Interaction</w:t>
      </w:r>
    </w:p>
    <w:p>
      <w:r>
        <w:t>Employees engaging vendors must follow VRP-053 and Procurement controls.</w:t>
      </w:r>
    </w:p>
    <w:p>
      <w:pPr>
        <w:pStyle w:val="ListBullet"/>
      </w:pPr>
      <w:r>
        <w:t>Do not grant system access before sponsorship/approval.</w:t>
      </w:r>
    </w:p>
    <w:p>
      <w:pPr>
        <w:pStyle w:val="ListBullet"/>
      </w:pPr>
      <w:r>
        <w:t>Do not send production customer data for “testing” without approved scope.</w:t>
      </w:r>
    </w:p>
    <w:p>
      <w:pPr>
        <w:pStyle w:val="ListBullet"/>
      </w:pPr>
      <w:r>
        <w:t>Report vendor incidents or repeated failures.</w:t>
      </w:r>
    </w:p>
    <w:p>
      <w:pPr>
        <w:pStyle w:val="ListBullet"/>
      </w:pPr>
      <w:r>
        <w:t>Ensure vendor staff changes trigger access removal.</w:t>
      </w:r>
    </w:p>
    <w:p>
      <w:pPr>
        <w:pStyle w:val="ListBullet"/>
      </w:pPr>
      <w:r>
        <w:t>Escalate undisclosed subcontracting for material services.</w:t>
      </w:r>
    </w:p>
    <w:p>
      <w:pPr>
        <w:pStyle w:val="Heading1"/>
      </w:pPr>
      <w:r>
        <w:t>29. Gifts and Hospitality</w:t>
      </w:r>
    </w:p>
    <w:p>
      <w:r>
        <w:t>CMP-012 controls gifts and hospitality.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Item</w:t>
            </w:r>
          </w:p>
        </w:tc>
        <w:tc>
          <w:tcPr>
            <w:tcW w:type="dxa" w:w="5155"/>
            <w:vAlign w:val="center"/>
            <w:shd w:fill="17365D"/>
          </w:tcPr>
          <w:p>
            <w:r/>
            <w:r>
              <w:rPr>
                <w:b/>
                <w:color w:val="FFFFFF"/>
                <w:sz w:val="15"/>
              </w:rPr>
              <w:t>Current Rule</w:t>
            </w:r>
          </w:p>
        </w:tc>
      </w:tr>
      <w:tr>
        <w:tc>
          <w:tcPr>
            <w:tcW w:type="dxa" w:w="5155"/>
            <w:vAlign w:val="center"/>
          </w:tcPr>
          <w:p>
            <w:r/>
            <w:r>
              <w:rPr>
                <w:b w:val="0"/>
                <w:sz w:val="15"/>
              </w:rPr>
              <w:t>Nominal item ≤₹1,500</w:t>
            </w:r>
          </w:p>
        </w:tc>
        <w:tc>
          <w:tcPr>
            <w:tcW w:type="dxa" w:w="5155"/>
            <w:vAlign w:val="center"/>
          </w:tcPr>
          <w:p>
            <w:r/>
            <w:r>
              <w:rPr>
                <w:b w:val="0"/>
                <w:sz w:val="15"/>
              </w:rPr>
              <w:t>May be acceptable if infrequent and no conflict.</w:t>
            </w:r>
          </w:p>
        </w:tc>
      </w:tr>
      <w:tr>
        <w:tc>
          <w:tcPr>
            <w:tcW w:type="dxa" w:w="5155"/>
            <w:vAlign w:val="center"/>
          </w:tcPr>
          <w:p>
            <w:r/>
            <w:r>
              <w:rPr>
                <w:b w:val="0"/>
                <w:sz w:val="15"/>
              </w:rPr>
              <w:t>&gt;₹1,500 to ≤₹5,000</w:t>
            </w:r>
          </w:p>
        </w:tc>
        <w:tc>
          <w:tcPr>
            <w:tcW w:type="dxa" w:w="5155"/>
            <w:vAlign w:val="center"/>
          </w:tcPr>
          <w:p>
            <w:r/>
            <w:r>
              <w:rPr>
                <w:b w:val="0"/>
                <w:sz w:val="15"/>
              </w:rPr>
              <w:t>Manager disclosure/register.</w:t>
            </w:r>
          </w:p>
        </w:tc>
      </w:tr>
      <w:tr>
        <w:tc>
          <w:tcPr>
            <w:tcW w:type="dxa" w:w="5155"/>
            <w:vAlign w:val="center"/>
          </w:tcPr>
          <w:p>
            <w:r/>
            <w:r>
              <w:rPr>
                <w:b w:val="0"/>
                <w:sz w:val="15"/>
              </w:rPr>
              <w:t>&gt;₹5,000</w:t>
            </w:r>
          </w:p>
        </w:tc>
        <w:tc>
          <w:tcPr>
            <w:tcW w:type="dxa" w:w="5155"/>
            <w:vAlign w:val="center"/>
          </w:tcPr>
          <w:p>
            <w:r/>
            <w:r>
              <w:rPr>
                <w:b w:val="0"/>
                <w:sz w:val="15"/>
              </w:rPr>
              <w:t>Prior Compliance approval; often decline around active decisions.</w:t>
            </w:r>
          </w:p>
        </w:tc>
      </w:tr>
      <w:tr>
        <w:tc>
          <w:tcPr>
            <w:tcW w:type="dxa" w:w="5155"/>
            <w:vAlign w:val="center"/>
          </w:tcPr>
          <w:p>
            <w:r/>
            <w:r>
              <w:rPr>
                <w:b w:val="0"/>
                <w:sz w:val="15"/>
              </w:rPr>
              <w:t>Cash/cash equivalent</w:t>
            </w:r>
          </w:p>
        </w:tc>
        <w:tc>
          <w:tcPr>
            <w:tcW w:type="dxa" w:w="5155"/>
            <w:vAlign w:val="center"/>
          </w:tcPr>
          <w:p>
            <w:r/>
            <w:r>
              <w:rPr>
                <w:b w:val="0"/>
                <w:sz w:val="15"/>
              </w:rPr>
              <w:t>Prohibited.</w:t>
            </w:r>
          </w:p>
        </w:tc>
      </w:tr>
    </w:tbl>
    <w:p/>
    <w:p>
      <w:pPr>
        <w:pStyle w:val="Heading1"/>
      </w:pPr>
      <w:r>
        <w:t>30. Conflicts of Interest</w:t>
      </w:r>
    </w:p>
    <w:p>
      <w:r>
        <w:t>Employees shall disclose actual, potential or perceived conflicts, including personal relationships with customers/vendors, outside financial interests or participation in decisions involving related parties.</w:t>
      </w:r>
    </w:p>
    <w:p>
      <w:pPr>
        <w:pStyle w:val="Heading1"/>
      </w:pPr>
      <w:r>
        <w:t>31. Employee Conduct</w:t>
      </w:r>
    </w:p>
    <w:p>
      <w:r>
        <w:t>Employees shall act honestly, respectfully and within authority. Falsification of records, deliberate control bypass, unauthorized disclosure, credential sharing, harassment, retaliation or misuse of customer information may lead to disciplinary action.</w:t>
      </w:r>
    </w:p>
    <w:p>
      <w:pPr>
        <w:pStyle w:val="Heading1"/>
      </w:pPr>
      <w:r>
        <w:t>32. Whistleblowing and Speak-Up</w:t>
      </w:r>
    </w:p>
    <w:p>
      <w:r>
        <w:t>Good-faith concerns may be raised through approved confidential channels. Retaliation is prohibited. Employees need not first confront the person they suspect of misconduct.</w:t>
      </w:r>
    </w:p>
    <w:p>
      <w:pPr>
        <w:pStyle w:val="Heading1"/>
      </w:pPr>
      <w:r>
        <w:t>33. Operational Incident Escalation</w:t>
      </w:r>
    </w:p>
    <w:p>
      <w:r>
        <w:t>Operational incidents include processing failures, system issues, customer-impacting errors and control breakdowns. Material security, fraud, compliance or risk aspects shall be cross-referred to the specialist procedure.</w:t>
      </w:r>
    </w:p>
    <w:p>
      <w:r>
        <w:t>An event can have more than one classification. For example, unauthorized payment may be an operational incident, fraud case, security incident and compliance breach. Records should be linked, not forced into only one category.</w:t>
      </w:r>
    </w:p>
    <w:p>
      <w:pPr>
        <w:pStyle w:val="Heading1"/>
      </w:pPr>
      <w:r>
        <w:t>34. Training</w:t>
      </w:r>
    </w:p>
    <w:p>
      <w:r>
        <w:t>Employees shall complete required training before unsupervised controlled work and at assigned refresh intervals.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Training</w:t>
            </w:r>
          </w:p>
        </w:tc>
        <w:tc>
          <w:tcPr>
            <w:tcW w:type="dxa" w:w="3437"/>
            <w:vAlign w:val="center"/>
            <w:shd w:fill="17365D"/>
          </w:tcPr>
          <w:p>
            <w:r/>
            <w:r>
              <w:rPr>
                <w:b/>
                <w:color w:val="FFFFFF"/>
                <w:sz w:val="15"/>
              </w:rPr>
              <w:t>Population</w:t>
            </w:r>
          </w:p>
        </w:tc>
        <w:tc>
          <w:tcPr>
            <w:tcW w:type="dxa" w:w="3437"/>
            <w:vAlign w:val="center"/>
            <w:shd w:fill="17365D"/>
          </w:tcPr>
          <w:p>
            <w:r/>
            <w:r>
              <w:rPr>
                <w:b/>
                <w:color w:val="FFFFFF"/>
                <w:sz w:val="15"/>
              </w:rPr>
              <w:t>Typical Cadence</w:t>
            </w:r>
          </w:p>
        </w:tc>
      </w:tr>
      <w:tr>
        <w:tc>
          <w:tcPr>
            <w:tcW w:type="dxa" w:w="3437"/>
            <w:vAlign w:val="center"/>
          </w:tcPr>
          <w:p>
            <w:r/>
            <w:r>
              <w:rPr>
                <w:b w:val="0"/>
                <w:sz w:val="15"/>
              </w:rPr>
              <w:t>Code of conduct / compliance</w:t>
            </w:r>
          </w:p>
        </w:tc>
        <w:tc>
          <w:tcPr>
            <w:tcW w:type="dxa" w:w="3437"/>
            <w:vAlign w:val="center"/>
          </w:tcPr>
          <w:p>
            <w:r/>
            <w:r>
              <w:rPr>
                <w:b w:val="0"/>
                <w:sz w:val="15"/>
              </w:rPr>
              <w:t>All employees</w:t>
            </w:r>
          </w:p>
        </w:tc>
        <w:tc>
          <w:tcPr>
            <w:tcW w:type="dxa" w:w="3437"/>
            <w:vAlign w:val="center"/>
          </w:tcPr>
          <w:p>
            <w:r/>
            <w:r>
              <w:rPr>
                <w:b w:val="0"/>
                <w:sz w:val="15"/>
              </w:rPr>
              <w:t>Annual</w:t>
            </w:r>
          </w:p>
        </w:tc>
      </w:tr>
      <w:tr>
        <w:tc>
          <w:tcPr>
            <w:tcW w:type="dxa" w:w="3437"/>
            <w:vAlign w:val="center"/>
          </w:tcPr>
          <w:p>
            <w:r/>
            <w:r>
              <w:rPr>
                <w:b w:val="0"/>
                <w:sz w:val="15"/>
              </w:rPr>
              <w:t>Information security</w:t>
            </w:r>
          </w:p>
        </w:tc>
        <w:tc>
          <w:tcPr>
            <w:tcW w:type="dxa" w:w="3437"/>
            <w:vAlign w:val="center"/>
          </w:tcPr>
          <w:p>
            <w:r/>
            <w:r>
              <w:rPr>
                <w:b w:val="0"/>
                <w:sz w:val="15"/>
              </w:rPr>
              <w:t>All employees</w:t>
            </w:r>
          </w:p>
        </w:tc>
        <w:tc>
          <w:tcPr>
            <w:tcW w:type="dxa" w:w="3437"/>
            <w:vAlign w:val="center"/>
          </w:tcPr>
          <w:p>
            <w:r/>
            <w:r>
              <w:rPr>
                <w:b w:val="0"/>
                <w:sz w:val="15"/>
              </w:rPr>
              <w:t>Annual</w:t>
            </w:r>
          </w:p>
        </w:tc>
      </w:tr>
      <w:tr>
        <w:tc>
          <w:tcPr>
            <w:tcW w:type="dxa" w:w="3437"/>
            <w:vAlign w:val="center"/>
          </w:tcPr>
          <w:p>
            <w:r/>
            <w:r>
              <w:rPr>
                <w:b w:val="0"/>
                <w:sz w:val="15"/>
              </w:rPr>
              <w:t>KYC/AML awareness</w:t>
            </w:r>
          </w:p>
        </w:tc>
        <w:tc>
          <w:tcPr>
            <w:tcW w:type="dxa" w:w="3437"/>
            <w:vAlign w:val="center"/>
          </w:tcPr>
          <w:p>
            <w:r/>
            <w:r>
              <w:rPr>
                <w:b w:val="0"/>
                <w:sz w:val="15"/>
              </w:rPr>
              <w:t>Relevant customer/operations roles</w:t>
            </w:r>
          </w:p>
        </w:tc>
        <w:tc>
          <w:tcPr>
            <w:tcW w:type="dxa" w:w="3437"/>
            <w:vAlign w:val="center"/>
          </w:tcPr>
          <w:p>
            <w:r/>
            <w:r>
              <w:rPr>
                <w:b w:val="0"/>
                <w:sz w:val="15"/>
              </w:rPr>
              <w:t>Annual + updates</w:t>
            </w:r>
          </w:p>
        </w:tc>
      </w:tr>
      <w:tr>
        <w:tc>
          <w:tcPr>
            <w:tcW w:type="dxa" w:w="3437"/>
            <w:vAlign w:val="center"/>
          </w:tcPr>
          <w:p>
            <w:r/>
            <w:r>
              <w:rPr>
                <w:b w:val="0"/>
                <w:sz w:val="15"/>
              </w:rPr>
              <w:t>Delegated authority</w:t>
            </w:r>
          </w:p>
        </w:tc>
        <w:tc>
          <w:tcPr>
            <w:tcW w:type="dxa" w:w="3437"/>
            <w:vAlign w:val="center"/>
          </w:tcPr>
          <w:p>
            <w:r/>
            <w:r>
              <w:rPr>
                <w:b w:val="0"/>
                <w:sz w:val="15"/>
              </w:rPr>
              <w:t>Credit/investment approvers</w:t>
            </w:r>
          </w:p>
        </w:tc>
        <w:tc>
          <w:tcPr>
            <w:tcW w:type="dxa" w:w="3437"/>
            <w:vAlign w:val="center"/>
          </w:tcPr>
          <w:p>
            <w:r/>
            <w:r>
              <w:rPr>
                <w:b w:val="0"/>
                <w:sz w:val="15"/>
              </w:rPr>
              <w:t>Annual / change event</w:t>
            </w:r>
          </w:p>
        </w:tc>
      </w:tr>
      <w:tr>
        <w:tc>
          <w:tcPr>
            <w:tcW w:type="dxa" w:w="3437"/>
            <w:vAlign w:val="center"/>
          </w:tcPr>
          <w:p>
            <w:r/>
            <w:r>
              <w:rPr>
                <w:b w:val="0"/>
                <w:sz w:val="15"/>
              </w:rPr>
              <w:t>Role procedure</w:t>
            </w:r>
          </w:p>
        </w:tc>
        <w:tc>
          <w:tcPr>
            <w:tcW w:type="dxa" w:w="3437"/>
            <w:vAlign w:val="center"/>
          </w:tcPr>
          <w:p>
            <w:r/>
            <w:r>
              <w:rPr>
                <w:b w:val="0"/>
                <w:sz w:val="15"/>
              </w:rPr>
              <w:t>Operational role</w:t>
            </w:r>
          </w:p>
        </w:tc>
        <w:tc>
          <w:tcPr>
            <w:tcW w:type="dxa" w:w="3437"/>
            <w:vAlign w:val="center"/>
          </w:tcPr>
          <w:p>
            <w:r/>
            <w:r>
              <w:rPr>
                <w:b w:val="0"/>
                <w:sz w:val="15"/>
              </w:rPr>
              <w:t>Before unsupervised work + updates</w:t>
            </w:r>
          </w:p>
        </w:tc>
      </w:tr>
      <w:tr>
        <w:tc>
          <w:tcPr>
            <w:tcW w:type="dxa" w:w="3437"/>
            <w:vAlign w:val="center"/>
          </w:tcPr>
          <w:p>
            <w:r/>
            <w:r>
              <w:rPr>
                <w:b w:val="0"/>
                <w:sz w:val="15"/>
              </w:rPr>
              <w:t>Incident escalation</w:t>
            </w:r>
          </w:p>
        </w:tc>
        <w:tc>
          <w:tcPr>
            <w:tcW w:type="dxa" w:w="3437"/>
            <w:vAlign w:val="center"/>
          </w:tcPr>
          <w:p>
            <w:r/>
            <w:r>
              <w:rPr>
                <w:b w:val="0"/>
                <w:sz w:val="15"/>
              </w:rPr>
              <w:t>Managers/critical operations</w:t>
            </w:r>
          </w:p>
        </w:tc>
        <w:tc>
          <w:tcPr>
            <w:tcW w:type="dxa" w:w="3437"/>
            <w:vAlign w:val="center"/>
          </w:tcPr>
          <w:p>
            <w:r/>
            <w:r>
              <w:rPr>
                <w:b w:val="0"/>
                <w:sz w:val="15"/>
              </w:rPr>
              <w:t>Annual exercise/refresh</w:t>
            </w:r>
          </w:p>
        </w:tc>
      </w:tr>
    </w:tbl>
    <w:p/>
    <w:p>
      <w:pPr>
        <w:pStyle w:val="Heading1"/>
      </w:pPr>
      <w:r>
        <w:t>35. Supervision and Coaching</w:t>
      </w:r>
    </w:p>
    <w:p>
      <w:r>
        <w:t>Managers shall monitor new or changing staff until competence is demonstrated. Coaching is not a substitute for required approval or maker-checker controls.</w:t>
      </w:r>
    </w:p>
    <w:p>
      <w:pPr>
        <w:pStyle w:val="Heading1"/>
      </w:pPr>
      <w:r>
        <w:t>36. Audit and Assurance</w:t>
      </w:r>
    </w:p>
    <w:p>
      <w:r>
        <w:t>Employees must preserve records and cooperate with QA, Compliance, Risk and Internal Audit. Do not alter files, notes or timestamps because a sample has been selected for review.</w:t>
      </w:r>
    </w:p>
    <w:p>
      <w:pPr>
        <w:pStyle w:val="Heading1"/>
      </w:pPr>
      <w:r>
        <w:t>37. Business Continuity</w:t>
      </w:r>
    </w:p>
    <w:p>
      <w:r>
        <w:t>Employees shall follow continuity instructions during outages or disruption. Manual workarounds must preserve approval, data protection and reconstruction evidence as far as practical.</w:t>
      </w:r>
    </w:p>
    <w:p>
      <w:r>
        <w:t>A future Business Continuity Procedure will define enterprise recovery arrangements. Until then, approved business-unit continuity plans govern operational steps.</w:t>
      </w:r>
    </w:p>
    <w:p>
      <w:pPr>
        <w:pStyle w:val="Heading1"/>
      </w:pPr>
      <w:r>
        <w:t>38. Record Retention</w:t>
      </w:r>
    </w:p>
    <w:p>
      <w:r>
        <w:t>Employees shall store records in approved repositories and follow relevant retention schedules. Personal drives or local folders are not substitutes for controlled case records.</w:t>
      </w:r>
    </w:p>
    <w:p>
      <w:pPr>
        <w:pStyle w:val="Heading1"/>
      </w:pPr>
      <w:r>
        <w:t>39. Escalation When Unsure</w:t>
      </w:r>
    </w:p>
    <w:p>
      <w:r>
        <w:t>If an employee cannot determine which rule applies, the employee shall pause the affected decision/action where safe and escalate to the process owner, manager or specialist control function. Customer urgency does not create authority.</w:t>
      </w:r>
    </w:p>
    <w:p>
      <w:pPr>
        <w:pStyle w:val="Heading1"/>
      </w:pPr>
      <w:r>
        <w:t>40. Disciplinary Principles</w:t>
      </w:r>
    </w:p>
    <w:p>
      <w:r>
        <w:t>Disciplinary action considers intent, severity, customer/financial impact, prior behavior, concealment, cooperation and role expectations. Accidental error and deliberate falsification are not treated as equivalent.</w:t>
      </w:r>
    </w:p>
    <w:p>
      <w:pPr>
        <w:pStyle w:val="Heading1"/>
      </w:pPr>
      <w:r>
        <w:t>41. Historical and Transitional Provisions</w:t>
      </w:r>
    </w:p>
    <w:p>
      <w:r>
        <w:t>Version 2.4 incorporates 2026 security, compliance and vendor standards.</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Topic</w:t>
            </w:r>
          </w:p>
        </w:tc>
        <w:tc>
          <w:tcPr>
            <w:tcW w:type="dxa" w:w="2577"/>
            <w:vAlign w:val="center"/>
            <w:shd w:fill="17365D"/>
          </w:tcPr>
          <w:p>
            <w:r/>
            <w:r>
              <w:rPr>
                <w:b/>
                <w:color w:val="FFFFFF"/>
                <w:sz w:val="15"/>
              </w:rPr>
              <w:t>EOM-020 v2.3</w:t>
            </w:r>
          </w:p>
        </w:tc>
        <w:tc>
          <w:tcPr>
            <w:tcW w:type="dxa" w:w="2577"/>
            <w:vAlign w:val="center"/>
            <w:shd w:fill="17365D"/>
          </w:tcPr>
          <w:p>
            <w:r/>
            <w:r>
              <w:rPr>
                <w:b/>
                <w:color w:val="FFFFFF"/>
                <w:sz w:val="15"/>
              </w:rPr>
              <w:t>EOM-020 v2.4</w:t>
            </w:r>
          </w:p>
        </w:tc>
        <w:tc>
          <w:tcPr>
            <w:tcW w:type="dxa" w:w="2577"/>
            <w:vAlign w:val="center"/>
            <w:shd w:fill="17365D"/>
          </w:tcPr>
          <w:p>
            <w:r/>
            <w:r>
              <w:rPr>
                <w:b/>
                <w:color w:val="FFFFFF"/>
                <w:sz w:val="15"/>
              </w:rPr>
              <w:t>Treatment</w:t>
            </w:r>
          </w:p>
        </w:tc>
      </w:tr>
      <w:tr>
        <w:tc>
          <w:tcPr>
            <w:tcW w:type="dxa" w:w="2577"/>
            <w:vAlign w:val="center"/>
          </w:tcPr>
          <w:p>
            <w:r/>
            <w:r>
              <w:rPr>
                <w:b w:val="0"/>
                <w:sz w:val="15"/>
              </w:rPr>
              <w:t>Password reference</w:t>
            </w:r>
          </w:p>
        </w:tc>
        <w:tc>
          <w:tcPr>
            <w:tcW w:type="dxa" w:w="2577"/>
            <w:vAlign w:val="center"/>
          </w:tcPr>
          <w:p>
            <w:r/>
            <w:r>
              <w:rPr>
                <w:b w:val="0"/>
                <w:sz w:val="15"/>
              </w:rPr>
              <w:t>12-character baseline</w:t>
            </w:r>
          </w:p>
        </w:tc>
        <w:tc>
          <w:tcPr>
            <w:tcW w:type="dxa" w:w="2577"/>
            <w:vAlign w:val="center"/>
          </w:tcPr>
          <w:p>
            <w:r/>
            <w:r>
              <w:rPr>
                <w:b w:val="0"/>
                <w:sz w:val="15"/>
              </w:rPr>
              <w:t>14-character baseline per ACS-051</w:t>
            </w:r>
          </w:p>
        </w:tc>
        <w:tc>
          <w:tcPr>
            <w:tcW w:type="dxa" w:w="2577"/>
            <w:vAlign w:val="center"/>
          </w:tcPr>
          <w:p>
            <w:r/>
            <w:r>
              <w:rPr>
                <w:b w:val="0"/>
                <w:sz w:val="15"/>
              </w:rPr>
              <w:t>Apply ACS transition; no forced reset solely due Manual.</w:t>
            </w:r>
          </w:p>
        </w:tc>
      </w:tr>
      <w:tr>
        <w:tc>
          <w:tcPr>
            <w:tcW w:type="dxa" w:w="2577"/>
            <w:vAlign w:val="center"/>
          </w:tcPr>
          <w:p>
            <w:r/>
            <w:r>
              <w:rPr>
                <w:b w:val="0"/>
                <w:sz w:val="15"/>
              </w:rPr>
              <w:t>Security incidents</w:t>
            </w:r>
          </w:p>
        </w:tc>
        <w:tc>
          <w:tcPr>
            <w:tcW w:type="dxa" w:w="2577"/>
            <w:vAlign w:val="center"/>
          </w:tcPr>
          <w:p>
            <w:r/>
            <w:r>
              <w:rPr>
                <w:b w:val="0"/>
                <w:sz w:val="15"/>
              </w:rPr>
              <w:t>General IT/Security escalation</w:t>
            </w:r>
          </w:p>
        </w:tc>
        <w:tc>
          <w:tcPr>
            <w:tcW w:type="dxa" w:w="2577"/>
            <w:vAlign w:val="center"/>
          </w:tcPr>
          <w:p>
            <w:r/>
            <w:r>
              <w:rPr>
                <w:b w:val="0"/>
                <w:sz w:val="15"/>
              </w:rPr>
              <w:t>SIR-052 SEV model and immediate reporting</w:t>
            </w:r>
          </w:p>
        </w:tc>
        <w:tc>
          <w:tcPr>
            <w:tcW w:type="dxa" w:w="2577"/>
            <w:vAlign w:val="center"/>
          </w:tcPr>
          <w:p>
            <w:r/>
            <w:r>
              <w:rPr>
                <w:b w:val="0"/>
                <w:sz w:val="15"/>
              </w:rPr>
              <w:t>Current events use SIR-052.</w:t>
            </w:r>
          </w:p>
        </w:tc>
      </w:tr>
      <w:tr>
        <w:tc>
          <w:tcPr>
            <w:tcW w:type="dxa" w:w="2577"/>
            <w:vAlign w:val="center"/>
          </w:tcPr>
          <w:p>
            <w:r/>
            <w:r>
              <w:rPr>
                <w:b w:val="0"/>
                <w:sz w:val="15"/>
              </w:rPr>
              <w:t>Vendor risk</w:t>
            </w:r>
          </w:p>
        </w:tc>
        <w:tc>
          <w:tcPr>
            <w:tcW w:type="dxa" w:w="2577"/>
            <w:vAlign w:val="center"/>
          </w:tcPr>
          <w:p>
            <w:r/>
            <w:r>
              <w:rPr>
                <w:b w:val="0"/>
                <w:sz w:val="15"/>
              </w:rPr>
              <w:t>Departmental onboarding checklist</w:t>
            </w:r>
          </w:p>
        </w:tc>
        <w:tc>
          <w:tcPr>
            <w:tcW w:type="dxa" w:w="2577"/>
            <w:vAlign w:val="center"/>
          </w:tcPr>
          <w:p>
            <w:r/>
            <w:r>
              <w:rPr>
                <w:b w:val="0"/>
                <w:sz w:val="15"/>
              </w:rPr>
              <w:t>VRP-053 T1–T4 lifecycle</w:t>
            </w:r>
          </w:p>
        </w:tc>
        <w:tc>
          <w:tcPr>
            <w:tcW w:type="dxa" w:w="2577"/>
            <w:vAlign w:val="center"/>
          </w:tcPr>
          <w:p>
            <w:r/>
            <w:r>
              <w:rPr>
                <w:b w:val="0"/>
                <w:sz w:val="15"/>
              </w:rPr>
              <w:t>Existing vendors transition under VRP-053.</w:t>
            </w:r>
          </w:p>
        </w:tc>
      </w:tr>
      <w:tr>
        <w:tc>
          <w:tcPr>
            <w:tcW w:type="dxa" w:w="2577"/>
            <w:vAlign w:val="center"/>
          </w:tcPr>
          <w:p>
            <w:r/>
            <w:r>
              <w:rPr>
                <w:b w:val="0"/>
                <w:sz w:val="15"/>
              </w:rPr>
              <w:t>Compliance breach</w:t>
            </w:r>
          </w:p>
        </w:tc>
        <w:tc>
          <w:tcPr>
            <w:tcW w:type="dxa" w:w="2577"/>
            <w:vAlign w:val="center"/>
          </w:tcPr>
          <w:p>
            <w:r/>
            <w:r>
              <w:rPr>
                <w:b w:val="0"/>
                <w:sz w:val="15"/>
              </w:rPr>
              <w:t>Legacy departmental guidance</w:t>
            </w:r>
          </w:p>
        </w:tc>
        <w:tc>
          <w:tcPr>
            <w:tcW w:type="dxa" w:w="2577"/>
            <w:vAlign w:val="center"/>
          </w:tcPr>
          <w:p>
            <w:r/>
            <w:r>
              <w:rPr>
                <w:b w:val="0"/>
                <w:sz w:val="15"/>
              </w:rPr>
              <w:t>CBP-043 C1–C4</w:t>
            </w:r>
          </w:p>
        </w:tc>
        <w:tc>
          <w:tcPr>
            <w:tcW w:type="dxa" w:w="2577"/>
            <w:vAlign w:val="center"/>
          </w:tcPr>
          <w:p>
            <w:r/>
            <w:r>
              <w:rPr>
                <w:b w:val="0"/>
                <w:sz w:val="15"/>
              </w:rPr>
              <w:t>Open material issues mapped under CBP transition.</w:t>
            </w:r>
          </w:p>
        </w:tc>
      </w:tr>
    </w:tbl>
    <w:p/>
    <w:p>
      <w:pPr>
        <w:pStyle w:val="Heading1"/>
      </w:pPr>
      <w:r>
        <w:t>Appendix A — Daily Operations Checklist</w:t>
      </w:r>
    </w:p>
    <w:p>
      <w:r>
        <w:t>Use this checklist where relevant to the role.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Stage</w:t>
            </w:r>
          </w:p>
        </w:tc>
        <w:tc>
          <w:tcPr>
            <w:tcW w:type="dxa" w:w="5155"/>
            <w:vAlign w:val="center"/>
            <w:shd w:fill="17365D"/>
          </w:tcPr>
          <w:p>
            <w:r/>
            <w:r>
              <w:rPr>
                <w:b/>
                <w:color w:val="FFFFFF"/>
                <w:sz w:val="15"/>
              </w:rPr>
              <w:t>Employee Check</w:t>
            </w:r>
          </w:p>
        </w:tc>
      </w:tr>
      <w:tr>
        <w:tc>
          <w:tcPr>
            <w:tcW w:type="dxa" w:w="5155"/>
            <w:vAlign w:val="center"/>
          </w:tcPr>
          <w:p>
            <w:r/>
            <w:r>
              <w:rPr>
                <w:b w:val="0"/>
                <w:sz w:val="15"/>
              </w:rPr>
              <w:t>Start of day</w:t>
            </w:r>
          </w:p>
        </w:tc>
        <w:tc>
          <w:tcPr>
            <w:tcW w:type="dxa" w:w="5155"/>
            <w:vAlign w:val="center"/>
          </w:tcPr>
          <w:p>
            <w:r/>
            <w:r>
              <w:rPr>
                <w:b w:val="0"/>
                <w:sz w:val="15"/>
              </w:rPr>
              <w:t>Access only required systems; review urgent holds/escalations.</w:t>
            </w:r>
          </w:p>
        </w:tc>
      </w:tr>
      <w:tr>
        <w:tc>
          <w:tcPr>
            <w:tcW w:type="dxa" w:w="5155"/>
            <w:vAlign w:val="center"/>
          </w:tcPr>
          <w:p>
            <w:r/>
            <w:r>
              <w:rPr>
                <w:b w:val="0"/>
                <w:sz w:val="15"/>
              </w:rPr>
              <w:t>Customer interaction</w:t>
            </w:r>
          </w:p>
        </w:tc>
        <w:tc>
          <w:tcPr>
            <w:tcW w:type="dxa" w:w="5155"/>
            <w:vAlign w:val="center"/>
          </w:tcPr>
          <w:p>
            <w:r/>
            <w:r>
              <w:rPr>
                <w:b w:val="0"/>
                <w:sz w:val="15"/>
              </w:rPr>
              <w:t>Verify identity/channel; protect privacy; document material facts.</w:t>
            </w:r>
          </w:p>
        </w:tc>
      </w:tr>
      <w:tr>
        <w:tc>
          <w:tcPr>
            <w:tcW w:type="dxa" w:w="5155"/>
            <w:vAlign w:val="center"/>
          </w:tcPr>
          <w:p>
            <w:r/>
            <w:r>
              <w:rPr>
                <w:b w:val="0"/>
                <w:sz w:val="15"/>
              </w:rPr>
              <w:t>Case processing</w:t>
            </w:r>
          </w:p>
        </w:tc>
        <w:tc>
          <w:tcPr>
            <w:tcW w:type="dxa" w:w="5155"/>
            <w:vAlign w:val="center"/>
          </w:tcPr>
          <w:p>
            <w:r/>
            <w:r>
              <w:rPr>
                <w:b w:val="0"/>
                <w:sz w:val="15"/>
              </w:rPr>
              <w:t>Use current checklist/procedure; record evidence.</w:t>
            </w:r>
          </w:p>
        </w:tc>
      </w:tr>
      <w:tr>
        <w:tc>
          <w:tcPr>
            <w:tcW w:type="dxa" w:w="5155"/>
            <w:vAlign w:val="center"/>
          </w:tcPr>
          <w:p>
            <w:r/>
            <w:r>
              <w:rPr>
                <w:b w:val="0"/>
                <w:sz w:val="15"/>
              </w:rPr>
              <w:t>Decision handoff</w:t>
            </w:r>
          </w:p>
        </w:tc>
        <w:tc>
          <w:tcPr>
            <w:tcW w:type="dxa" w:w="5155"/>
            <w:vAlign w:val="center"/>
          </w:tcPr>
          <w:p>
            <w:r/>
            <w:r>
              <w:rPr>
                <w:b w:val="0"/>
                <w:sz w:val="15"/>
              </w:rPr>
              <w:t>Do not imply approval before authorized decision.</w:t>
            </w:r>
          </w:p>
        </w:tc>
      </w:tr>
      <w:tr>
        <w:tc>
          <w:tcPr>
            <w:tcW w:type="dxa" w:w="5155"/>
            <w:vAlign w:val="center"/>
          </w:tcPr>
          <w:p>
            <w:r/>
            <w:r>
              <w:rPr>
                <w:b w:val="0"/>
                <w:sz w:val="15"/>
              </w:rPr>
              <w:t>Payment/release</w:t>
            </w:r>
          </w:p>
        </w:tc>
        <w:tc>
          <w:tcPr>
            <w:tcW w:type="dxa" w:w="5155"/>
            <w:vAlign w:val="center"/>
          </w:tcPr>
          <w:p>
            <w:r/>
            <w:r>
              <w:rPr>
                <w:b w:val="0"/>
                <w:sz w:val="15"/>
              </w:rPr>
              <w:t>Maker-checker; beneficiary and restriction checks.</w:t>
            </w:r>
          </w:p>
        </w:tc>
      </w:tr>
      <w:tr>
        <w:tc>
          <w:tcPr>
            <w:tcW w:type="dxa" w:w="5155"/>
            <w:vAlign w:val="center"/>
          </w:tcPr>
          <w:p>
            <w:r/>
            <w:r>
              <w:rPr>
                <w:b w:val="0"/>
                <w:sz w:val="15"/>
              </w:rPr>
              <w:t>End of day</w:t>
            </w:r>
          </w:p>
        </w:tc>
        <w:tc>
          <w:tcPr>
            <w:tcW w:type="dxa" w:w="5155"/>
            <w:vAlign w:val="center"/>
          </w:tcPr>
          <w:p>
            <w:r/>
            <w:r>
              <w:rPr>
                <w:b w:val="0"/>
                <w:sz w:val="15"/>
              </w:rPr>
              <w:t>Secure documents, close sessions, escalate unresolved material issues.</w:t>
            </w:r>
          </w:p>
        </w:tc>
      </w:tr>
    </w:tbl>
    <w:p/>
    <w:p>
      <w:pPr>
        <w:pStyle w:val="Heading1"/>
      </w:pPr>
      <w:r>
        <w:t>Appendix B — Escalation Directory by Issue Type</w:t>
      </w:r>
    </w:p>
    <w:p>
      <w:r>
        <w:t>This directory identifies primary ownership, not exclusive ownership.</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Issue</w:t>
            </w:r>
          </w:p>
        </w:tc>
        <w:tc>
          <w:tcPr>
            <w:tcW w:type="dxa" w:w="3437"/>
            <w:vAlign w:val="center"/>
            <w:shd w:fill="17365D"/>
          </w:tcPr>
          <w:p>
            <w:r/>
            <w:r>
              <w:rPr>
                <w:b/>
                <w:color w:val="FFFFFF"/>
                <w:sz w:val="15"/>
              </w:rPr>
              <w:t>Primary Function</w:t>
            </w:r>
          </w:p>
        </w:tc>
        <w:tc>
          <w:tcPr>
            <w:tcW w:type="dxa" w:w="3437"/>
            <w:vAlign w:val="center"/>
            <w:shd w:fill="17365D"/>
          </w:tcPr>
          <w:p>
            <w:r/>
            <w:r>
              <w:rPr>
                <w:b/>
                <w:color w:val="FFFFFF"/>
                <w:sz w:val="15"/>
              </w:rPr>
              <w:t>Common Parallel Referral</w:t>
            </w:r>
          </w:p>
        </w:tc>
      </w:tr>
      <w:tr>
        <w:tc>
          <w:tcPr>
            <w:tcW w:type="dxa" w:w="3437"/>
            <w:vAlign w:val="center"/>
          </w:tcPr>
          <w:p>
            <w:r/>
            <w:r>
              <w:rPr>
                <w:b w:val="0"/>
                <w:sz w:val="15"/>
              </w:rPr>
              <w:t>Credit policy/exception</w:t>
            </w:r>
          </w:p>
        </w:tc>
        <w:tc>
          <w:tcPr>
            <w:tcW w:type="dxa" w:w="3437"/>
            <w:vAlign w:val="center"/>
          </w:tcPr>
          <w:p>
            <w:r/>
            <w:r>
              <w:rPr>
                <w:b w:val="0"/>
                <w:sz w:val="15"/>
              </w:rPr>
              <w:t>Credit Risk</w:t>
            </w:r>
          </w:p>
        </w:tc>
        <w:tc>
          <w:tcPr>
            <w:tcW w:type="dxa" w:w="3437"/>
            <w:vAlign w:val="center"/>
          </w:tcPr>
          <w:p>
            <w:r/>
            <w:r>
              <w:rPr>
                <w:b w:val="0"/>
                <w:sz w:val="15"/>
              </w:rPr>
              <w:t>Compliance if breach/customer impact</w:t>
            </w:r>
          </w:p>
        </w:tc>
      </w:tr>
      <w:tr>
        <w:tc>
          <w:tcPr>
            <w:tcW w:type="dxa" w:w="3437"/>
            <w:vAlign w:val="center"/>
          </w:tcPr>
          <w:p>
            <w:r/>
            <w:r>
              <w:rPr>
                <w:b w:val="0"/>
                <w:sz w:val="15"/>
              </w:rPr>
              <w:t>KYC discrepancy</w:t>
            </w:r>
          </w:p>
        </w:tc>
        <w:tc>
          <w:tcPr>
            <w:tcW w:type="dxa" w:w="3437"/>
            <w:vAlign w:val="center"/>
          </w:tcPr>
          <w:p>
            <w:r/>
            <w:r>
              <w:rPr>
                <w:b w:val="0"/>
                <w:sz w:val="15"/>
              </w:rPr>
              <w:t>KYC Operations</w:t>
            </w:r>
          </w:p>
        </w:tc>
        <w:tc>
          <w:tcPr>
            <w:tcW w:type="dxa" w:w="3437"/>
            <w:vAlign w:val="center"/>
          </w:tcPr>
          <w:p>
            <w:r/>
            <w:r>
              <w:rPr>
                <w:b w:val="0"/>
                <w:sz w:val="15"/>
              </w:rPr>
              <w:t>AML/Fraud if relevant</w:t>
            </w:r>
          </w:p>
        </w:tc>
      </w:tr>
      <w:tr>
        <w:tc>
          <w:tcPr>
            <w:tcW w:type="dxa" w:w="3437"/>
            <w:vAlign w:val="center"/>
          </w:tcPr>
          <w:p>
            <w:r/>
            <w:r>
              <w:rPr>
                <w:b w:val="0"/>
                <w:sz w:val="15"/>
              </w:rPr>
              <w:t>PEP/sanctions</w:t>
            </w:r>
          </w:p>
        </w:tc>
        <w:tc>
          <w:tcPr>
            <w:tcW w:type="dxa" w:w="3437"/>
            <w:vAlign w:val="center"/>
          </w:tcPr>
          <w:p>
            <w:r/>
            <w:r>
              <w:rPr>
                <w:b w:val="0"/>
                <w:sz w:val="15"/>
              </w:rPr>
              <w:t>AML Compliance</w:t>
            </w:r>
          </w:p>
        </w:tc>
        <w:tc>
          <w:tcPr>
            <w:tcW w:type="dxa" w:w="3437"/>
            <w:vAlign w:val="center"/>
          </w:tcPr>
          <w:p>
            <w:r/>
            <w:r>
              <w:rPr>
                <w:b w:val="0"/>
                <w:sz w:val="15"/>
              </w:rPr>
              <w:t>KYC/Compliance</w:t>
            </w:r>
          </w:p>
        </w:tc>
      </w:tr>
      <w:tr>
        <w:tc>
          <w:tcPr>
            <w:tcW w:type="dxa" w:w="3437"/>
            <w:vAlign w:val="center"/>
          </w:tcPr>
          <w:p>
            <w:r/>
            <w:r>
              <w:rPr>
                <w:b w:val="0"/>
                <w:sz w:val="15"/>
              </w:rPr>
              <w:t>Fraud suspicion</w:t>
            </w:r>
          </w:p>
        </w:tc>
        <w:tc>
          <w:tcPr>
            <w:tcW w:type="dxa" w:w="3437"/>
            <w:vAlign w:val="center"/>
          </w:tcPr>
          <w:p>
            <w:r/>
            <w:r>
              <w:rPr>
                <w:b w:val="0"/>
                <w:sz w:val="15"/>
              </w:rPr>
              <w:t>Fraud Risk</w:t>
            </w:r>
          </w:p>
        </w:tc>
        <w:tc>
          <w:tcPr>
            <w:tcW w:type="dxa" w:w="3437"/>
            <w:vAlign w:val="center"/>
          </w:tcPr>
          <w:p>
            <w:r/>
            <w:r>
              <w:rPr>
                <w:b w:val="0"/>
                <w:sz w:val="15"/>
              </w:rPr>
              <w:t>Security/AML/Compliance</w:t>
            </w:r>
          </w:p>
        </w:tc>
      </w:tr>
      <w:tr>
        <w:tc>
          <w:tcPr>
            <w:tcW w:type="dxa" w:w="3437"/>
            <w:vAlign w:val="center"/>
          </w:tcPr>
          <w:p>
            <w:r/>
            <w:r>
              <w:rPr>
                <w:b w:val="0"/>
                <w:sz w:val="15"/>
              </w:rPr>
              <w:t>Security incident</w:t>
            </w:r>
          </w:p>
        </w:tc>
        <w:tc>
          <w:tcPr>
            <w:tcW w:type="dxa" w:w="3437"/>
            <w:vAlign w:val="center"/>
          </w:tcPr>
          <w:p>
            <w:r/>
            <w:r>
              <w:rPr>
                <w:b w:val="0"/>
                <w:sz w:val="15"/>
              </w:rPr>
              <w:t>Information Security</w:t>
            </w:r>
          </w:p>
        </w:tc>
        <w:tc>
          <w:tcPr>
            <w:tcW w:type="dxa" w:w="3437"/>
            <w:vAlign w:val="center"/>
          </w:tcPr>
          <w:p>
            <w:r/>
            <w:r>
              <w:rPr>
                <w:b w:val="0"/>
                <w:sz w:val="15"/>
              </w:rPr>
              <w:t>Compliance/Fraud/Operations</w:t>
            </w:r>
          </w:p>
        </w:tc>
      </w:tr>
      <w:tr>
        <w:tc>
          <w:tcPr>
            <w:tcW w:type="dxa" w:w="3437"/>
            <w:vAlign w:val="center"/>
          </w:tcPr>
          <w:p>
            <w:r/>
            <w:r>
              <w:rPr>
                <w:b w:val="0"/>
                <w:sz w:val="15"/>
              </w:rPr>
              <w:t>Investment limit breach</w:t>
            </w:r>
          </w:p>
        </w:tc>
        <w:tc>
          <w:tcPr>
            <w:tcW w:type="dxa" w:w="3437"/>
            <w:vAlign w:val="center"/>
          </w:tcPr>
          <w:p>
            <w:r/>
            <w:r>
              <w:rPr>
                <w:b w:val="0"/>
                <w:sz w:val="15"/>
              </w:rPr>
              <w:t>Investment Risk</w:t>
            </w:r>
          </w:p>
        </w:tc>
        <w:tc>
          <w:tcPr>
            <w:tcW w:type="dxa" w:w="3437"/>
            <w:vAlign w:val="center"/>
          </w:tcPr>
          <w:p>
            <w:r/>
            <w:r>
              <w:rPr>
                <w:b w:val="0"/>
                <w:sz w:val="15"/>
              </w:rPr>
              <w:t>Compliance/Enterprise Risk</w:t>
            </w:r>
          </w:p>
        </w:tc>
      </w:tr>
      <w:tr>
        <w:tc>
          <w:tcPr>
            <w:tcW w:type="dxa" w:w="3437"/>
            <w:vAlign w:val="center"/>
          </w:tcPr>
          <w:p>
            <w:r/>
            <w:r>
              <w:rPr>
                <w:b w:val="0"/>
                <w:sz w:val="15"/>
              </w:rPr>
              <w:t>Employee conduct</w:t>
            </w:r>
          </w:p>
        </w:tc>
        <w:tc>
          <w:tcPr>
            <w:tcW w:type="dxa" w:w="3437"/>
            <w:vAlign w:val="center"/>
          </w:tcPr>
          <w:p>
            <w:r/>
            <w:r>
              <w:rPr>
                <w:b w:val="0"/>
                <w:sz w:val="15"/>
              </w:rPr>
              <w:t>Manager/HR/Compliance</w:t>
            </w:r>
          </w:p>
        </w:tc>
        <w:tc>
          <w:tcPr>
            <w:tcW w:type="dxa" w:w="3437"/>
            <w:vAlign w:val="center"/>
          </w:tcPr>
          <w:p>
            <w:r/>
            <w:r>
              <w:rPr>
                <w:b w:val="0"/>
                <w:sz w:val="15"/>
              </w:rPr>
              <w:t>Security/Fraud depending facts</w:t>
            </w:r>
          </w:p>
        </w:tc>
      </w:tr>
      <w:tr>
        <w:tc>
          <w:tcPr>
            <w:tcW w:type="dxa" w:w="3437"/>
            <w:vAlign w:val="center"/>
          </w:tcPr>
          <w:p>
            <w:r/>
            <w:r>
              <w:rPr>
                <w:b w:val="0"/>
                <w:sz w:val="15"/>
              </w:rPr>
              <w:t>Vendor incident</w:t>
            </w:r>
          </w:p>
        </w:tc>
        <w:tc>
          <w:tcPr>
            <w:tcW w:type="dxa" w:w="3437"/>
            <w:vAlign w:val="center"/>
          </w:tcPr>
          <w:p>
            <w:r/>
            <w:r>
              <w:rPr>
                <w:b w:val="0"/>
                <w:sz w:val="15"/>
              </w:rPr>
              <w:t>Business Owner/Third-Party Risk</w:t>
            </w:r>
          </w:p>
        </w:tc>
        <w:tc>
          <w:tcPr>
            <w:tcW w:type="dxa" w:w="3437"/>
            <w:vAlign w:val="center"/>
          </w:tcPr>
          <w:p>
            <w:r/>
            <w:r>
              <w:rPr>
                <w:b w:val="0"/>
                <w:sz w:val="15"/>
              </w:rPr>
              <w:t>Security/Compliance</w:t>
            </w:r>
          </w:p>
        </w:tc>
      </w:tr>
    </w:tbl>
    <w:p/>
    <w:p>
      <w:pPr>
        <w:pStyle w:val="Heading1"/>
      </w:pPr>
      <w:r>
        <w:t>Appendix C — Maker-Checker Examples</w:t>
      </w:r>
    </w:p>
    <w:p>
      <w:r>
        <w:t>These examples clarify independent checking.</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Activity</w:t>
            </w:r>
          </w:p>
        </w:tc>
        <w:tc>
          <w:tcPr>
            <w:tcW w:type="dxa" w:w="2577"/>
            <w:vAlign w:val="center"/>
            <w:shd w:fill="17365D"/>
          </w:tcPr>
          <w:p>
            <w:r/>
            <w:r>
              <w:rPr>
                <w:b/>
                <w:color w:val="FFFFFF"/>
                <w:sz w:val="15"/>
              </w:rPr>
              <w:t>Maker</w:t>
            </w:r>
          </w:p>
        </w:tc>
        <w:tc>
          <w:tcPr>
            <w:tcW w:type="dxa" w:w="2577"/>
            <w:vAlign w:val="center"/>
            <w:shd w:fill="17365D"/>
          </w:tcPr>
          <w:p>
            <w:r/>
            <w:r>
              <w:rPr>
                <w:b/>
                <w:color w:val="FFFFFF"/>
                <w:sz w:val="15"/>
              </w:rPr>
              <w:t>Checker</w:t>
            </w:r>
          </w:p>
        </w:tc>
        <w:tc>
          <w:tcPr>
            <w:tcW w:type="dxa" w:w="2577"/>
            <w:vAlign w:val="center"/>
            <w:shd w:fill="17365D"/>
          </w:tcPr>
          <w:p>
            <w:r/>
            <w:r>
              <w:rPr>
                <w:b/>
                <w:color w:val="FFFFFF"/>
                <w:sz w:val="15"/>
              </w:rPr>
              <w:t>Not Acceptable</w:t>
            </w:r>
          </w:p>
        </w:tc>
      </w:tr>
      <w:tr>
        <w:tc>
          <w:tcPr>
            <w:tcW w:type="dxa" w:w="2577"/>
            <w:vAlign w:val="center"/>
          </w:tcPr>
          <w:p>
            <w:r/>
            <w:r>
              <w:rPr>
                <w:b w:val="0"/>
                <w:sz w:val="15"/>
              </w:rPr>
              <w:t>Loan disbursement</w:t>
            </w:r>
          </w:p>
        </w:tc>
        <w:tc>
          <w:tcPr>
            <w:tcW w:type="dxa" w:w="2577"/>
            <w:vAlign w:val="center"/>
          </w:tcPr>
          <w:p>
            <w:r/>
            <w:r>
              <w:rPr>
                <w:b w:val="0"/>
                <w:sz w:val="15"/>
              </w:rPr>
              <w:t>Operations processor</w:t>
            </w:r>
          </w:p>
        </w:tc>
        <w:tc>
          <w:tcPr>
            <w:tcW w:type="dxa" w:w="2577"/>
            <w:vAlign w:val="center"/>
          </w:tcPr>
          <w:p>
            <w:r/>
            <w:r>
              <w:rPr>
                <w:b w:val="0"/>
                <w:sz w:val="15"/>
              </w:rPr>
              <w:t>Authorized payment checker</w:t>
            </w:r>
          </w:p>
        </w:tc>
        <w:tc>
          <w:tcPr>
            <w:tcW w:type="dxa" w:w="2577"/>
            <w:vAlign w:val="center"/>
          </w:tcPr>
          <w:p>
            <w:r/>
            <w:r>
              <w:rPr>
                <w:b w:val="0"/>
                <w:sz w:val="15"/>
              </w:rPr>
              <w:t>Checker only confirms maker name</w:t>
            </w:r>
          </w:p>
        </w:tc>
      </w:tr>
      <w:tr>
        <w:tc>
          <w:tcPr>
            <w:tcW w:type="dxa" w:w="2577"/>
            <w:vAlign w:val="center"/>
          </w:tcPr>
          <w:p>
            <w:r/>
            <w:r>
              <w:rPr>
                <w:b w:val="0"/>
                <w:sz w:val="15"/>
              </w:rPr>
              <w:t>KYC high-risk case</w:t>
            </w:r>
          </w:p>
        </w:tc>
        <w:tc>
          <w:tcPr>
            <w:tcW w:type="dxa" w:w="2577"/>
            <w:vAlign w:val="center"/>
          </w:tcPr>
          <w:p>
            <w:r/>
            <w:r>
              <w:rPr>
                <w:b w:val="0"/>
                <w:sz w:val="15"/>
              </w:rPr>
              <w:t>KYC analyst</w:t>
            </w:r>
          </w:p>
        </w:tc>
        <w:tc>
          <w:tcPr>
            <w:tcW w:type="dxa" w:w="2577"/>
            <w:vAlign w:val="center"/>
          </w:tcPr>
          <w:p>
            <w:r/>
            <w:r>
              <w:rPr>
                <w:b w:val="0"/>
                <w:sz w:val="15"/>
              </w:rPr>
              <w:t>Senior/independent KYC reviewer</w:t>
            </w:r>
          </w:p>
        </w:tc>
        <w:tc>
          <w:tcPr>
            <w:tcW w:type="dxa" w:w="2577"/>
            <w:vAlign w:val="center"/>
          </w:tcPr>
          <w:p>
            <w:r/>
            <w:r>
              <w:rPr>
                <w:b w:val="0"/>
                <w:sz w:val="15"/>
              </w:rPr>
              <w:t>Same analyst reopens and self-approves</w:t>
            </w:r>
          </w:p>
        </w:tc>
      </w:tr>
      <w:tr>
        <w:tc>
          <w:tcPr>
            <w:tcW w:type="dxa" w:w="2577"/>
            <w:vAlign w:val="center"/>
          </w:tcPr>
          <w:p>
            <w:r/>
            <w:r>
              <w:rPr>
                <w:b w:val="0"/>
                <w:sz w:val="15"/>
              </w:rPr>
              <w:t>Credit exception pack</w:t>
            </w:r>
          </w:p>
        </w:tc>
        <w:tc>
          <w:tcPr>
            <w:tcW w:type="dxa" w:w="2577"/>
            <w:vAlign w:val="center"/>
          </w:tcPr>
          <w:p>
            <w:r/>
            <w:r>
              <w:rPr>
                <w:b w:val="0"/>
                <w:sz w:val="15"/>
              </w:rPr>
              <w:t>Underwriter/credit officer</w:t>
            </w:r>
          </w:p>
        </w:tc>
        <w:tc>
          <w:tcPr>
            <w:tcW w:type="dxa" w:w="2577"/>
            <w:vAlign w:val="center"/>
          </w:tcPr>
          <w:p>
            <w:r/>
            <w:r>
              <w:rPr>
                <w:b w:val="0"/>
                <w:sz w:val="15"/>
              </w:rPr>
              <w:t>Required exception authority</w:t>
            </w:r>
          </w:p>
        </w:tc>
        <w:tc>
          <w:tcPr>
            <w:tcW w:type="dxa" w:w="2577"/>
            <w:vAlign w:val="center"/>
          </w:tcPr>
          <w:p>
            <w:r/>
            <w:r>
              <w:rPr>
                <w:b w:val="0"/>
                <w:sz w:val="15"/>
              </w:rPr>
              <w:t>Verbal “OK” after disbursement</w:t>
            </w:r>
          </w:p>
        </w:tc>
      </w:tr>
      <w:tr>
        <w:tc>
          <w:tcPr>
            <w:tcW w:type="dxa" w:w="2577"/>
            <w:vAlign w:val="center"/>
          </w:tcPr>
          <w:p>
            <w:r/>
            <w:r>
              <w:rPr>
                <w:b w:val="0"/>
                <w:sz w:val="15"/>
              </w:rPr>
              <w:t>Vendor privileged access</w:t>
            </w:r>
          </w:p>
        </w:tc>
        <w:tc>
          <w:tcPr>
            <w:tcW w:type="dxa" w:w="2577"/>
            <w:vAlign w:val="center"/>
          </w:tcPr>
          <w:p>
            <w:r/>
            <w:r>
              <w:rPr>
                <w:b w:val="0"/>
                <w:sz w:val="15"/>
              </w:rPr>
              <w:t>Sponsor/requestor</w:t>
            </w:r>
          </w:p>
        </w:tc>
        <w:tc>
          <w:tcPr>
            <w:tcW w:type="dxa" w:w="2577"/>
            <w:vAlign w:val="center"/>
          </w:tcPr>
          <w:p>
            <w:r/>
            <w:r>
              <w:rPr>
                <w:b w:val="0"/>
                <w:sz w:val="15"/>
              </w:rPr>
              <w:t>System owner/Security as required</w:t>
            </w:r>
          </w:p>
        </w:tc>
        <w:tc>
          <w:tcPr>
            <w:tcW w:type="dxa" w:w="2577"/>
            <w:vAlign w:val="center"/>
          </w:tcPr>
          <w:p>
            <w:r/>
            <w:r>
              <w:rPr>
                <w:b w:val="0"/>
                <w:sz w:val="15"/>
              </w:rPr>
              <w:t>Vendor admin approves own access</w:t>
            </w:r>
          </w:p>
        </w:tc>
      </w:tr>
      <w:tr>
        <w:tc>
          <w:tcPr>
            <w:tcW w:type="dxa" w:w="2577"/>
            <w:vAlign w:val="center"/>
          </w:tcPr>
          <w:p>
            <w:r/>
            <w:r>
              <w:rPr>
                <w:b w:val="0"/>
                <w:sz w:val="15"/>
              </w:rPr>
              <w:t>Investment support entry</w:t>
            </w:r>
          </w:p>
        </w:tc>
        <w:tc>
          <w:tcPr>
            <w:tcW w:type="dxa" w:w="2577"/>
            <w:vAlign w:val="center"/>
          </w:tcPr>
          <w:p>
            <w:r/>
            <w:r>
              <w:rPr>
                <w:b w:val="0"/>
                <w:sz w:val="15"/>
              </w:rPr>
              <w:t>Operations/dealer support</w:t>
            </w:r>
          </w:p>
        </w:tc>
        <w:tc>
          <w:tcPr>
            <w:tcW w:type="dxa" w:w="2577"/>
            <w:vAlign w:val="center"/>
          </w:tcPr>
          <w:p>
            <w:r/>
            <w:r>
              <w:rPr>
                <w:b w:val="0"/>
                <w:sz w:val="15"/>
              </w:rPr>
              <w:t>Independent control/approver</w:t>
            </w:r>
          </w:p>
        </w:tc>
        <w:tc>
          <w:tcPr>
            <w:tcW w:type="dxa" w:w="2577"/>
            <w:vAlign w:val="center"/>
          </w:tcPr>
          <w:p>
            <w:r/>
            <w:r>
              <w:rPr>
                <w:b w:val="0"/>
                <w:sz w:val="15"/>
              </w:rPr>
              <w:t>Same user changes and validates own limit field</w:t>
            </w:r>
          </w:p>
        </w:tc>
      </w:tr>
    </w:tbl>
    <w:p/>
    <w:p>
      <w:pPr>
        <w:pStyle w:val="Heading1"/>
      </w:pPr>
      <w:r>
        <w:t>Appendix D — Customer Data Do / Do Not</w:t>
      </w:r>
    </w:p>
    <w:p>
      <w:r>
        <w:t>Practical data-handling examples.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Do</w:t>
            </w:r>
          </w:p>
        </w:tc>
        <w:tc>
          <w:tcPr>
            <w:tcW w:type="dxa" w:w="5155"/>
            <w:vAlign w:val="center"/>
            <w:shd w:fill="17365D"/>
          </w:tcPr>
          <w:p>
            <w:r/>
            <w:r>
              <w:rPr>
                <w:b/>
                <w:color w:val="FFFFFF"/>
                <w:sz w:val="15"/>
              </w:rPr>
              <w:t>Do Not</w:t>
            </w:r>
          </w:p>
        </w:tc>
      </w:tr>
      <w:tr>
        <w:tc>
          <w:tcPr>
            <w:tcW w:type="dxa" w:w="5155"/>
            <w:vAlign w:val="center"/>
          </w:tcPr>
          <w:p>
            <w:r/>
            <w:r>
              <w:rPr>
                <w:b w:val="0"/>
                <w:sz w:val="15"/>
              </w:rPr>
              <w:t>Use approved secure document portal</w:t>
            </w:r>
          </w:p>
        </w:tc>
        <w:tc>
          <w:tcPr>
            <w:tcW w:type="dxa" w:w="5155"/>
            <w:vAlign w:val="center"/>
          </w:tcPr>
          <w:p>
            <w:r/>
            <w:r>
              <w:rPr>
                <w:b w:val="0"/>
                <w:sz w:val="15"/>
              </w:rPr>
              <w:t>Ask customer to send PAN/Aadhaar to personal messaging account</w:t>
            </w:r>
          </w:p>
        </w:tc>
      </w:tr>
      <w:tr>
        <w:tc>
          <w:tcPr>
            <w:tcW w:type="dxa" w:w="5155"/>
            <w:vAlign w:val="center"/>
          </w:tcPr>
          <w:p>
            <w:r/>
            <w:r>
              <w:rPr>
                <w:b w:val="0"/>
                <w:sz w:val="15"/>
              </w:rPr>
              <w:t>Lock screen when leaving desk</w:t>
            </w:r>
          </w:p>
        </w:tc>
        <w:tc>
          <w:tcPr>
            <w:tcW w:type="dxa" w:w="5155"/>
            <w:vAlign w:val="center"/>
          </w:tcPr>
          <w:p>
            <w:r/>
            <w:r>
              <w:rPr>
                <w:b w:val="0"/>
                <w:sz w:val="15"/>
              </w:rPr>
              <w:t>Leave customer file open in public area</w:t>
            </w:r>
          </w:p>
        </w:tc>
      </w:tr>
      <w:tr>
        <w:tc>
          <w:tcPr>
            <w:tcW w:type="dxa" w:w="5155"/>
            <w:vAlign w:val="center"/>
          </w:tcPr>
          <w:p>
            <w:r/>
            <w:r>
              <w:rPr>
                <w:b w:val="0"/>
                <w:sz w:val="15"/>
              </w:rPr>
              <w:t>Verify recipient before sending</w:t>
            </w:r>
          </w:p>
        </w:tc>
        <w:tc>
          <w:tcPr>
            <w:tcW w:type="dxa" w:w="5155"/>
            <w:vAlign w:val="center"/>
          </w:tcPr>
          <w:p>
            <w:r/>
            <w:r>
              <w:rPr>
                <w:b w:val="0"/>
                <w:sz w:val="15"/>
              </w:rPr>
              <w:t>Auto-complete external email without checking</w:t>
            </w:r>
          </w:p>
        </w:tc>
      </w:tr>
      <w:tr>
        <w:tc>
          <w:tcPr>
            <w:tcW w:type="dxa" w:w="5155"/>
            <w:vAlign w:val="center"/>
          </w:tcPr>
          <w:p>
            <w:r/>
            <w:r>
              <w:rPr>
                <w:b w:val="0"/>
                <w:sz w:val="15"/>
              </w:rPr>
              <w:t>Use masked data for training where possible</w:t>
            </w:r>
          </w:p>
        </w:tc>
        <w:tc>
          <w:tcPr>
            <w:tcW w:type="dxa" w:w="5155"/>
            <w:vAlign w:val="center"/>
          </w:tcPr>
          <w:p>
            <w:r/>
            <w:r>
              <w:rPr>
                <w:b w:val="0"/>
                <w:sz w:val="15"/>
              </w:rPr>
              <w:t>Copy live customer records into presentation/training file</w:t>
            </w:r>
          </w:p>
        </w:tc>
      </w:tr>
      <w:tr>
        <w:tc>
          <w:tcPr>
            <w:tcW w:type="dxa" w:w="5155"/>
            <w:vAlign w:val="center"/>
          </w:tcPr>
          <w:p>
            <w:r/>
            <w:r>
              <w:rPr>
                <w:b w:val="0"/>
                <w:sz w:val="15"/>
              </w:rPr>
              <w:t>Report wrong-recipient email immediately</w:t>
            </w:r>
          </w:p>
        </w:tc>
        <w:tc>
          <w:tcPr>
            <w:tcW w:type="dxa" w:w="5155"/>
            <w:vAlign w:val="center"/>
          </w:tcPr>
          <w:p>
            <w:r/>
            <w:r>
              <w:rPr>
                <w:b w:val="0"/>
                <w:sz w:val="15"/>
              </w:rPr>
              <w:t>Delete sent email and hope nobody notices</w:t>
            </w:r>
          </w:p>
        </w:tc>
      </w:tr>
    </w:tbl>
    <w:p/>
    <w:p>
      <w:pPr>
        <w:pStyle w:val="Heading1"/>
      </w:pPr>
      <w:r>
        <w:t>Appendix E — Operations Edge Cases</w:t>
      </w:r>
    </w:p>
    <w:p>
      <w:r>
        <w:t>These cases reinforce control boundaries.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Required Approach</w:t>
            </w:r>
          </w:p>
        </w:tc>
      </w:tr>
      <w:tr>
        <w:tc>
          <w:tcPr>
            <w:tcW w:type="dxa" w:w="5155"/>
            <w:vAlign w:val="center"/>
          </w:tcPr>
          <w:p>
            <w:r/>
            <w:r>
              <w:rPr>
                <w:b w:val="0"/>
                <w:sz w:val="15"/>
              </w:rPr>
              <w:t>Customer threatens to cancel unless disbursed today</w:t>
            </w:r>
          </w:p>
        </w:tc>
        <w:tc>
          <w:tcPr>
            <w:tcW w:type="dxa" w:w="5155"/>
            <w:vAlign w:val="center"/>
          </w:tcPr>
          <w:p>
            <w:r/>
            <w:r>
              <w:rPr>
                <w:b w:val="0"/>
                <w:sz w:val="15"/>
              </w:rPr>
              <w:t>Do not bypass conditions/KYC; escalate service urgency separately.</w:t>
            </w:r>
          </w:p>
        </w:tc>
      </w:tr>
      <w:tr>
        <w:tc>
          <w:tcPr>
            <w:tcW w:type="dxa" w:w="5155"/>
            <w:vAlign w:val="center"/>
          </w:tcPr>
          <w:p>
            <w:r/>
            <w:r>
              <w:rPr>
                <w:b w:val="0"/>
                <w:sz w:val="15"/>
              </w:rPr>
              <w:t>Manager asks employee to use manager login</w:t>
            </w:r>
          </w:p>
        </w:tc>
        <w:tc>
          <w:tcPr>
            <w:tcW w:type="dxa" w:w="5155"/>
            <w:vAlign w:val="center"/>
          </w:tcPr>
          <w:p>
            <w:r/>
            <w:r>
              <w:rPr>
                <w:b w:val="0"/>
                <w:sz w:val="15"/>
              </w:rPr>
              <w:t>Refuse credential sharing; request proper access/authority.</w:t>
            </w:r>
          </w:p>
        </w:tc>
      </w:tr>
      <w:tr>
        <w:tc>
          <w:tcPr>
            <w:tcW w:type="dxa" w:w="5155"/>
            <w:vAlign w:val="center"/>
          </w:tcPr>
          <w:p>
            <w:r/>
            <w:r>
              <w:rPr>
                <w:b w:val="0"/>
                <w:sz w:val="15"/>
              </w:rPr>
              <w:t>Old job aid says 12-character password</w:t>
            </w:r>
          </w:p>
        </w:tc>
        <w:tc>
          <w:tcPr>
            <w:tcW w:type="dxa" w:w="5155"/>
            <w:vAlign w:val="center"/>
          </w:tcPr>
          <w:p>
            <w:r/>
            <w:r>
              <w:rPr>
                <w:b w:val="0"/>
                <w:sz w:val="15"/>
              </w:rPr>
              <w:t>ACS-051 v1.3 controls current password standard.</w:t>
            </w:r>
          </w:p>
        </w:tc>
      </w:tr>
      <w:tr>
        <w:tc>
          <w:tcPr>
            <w:tcW w:type="dxa" w:w="5155"/>
            <w:vAlign w:val="center"/>
          </w:tcPr>
          <w:p>
            <w:r/>
            <w:r>
              <w:rPr>
                <w:b w:val="0"/>
                <w:sz w:val="15"/>
              </w:rPr>
              <w:t>Vendor engineer needs “temporary” permanent VPN access</w:t>
            </w:r>
          </w:p>
        </w:tc>
        <w:tc>
          <w:tcPr>
            <w:tcW w:type="dxa" w:w="5155"/>
            <w:vAlign w:val="center"/>
          </w:tcPr>
          <w:p>
            <w:r/>
            <w:r>
              <w:rPr>
                <w:b w:val="0"/>
                <w:sz w:val="15"/>
              </w:rPr>
              <w:t>Use sponsored time-bound access; recurring need must be formally approved.</w:t>
            </w:r>
          </w:p>
        </w:tc>
      </w:tr>
      <w:tr>
        <w:tc>
          <w:tcPr>
            <w:tcW w:type="dxa" w:w="5155"/>
            <w:vAlign w:val="center"/>
          </w:tcPr>
          <w:p>
            <w:r/>
            <w:r>
              <w:rPr>
                <w:b w:val="0"/>
                <w:sz w:val="15"/>
              </w:rPr>
              <w:t>Already-completed transaction lacked checker</w:t>
            </w:r>
          </w:p>
        </w:tc>
        <w:tc>
          <w:tcPr>
            <w:tcW w:type="dxa" w:w="5155"/>
            <w:vAlign w:val="center"/>
          </w:tcPr>
          <w:p>
            <w:r/>
            <w:r>
              <w:rPr>
                <w:b w:val="0"/>
                <w:sz w:val="15"/>
              </w:rPr>
              <w:t>Record and remediate breach; do not recreate a fake checker approval.</w:t>
            </w:r>
          </w:p>
        </w:tc>
      </w:tr>
      <w:tr>
        <w:tc>
          <w:tcPr>
            <w:tcW w:type="dxa" w:w="5155"/>
            <w:vAlign w:val="center"/>
          </w:tcPr>
          <w:p>
            <w:r/>
            <w:r>
              <w:rPr>
                <w:b w:val="0"/>
                <w:sz w:val="15"/>
              </w:rPr>
              <w:t>PEP screening false positive appears obvious</w:t>
            </w:r>
          </w:p>
        </w:tc>
        <w:tc>
          <w:tcPr>
            <w:tcW w:type="dxa" w:w="5155"/>
            <w:vAlign w:val="center"/>
          </w:tcPr>
          <w:p>
            <w:r/>
            <w:r>
              <w:rPr>
                <w:b w:val="0"/>
                <w:sz w:val="15"/>
              </w:rPr>
              <w:t>Follow specialist disposition process; ordinary operations cannot clear it by assumption.</w:t>
            </w:r>
          </w:p>
        </w:tc>
      </w:tr>
    </w:tbl>
    <w:p/>
    <w:p>
      <w:pPr>
        <w:pStyle w:val="Heading1"/>
      </w:pPr>
      <w:r>
        <w:t>Appendix F — Training and Competency Record</w:t>
      </w:r>
    </w:p>
    <w:p>
      <w:r>
        <w:t>Managers should retain evidence sufficient to show readiness for controlled work.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Field</w:t>
            </w:r>
          </w:p>
        </w:tc>
        <w:tc>
          <w:tcPr>
            <w:tcW w:type="dxa" w:w="5155"/>
            <w:vAlign w:val="center"/>
            <w:shd w:fill="17365D"/>
          </w:tcPr>
          <w:p>
            <w:r/>
            <w:r>
              <w:rPr>
                <w:b/>
                <w:color w:val="FFFFFF"/>
                <w:sz w:val="15"/>
              </w:rPr>
              <w:t>Example</w:t>
            </w:r>
          </w:p>
        </w:tc>
      </w:tr>
      <w:tr>
        <w:tc>
          <w:tcPr>
            <w:tcW w:type="dxa" w:w="5155"/>
            <w:vAlign w:val="center"/>
          </w:tcPr>
          <w:p>
            <w:r/>
            <w:r>
              <w:rPr>
                <w:b w:val="0"/>
                <w:sz w:val="15"/>
              </w:rPr>
              <w:t>Employee / Role</w:t>
            </w:r>
          </w:p>
        </w:tc>
        <w:tc>
          <w:tcPr>
            <w:tcW w:type="dxa" w:w="5155"/>
            <w:vAlign w:val="center"/>
          </w:tcPr>
          <w:p>
            <w:r/>
            <w:r>
              <w:rPr>
                <w:b w:val="0"/>
                <w:sz w:val="15"/>
              </w:rPr>
              <w:t>Operations Analyst — Disbursement</w:t>
            </w:r>
          </w:p>
        </w:tc>
      </w:tr>
      <w:tr>
        <w:tc>
          <w:tcPr>
            <w:tcW w:type="dxa" w:w="5155"/>
            <w:vAlign w:val="center"/>
          </w:tcPr>
          <w:p>
            <w:r/>
            <w:r>
              <w:rPr>
                <w:b w:val="0"/>
                <w:sz w:val="15"/>
              </w:rPr>
              <w:t>Required training</w:t>
            </w:r>
          </w:p>
        </w:tc>
        <w:tc>
          <w:tcPr>
            <w:tcW w:type="dxa" w:w="5155"/>
            <w:vAlign w:val="center"/>
          </w:tcPr>
          <w:p>
            <w:r/>
            <w:r>
              <w:rPr>
                <w:b w:val="0"/>
                <w:sz w:val="15"/>
              </w:rPr>
              <w:t>LDP-013; KYC/AML awareness; security; maker-checker</w:t>
            </w:r>
          </w:p>
        </w:tc>
      </w:tr>
      <w:tr>
        <w:tc>
          <w:tcPr>
            <w:tcW w:type="dxa" w:w="5155"/>
            <w:vAlign w:val="center"/>
          </w:tcPr>
          <w:p>
            <w:r/>
            <w:r>
              <w:rPr>
                <w:b w:val="0"/>
                <w:sz w:val="15"/>
              </w:rPr>
              <w:t>Completion dates</w:t>
            </w:r>
          </w:p>
        </w:tc>
        <w:tc>
          <w:tcPr>
            <w:tcW w:type="dxa" w:w="5155"/>
            <w:vAlign w:val="center"/>
          </w:tcPr>
          <w:p>
            <w:r/>
            <w:r>
              <w:rPr>
                <w:b w:val="0"/>
                <w:sz w:val="15"/>
              </w:rPr>
              <w:t>Recorded in learning system</w:t>
            </w:r>
          </w:p>
        </w:tc>
      </w:tr>
      <w:tr>
        <w:tc>
          <w:tcPr>
            <w:tcW w:type="dxa" w:w="5155"/>
            <w:vAlign w:val="center"/>
          </w:tcPr>
          <w:p>
            <w:r/>
            <w:r>
              <w:rPr>
                <w:b w:val="0"/>
                <w:sz w:val="15"/>
              </w:rPr>
              <w:t>Observed practice</w:t>
            </w:r>
          </w:p>
        </w:tc>
        <w:tc>
          <w:tcPr>
            <w:tcW w:type="dxa" w:w="5155"/>
            <w:vAlign w:val="center"/>
          </w:tcPr>
          <w:p>
            <w:r/>
            <w:r>
              <w:rPr>
                <w:b w:val="0"/>
                <w:sz w:val="15"/>
              </w:rPr>
              <w:t>Supervised cases / QA sample</w:t>
            </w:r>
          </w:p>
        </w:tc>
      </w:tr>
      <w:tr>
        <w:tc>
          <w:tcPr>
            <w:tcW w:type="dxa" w:w="5155"/>
            <w:vAlign w:val="center"/>
          </w:tcPr>
          <w:p>
            <w:r/>
            <w:r>
              <w:rPr>
                <w:b w:val="0"/>
                <w:sz w:val="15"/>
              </w:rPr>
              <w:t>Authorization</w:t>
            </w:r>
          </w:p>
        </w:tc>
        <w:tc>
          <w:tcPr>
            <w:tcW w:type="dxa" w:w="5155"/>
            <w:vAlign w:val="center"/>
          </w:tcPr>
          <w:p>
            <w:r/>
            <w:r>
              <w:rPr>
                <w:b w:val="0"/>
                <w:sz w:val="15"/>
              </w:rPr>
              <w:t>Role access and checker rights granted separately</w:t>
            </w:r>
          </w:p>
        </w:tc>
      </w:tr>
      <w:tr>
        <w:tc>
          <w:tcPr>
            <w:tcW w:type="dxa" w:w="5155"/>
            <w:vAlign w:val="center"/>
          </w:tcPr>
          <w:p>
            <w:r/>
            <w:r>
              <w:rPr>
                <w:b w:val="0"/>
                <w:sz w:val="15"/>
              </w:rPr>
              <w:t>Refresh due</w:t>
            </w:r>
          </w:p>
        </w:tc>
        <w:tc>
          <w:tcPr>
            <w:tcW w:type="dxa" w:w="5155"/>
            <w:vAlign w:val="center"/>
          </w:tcPr>
          <w:p>
            <w:r/>
            <w:r>
              <w:rPr>
                <w:b w:val="0"/>
                <w:sz w:val="15"/>
              </w:rPr>
              <w:t>Based on policy/change cycle</w:t>
            </w:r>
          </w:p>
        </w:tc>
      </w:tr>
      <w:tr>
        <w:tc>
          <w:tcPr>
            <w:tcW w:type="dxa" w:w="5155"/>
            <w:vAlign w:val="center"/>
          </w:tcPr>
          <w:p>
            <w:r/>
            <w:r>
              <w:rPr>
                <w:b w:val="0"/>
                <w:sz w:val="15"/>
              </w:rPr>
              <w:t>Restrictions</w:t>
            </w:r>
          </w:p>
        </w:tc>
        <w:tc>
          <w:tcPr>
            <w:tcW w:type="dxa" w:w="5155"/>
            <w:vAlign w:val="center"/>
          </w:tcPr>
          <w:p>
            <w:r/>
            <w:r>
              <w:rPr>
                <w:b w:val="0"/>
                <w:sz w:val="15"/>
              </w:rPr>
              <w:t>No high-value checker authority until competency confirmed</w:t>
            </w:r>
          </w:p>
        </w:tc>
      </w:tr>
    </w:tbl>
    <w:p/>
    <w:p>
      <w:pPr>
        <w:pStyle w:val="Heading1"/>
      </w:pPr>
      <w:r>
        <w:t>Appendix G — Operational Record Standards</w:t>
      </w:r>
    </w:p>
    <w:p>
      <w:r>
        <w:t>A strong record should allow an independent reviewer to reconstruct the case.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Record Element</w:t>
            </w:r>
          </w:p>
        </w:tc>
        <w:tc>
          <w:tcPr>
            <w:tcW w:type="dxa" w:w="5155"/>
            <w:vAlign w:val="center"/>
            <w:shd w:fill="17365D"/>
          </w:tcPr>
          <w:p>
            <w:r/>
            <w:r>
              <w:rPr>
                <w:b/>
                <w:color w:val="FFFFFF"/>
                <w:sz w:val="15"/>
              </w:rPr>
              <w:t>Expectation</w:t>
            </w:r>
          </w:p>
        </w:tc>
      </w:tr>
      <w:tr>
        <w:tc>
          <w:tcPr>
            <w:tcW w:type="dxa" w:w="5155"/>
            <w:vAlign w:val="center"/>
          </w:tcPr>
          <w:p>
            <w:r/>
            <w:r>
              <w:rPr>
                <w:b w:val="0"/>
                <w:sz w:val="15"/>
              </w:rPr>
              <w:t>Identity</w:t>
            </w:r>
          </w:p>
        </w:tc>
        <w:tc>
          <w:tcPr>
            <w:tcW w:type="dxa" w:w="5155"/>
            <w:vAlign w:val="center"/>
          </w:tcPr>
          <w:p>
            <w:r/>
            <w:r>
              <w:rPr>
                <w:b w:val="0"/>
                <w:sz w:val="15"/>
              </w:rPr>
              <w:t>Who performed each material action</w:t>
            </w:r>
          </w:p>
        </w:tc>
      </w:tr>
      <w:tr>
        <w:tc>
          <w:tcPr>
            <w:tcW w:type="dxa" w:w="5155"/>
            <w:vAlign w:val="center"/>
          </w:tcPr>
          <w:p>
            <w:r/>
            <w:r>
              <w:rPr>
                <w:b w:val="0"/>
                <w:sz w:val="15"/>
              </w:rPr>
              <w:t>Date/time</w:t>
            </w:r>
          </w:p>
        </w:tc>
        <w:tc>
          <w:tcPr>
            <w:tcW w:type="dxa" w:w="5155"/>
            <w:vAlign w:val="center"/>
          </w:tcPr>
          <w:p>
            <w:r/>
            <w:r>
              <w:rPr>
                <w:b w:val="0"/>
                <w:sz w:val="15"/>
              </w:rPr>
              <w:t>When action occurred</w:t>
            </w:r>
          </w:p>
        </w:tc>
      </w:tr>
      <w:tr>
        <w:tc>
          <w:tcPr>
            <w:tcW w:type="dxa" w:w="5155"/>
            <w:vAlign w:val="center"/>
          </w:tcPr>
          <w:p>
            <w:r/>
            <w:r>
              <w:rPr>
                <w:b w:val="0"/>
                <w:sz w:val="15"/>
              </w:rPr>
              <w:t>Evidence</w:t>
            </w:r>
          </w:p>
        </w:tc>
        <w:tc>
          <w:tcPr>
            <w:tcW w:type="dxa" w:w="5155"/>
            <w:vAlign w:val="center"/>
          </w:tcPr>
          <w:p>
            <w:r/>
            <w:r>
              <w:rPr>
                <w:b w:val="0"/>
                <w:sz w:val="15"/>
              </w:rPr>
              <w:t>What documents/system data were reviewed</w:t>
            </w:r>
          </w:p>
        </w:tc>
      </w:tr>
      <w:tr>
        <w:tc>
          <w:tcPr>
            <w:tcW w:type="dxa" w:w="5155"/>
            <w:vAlign w:val="center"/>
          </w:tcPr>
          <w:p>
            <w:r/>
            <w:r>
              <w:rPr>
                <w:b w:val="0"/>
                <w:sz w:val="15"/>
              </w:rPr>
              <w:t>Decision/Status</w:t>
            </w:r>
          </w:p>
        </w:tc>
        <w:tc>
          <w:tcPr>
            <w:tcW w:type="dxa" w:w="5155"/>
            <w:vAlign w:val="center"/>
          </w:tcPr>
          <w:p>
            <w:r/>
            <w:r>
              <w:rPr>
                <w:b w:val="0"/>
                <w:sz w:val="15"/>
              </w:rPr>
              <w:t>What was concluded or what remains pending</w:t>
            </w:r>
          </w:p>
        </w:tc>
      </w:tr>
      <w:tr>
        <w:tc>
          <w:tcPr>
            <w:tcW w:type="dxa" w:w="5155"/>
            <w:vAlign w:val="center"/>
          </w:tcPr>
          <w:p>
            <w:r/>
            <w:r>
              <w:rPr>
                <w:b w:val="0"/>
                <w:sz w:val="15"/>
              </w:rPr>
              <w:t>Approval</w:t>
            </w:r>
          </w:p>
        </w:tc>
        <w:tc>
          <w:tcPr>
            <w:tcW w:type="dxa" w:w="5155"/>
            <w:vAlign w:val="center"/>
          </w:tcPr>
          <w:p>
            <w:r/>
            <w:r>
              <w:rPr>
                <w:b w:val="0"/>
                <w:sz w:val="15"/>
              </w:rPr>
              <w:t>Who approved and under which authority</w:t>
            </w:r>
          </w:p>
        </w:tc>
      </w:tr>
      <w:tr>
        <w:tc>
          <w:tcPr>
            <w:tcW w:type="dxa" w:w="5155"/>
            <w:vAlign w:val="center"/>
          </w:tcPr>
          <w:p>
            <w:r/>
            <w:r>
              <w:rPr>
                <w:b w:val="0"/>
                <w:sz w:val="15"/>
              </w:rPr>
              <w:t>Exception</w:t>
            </w:r>
          </w:p>
        </w:tc>
        <w:tc>
          <w:tcPr>
            <w:tcW w:type="dxa" w:w="5155"/>
            <w:vAlign w:val="center"/>
          </w:tcPr>
          <w:p>
            <w:r/>
            <w:r>
              <w:rPr>
                <w:b w:val="0"/>
                <w:sz w:val="15"/>
              </w:rPr>
              <w:t>Rule, reason, compensating factors, expiry where relevant</w:t>
            </w:r>
          </w:p>
        </w:tc>
      </w:tr>
      <w:tr>
        <w:tc>
          <w:tcPr>
            <w:tcW w:type="dxa" w:w="5155"/>
            <w:vAlign w:val="center"/>
          </w:tcPr>
          <w:p>
            <w:r/>
            <w:r>
              <w:rPr>
                <w:b w:val="0"/>
                <w:sz w:val="15"/>
              </w:rPr>
              <w:t>Change</w:t>
            </w:r>
          </w:p>
        </w:tc>
        <w:tc>
          <w:tcPr>
            <w:tcW w:type="dxa" w:w="5155"/>
            <w:vAlign w:val="center"/>
          </w:tcPr>
          <w:p>
            <w:r/>
            <w:r>
              <w:rPr>
                <w:b w:val="0"/>
                <w:sz w:val="15"/>
              </w:rPr>
              <w:t>What changed after approval and how reassessed</w:t>
            </w:r>
          </w:p>
        </w:tc>
      </w:tr>
      <w:tr>
        <w:tc>
          <w:tcPr>
            <w:tcW w:type="dxa" w:w="5155"/>
            <w:vAlign w:val="center"/>
          </w:tcPr>
          <w:p>
            <w:r/>
            <w:r>
              <w:rPr>
                <w:b w:val="0"/>
                <w:sz w:val="15"/>
              </w:rPr>
              <w:t>Escalation</w:t>
            </w:r>
          </w:p>
        </w:tc>
        <w:tc>
          <w:tcPr>
            <w:tcW w:type="dxa" w:w="5155"/>
            <w:vAlign w:val="center"/>
          </w:tcPr>
          <w:p>
            <w:r/>
            <w:r>
              <w:rPr>
                <w:b w:val="0"/>
                <w:sz w:val="15"/>
              </w:rPr>
              <w:t>Who was notified and outcome</w:t>
            </w:r>
          </w:p>
        </w:tc>
      </w:tr>
    </w:tbl>
    <w:p/>
    <w:p>
      <w:r>
        <w:br w:type="page"/>
      </w:r>
    </w:p>
    <w:p>
      <w:pPr>
        <w:pStyle w:val="Heading1"/>
      </w:pPr>
      <w:r>
        <w:t>Appendix H — Branch Opening and Closing Controls</w:t>
      </w:r>
    </w:p>
    <w:p>
      <w:r>
        <w:t>Branches and operations sites shall maintain physical and information controls at opening and close.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Stage</w:t>
            </w:r>
          </w:p>
        </w:tc>
        <w:tc>
          <w:tcPr>
            <w:tcW w:type="dxa" w:w="5155"/>
            <w:vAlign w:val="center"/>
            <w:shd w:fill="17365D"/>
          </w:tcPr>
          <w:p>
            <w:r/>
            <w:r>
              <w:rPr>
                <w:b/>
                <w:color w:val="FFFFFF"/>
                <w:sz w:val="15"/>
              </w:rPr>
              <w:t>Control</w:t>
            </w:r>
          </w:p>
        </w:tc>
      </w:tr>
      <w:tr>
        <w:tc>
          <w:tcPr>
            <w:tcW w:type="dxa" w:w="5155"/>
            <w:vAlign w:val="center"/>
          </w:tcPr>
          <w:p>
            <w:r/>
            <w:r>
              <w:rPr>
                <w:b w:val="0"/>
                <w:sz w:val="14"/>
              </w:rPr>
              <w:t>Opening</w:t>
            </w:r>
          </w:p>
        </w:tc>
        <w:tc>
          <w:tcPr>
            <w:tcW w:type="dxa" w:w="5155"/>
            <w:vAlign w:val="center"/>
          </w:tcPr>
          <w:p>
            <w:r/>
            <w:r>
              <w:rPr>
                <w:b w:val="0"/>
                <w:sz w:val="14"/>
              </w:rPr>
              <w:t>Inspect secure areas; confirm systems/communications operational</w:t>
            </w:r>
          </w:p>
        </w:tc>
      </w:tr>
      <w:tr>
        <w:tc>
          <w:tcPr>
            <w:tcW w:type="dxa" w:w="5155"/>
            <w:vAlign w:val="center"/>
          </w:tcPr>
          <w:p>
            <w:r/>
            <w:r>
              <w:rPr>
                <w:b w:val="0"/>
                <w:sz w:val="14"/>
              </w:rPr>
              <w:t>Cash/valuable records</w:t>
            </w:r>
          </w:p>
        </w:tc>
        <w:tc>
          <w:tcPr>
            <w:tcW w:type="dxa" w:w="5155"/>
            <w:vAlign w:val="center"/>
          </w:tcPr>
          <w:p>
            <w:r/>
            <w:r>
              <w:rPr>
                <w:b w:val="0"/>
                <w:sz w:val="14"/>
              </w:rPr>
              <w:t>Follow separate cash/asset procedures where applicable</w:t>
            </w:r>
          </w:p>
        </w:tc>
      </w:tr>
      <w:tr>
        <w:tc>
          <w:tcPr>
            <w:tcW w:type="dxa" w:w="5155"/>
            <w:vAlign w:val="center"/>
          </w:tcPr>
          <w:p>
            <w:r/>
            <w:r>
              <w:rPr>
                <w:b w:val="0"/>
                <w:sz w:val="14"/>
              </w:rPr>
              <w:t>Document storage</w:t>
            </w:r>
          </w:p>
        </w:tc>
        <w:tc>
          <w:tcPr>
            <w:tcW w:type="dxa" w:w="5155"/>
            <w:vAlign w:val="center"/>
          </w:tcPr>
          <w:p>
            <w:r/>
            <w:r>
              <w:rPr>
                <w:b w:val="0"/>
                <w:sz w:val="14"/>
              </w:rPr>
              <w:t>Retrieve only files required for current work</w:t>
            </w:r>
          </w:p>
        </w:tc>
      </w:tr>
      <w:tr>
        <w:tc>
          <w:tcPr>
            <w:tcW w:type="dxa" w:w="5155"/>
            <w:vAlign w:val="center"/>
          </w:tcPr>
          <w:p>
            <w:r/>
            <w:r>
              <w:rPr>
                <w:b w:val="0"/>
                <w:sz w:val="14"/>
              </w:rPr>
              <w:t>Customer screens</w:t>
            </w:r>
          </w:p>
        </w:tc>
        <w:tc>
          <w:tcPr>
            <w:tcW w:type="dxa" w:w="5155"/>
            <w:vAlign w:val="center"/>
          </w:tcPr>
          <w:p>
            <w:r/>
            <w:r>
              <w:rPr>
                <w:b w:val="0"/>
                <w:sz w:val="14"/>
              </w:rPr>
              <w:t>Position/protect from public viewing</w:t>
            </w:r>
          </w:p>
        </w:tc>
      </w:tr>
      <w:tr>
        <w:tc>
          <w:tcPr>
            <w:tcW w:type="dxa" w:w="5155"/>
            <w:vAlign w:val="center"/>
          </w:tcPr>
          <w:p>
            <w:r/>
            <w:r>
              <w:rPr>
                <w:b w:val="0"/>
                <w:sz w:val="14"/>
              </w:rPr>
              <w:t>End of day</w:t>
            </w:r>
          </w:p>
        </w:tc>
        <w:tc>
          <w:tcPr>
            <w:tcW w:type="dxa" w:w="5155"/>
            <w:vAlign w:val="center"/>
          </w:tcPr>
          <w:p>
            <w:r/>
            <w:r>
              <w:rPr>
                <w:b w:val="0"/>
                <w:sz w:val="14"/>
              </w:rPr>
              <w:t>Clear desks; secure files and tokens</w:t>
            </w:r>
          </w:p>
        </w:tc>
      </w:tr>
      <w:tr>
        <w:tc>
          <w:tcPr>
            <w:tcW w:type="dxa" w:w="5155"/>
            <w:vAlign w:val="center"/>
          </w:tcPr>
          <w:p>
            <w:r/>
            <w:r>
              <w:rPr>
                <w:b w:val="0"/>
                <w:sz w:val="14"/>
              </w:rPr>
              <w:t>System sessions</w:t>
            </w:r>
          </w:p>
        </w:tc>
        <w:tc>
          <w:tcPr>
            <w:tcW w:type="dxa" w:w="5155"/>
            <w:vAlign w:val="center"/>
          </w:tcPr>
          <w:p>
            <w:r/>
            <w:r>
              <w:rPr>
                <w:b w:val="0"/>
                <w:sz w:val="14"/>
              </w:rPr>
              <w:t>Log off/lock; do not leave shared terminals authenticated</w:t>
            </w:r>
          </w:p>
        </w:tc>
      </w:tr>
      <w:tr>
        <w:tc>
          <w:tcPr>
            <w:tcW w:type="dxa" w:w="5155"/>
            <w:vAlign w:val="center"/>
          </w:tcPr>
          <w:p>
            <w:r/>
            <w:r>
              <w:rPr>
                <w:b w:val="0"/>
                <w:sz w:val="14"/>
              </w:rPr>
              <w:t>Sensitive waste</w:t>
            </w:r>
          </w:p>
        </w:tc>
        <w:tc>
          <w:tcPr>
            <w:tcW w:type="dxa" w:w="5155"/>
            <w:vAlign w:val="center"/>
          </w:tcPr>
          <w:p>
            <w:r/>
            <w:r>
              <w:rPr>
                <w:b w:val="0"/>
                <w:sz w:val="14"/>
              </w:rPr>
              <w:t>Place in secure disposal</w:t>
            </w:r>
          </w:p>
        </w:tc>
      </w:tr>
      <w:tr>
        <w:tc>
          <w:tcPr>
            <w:tcW w:type="dxa" w:w="5155"/>
            <w:vAlign w:val="center"/>
          </w:tcPr>
          <w:p>
            <w:r/>
            <w:r>
              <w:rPr>
                <w:b w:val="0"/>
                <w:sz w:val="14"/>
              </w:rPr>
              <w:t>Incidents</w:t>
            </w:r>
          </w:p>
        </w:tc>
        <w:tc>
          <w:tcPr>
            <w:tcW w:type="dxa" w:w="5155"/>
            <w:vAlign w:val="center"/>
          </w:tcPr>
          <w:p>
            <w:r/>
            <w:r>
              <w:rPr>
                <w:b w:val="0"/>
                <w:sz w:val="14"/>
              </w:rPr>
              <w:t>Record unresolved physical/system/customer issues for next shift</w:t>
            </w:r>
          </w:p>
        </w:tc>
      </w:tr>
    </w:tbl>
    <w:p/>
    <w:p>
      <w:r>
        <w:br w:type="page"/>
      </w:r>
    </w:p>
    <w:p>
      <w:pPr>
        <w:pStyle w:val="Heading1"/>
      </w:pPr>
      <w:r>
        <w:t>Appendix I — Loan Processing Detailed Checklist</w:t>
      </w:r>
    </w:p>
    <w:p>
      <w:r>
        <w:t>Loan operations shall preserve the sequence of controls even under turnaround pressure.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Stage</w:t>
            </w:r>
          </w:p>
        </w:tc>
        <w:tc>
          <w:tcPr>
            <w:tcW w:type="dxa" w:w="5155"/>
            <w:vAlign w:val="center"/>
            <w:shd w:fill="17365D"/>
          </w:tcPr>
          <w:p>
            <w:r/>
            <w:r>
              <w:rPr>
                <w:b/>
                <w:color w:val="FFFFFF"/>
                <w:sz w:val="15"/>
              </w:rPr>
              <w:t>Minimum Evidence</w:t>
            </w:r>
          </w:p>
        </w:tc>
      </w:tr>
      <w:tr>
        <w:tc>
          <w:tcPr>
            <w:tcW w:type="dxa" w:w="5155"/>
            <w:vAlign w:val="center"/>
          </w:tcPr>
          <w:p>
            <w:r/>
            <w:r>
              <w:rPr>
                <w:b w:val="0"/>
                <w:sz w:val="14"/>
              </w:rPr>
              <w:t>Application intake</w:t>
            </w:r>
          </w:p>
        </w:tc>
        <w:tc>
          <w:tcPr>
            <w:tcW w:type="dxa" w:w="5155"/>
            <w:vAlign w:val="center"/>
          </w:tcPr>
          <w:p>
            <w:r/>
            <w:r>
              <w:rPr>
                <w:b w:val="0"/>
                <w:sz w:val="14"/>
              </w:rPr>
              <w:t>Application ID, customer identity, date/channel</w:t>
            </w:r>
          </w:p>
        </w:tc>
      </w:tr>
      <w:tr>
        <w:tc>
          <w:tcPr>
            <w:tcW w:type="dxa" w:w="5155"/>
            <w:vAlign w:val="center"/>
          </w:tcPr>
          <w:p>
            <w:r/>
            <w:r>
              <w:rPr>
                <w:b w:val="0"/>
                <w:sz w:val="14"/>
              </w:rPr>
              <w:t>Documents</w:t>
            </w:r>
          </w:p>
        </w:tc>
        <w:tc>
          <w:tcPr>
            <w:tcW w:type="dxa" w:w="5155"/>
            <w:vAlign w:val="center"/>
          </w:tcPr>
          <w:p>
            <w:r/>
            <w:r>
              <w:rPr>
                <w:b w:val="0"/>
                <w:sz w:val="14"/>
              </w:rPr>
              <w:t>Required items received and source</w:t>
            </w:r>
          </w:p>
        </w:tc>
      </w:tr>
      <w:tr>
        <w:tc>
          <w:tcPr>
            <w:tcW w:type="dxa" w:w="5155"/>
            <w:vAlign w:val="center"/>
          </w:tcPr>
          <w:p>
            <w:r/>
            <w:r>
              <w:rPr>
                <w:b w:val="0"/>
                <w:sz w:val="14"/>
              </w:rPr>
              <w:t>KYC/AML</w:t>
            </w:r>
          </w:p>
        </w:tc>
        <w:tc>
          <w:tcPr>
            <w:tcW w:type="dxa" w:w="5155"/>
            <w:vAlign w:val="center"/>
          </w:tcPr>
          <w:p>
            <w:r/>
            <w:r>
              <w:rPr>
                <w:b w:val="0"/>
                <w:sz w:val="14"/>
              </w:rPr>
              <w:t>Current status/holds</w:t>
            </w:r>
          </w:p>
        </w:tc>
      </w:tr>
      <w:tr>
        <w:tc>
          <w:tcPr>
            <w:tcW w:type="dxa" w:w="5155"/>
            <w:vAlign w:val="center"/>
          </w:tcPr>
          <w:p>
            <w:r/>
            <w:r>
              <w:rPr>
                <w:b w:val="0"/>
                <w:sz w:val="14"/>
              </w:rPr>
              <w:t>Credit bureau</w:t>
            </w:r>
          </w:p>
        </w:tc>
        <w:tc>
          <w:tcPr>
            <w:tcW w:type="dxa" w:w="5155"/>
            <w:vAlign w:val="center"/>
          </w:tcPr>
          <w:p>
            <w:r/>
            <w:r>
              <w:rPr>
                <w:b w:val="0"/>
                <w:sz w:val="14"/>
              </w:rPr>
              <w:t>Current report/reference</w:t>
            </w:r>
          </w:p>
        </w:tc>
      </w:tr>
      <w:tr>
        <w:tc>
          <w:tcPr>
            <w:tcW w:type="dxa" w:w="5155"/>
            <w:vAlign w:val="center"/>
          </w:tcPr>
          <w:p>
            <w:r/>
            <w:r>
              <w:rPr>
                <w:b w:val="0"/>
                <w:sz w:val="14"/>
              </w:rPr>
              <w:t>Income/obligations</w:t>
            </w:r>
          </w:p>
        </w:tc>
        <w:tc>
          <w:tcPr>
            <w:tcW w:type="dxa" w:w="5155"/>
            <w:vAlign w:val="center"/>
          </w:tcPr>
          <w:p>
            <w:r/>
            <w:r>
              <w:rPr>
                <w:b w:val="0"/>
                <w:sz w:val="14"/>
              </w:rPr>
              <w:t>Verified inputs and discrepancies</w:t>
            </w:r>
          </w:p>
        </w:tc>
      </w:tr>
      <w:tr>
        <w:tc>
          <w:tcPr>
            <w:tcW w:type="dxa" w:w="5155"/>
            <w:vAlign w:val="center"/>
          </w:tcPr>
          <w:p>
            <w:r/>
            <w:r>
              <w:rPr>
                <w:b w:val="0"/>
                <w:sz w:val="14"/>
              </w:rPr>
              <w:t>Underwriting</w:t>
            </w:r>
          </w:p>
        </w:tc>
        <w:tc>
          <w:tcPr>
            <w:tcW w:type="dxa" w:w="5155"/>
            <w:vAlign w:val="center"/>
          </w:tcPr>
          <w:p>
            <w:r/>
            <w:r>
              <w:rPr>
                <w:b w:val="0"/>
                <w:sz w:val="14"/>
              </w:rPr>
              <w:t>Decision/version/approver</w:t>
            </w:r>
          </w:p>
        </w:tc>
      </w:tr>
      <w:tr>
        <w:tc>
          <w:tcPr>
            <w:tcW w:type="dxa" w:w="5155"/>
            <w:vAlign w:val="center"/>
          </w:tcPr>
          <w:p>
            <w:r/>
            <w:r>
              <w:rPr>
                <w:b w:val="0"/>
                <w:sz w:val="14"/>
              </w:rPr>
              <w:t>Exception</w:t>
            </w:r>
          </w:p>
        </w:tc>
        <w:tc>
          <w:tcPr>
            <w:tcW w:type="dxa" w:w="5155"/>
            <w:vAlign w:val="center"/>
          </w:tcPr>
          <w:p>
            <w:r/>
            <w:r>
              <w:rPr>
                <w:b w:val="0"/>
                <w:sz w:val="14"/>
              </w:rPr>
              <w:t>Rule, class, authority, compensating factors</w:t>
            </w:r>
          </w:p>
        </w:tc>
      </w:tr>
      <w:tr>
        <w:tc>
          <w:tcPr>
            <w:tcW w:type="dxa" w:w="5155"/>
            <w:vAlign w:val="center"/>
          </w:tcPr>
          <w:p>
            <w:r/>
            <w:r>
              <w:rPr>
                <w:b w:val="0"/>
                <w:sz w:val="14"/>
              </w:rPr>
              <w:t>Conditions</w:t>
            </w:r>
          </w:p>
        </w:tc>
        <w:tc>
          <w:tcPr>
            <w:tcW w:type="dxa" w:w="5155"/>
            <w:vAlign w:val="center"/>
          </w:tcPr>
          <w:p>
            <w:r/>
            <w:r>
              <w:rPr>
                <w:b w:val="0"/>
                <w:sz w:val="14"/>
              </w:rPr>
              <w:t>Evidence satisfied</w:t>
            </w:r>
          </w:p>
        </w:tc>
      </w:tr>
      <w:tr>
        <w:tc>
          <w:tcPr>
            <w:tcW w:type="dxa" w:w="5155"/>
            <w:vAlign w:val="center"/>
          </w:tcPr>
          <w:p>
            <w:r/>
            <w:r>
              <w:rPr>
                <w:b w:val="0"/>
                <w:sz w:val="14"/>
              </w:rPr>
              <w:t>Beneficiary</w:t>
            </w:r>
          </w:p>
        </w:tc>
        <w:tc>
          <w:tcPr>
            <w:tcW w:type="dxa" w:w="5155"/>
            <w:vAlign w:val="center"/>
          </w:tcPr>
          <w:p>
            <w:r/>
            <w:r>
              <w:rPr>
                <w:b w:val="0"/>
                <w:sz w:val="14"/>
              </w:rPr>
              <w:t>Verified account details</w:t>
            </w:r>
          </w:p>
        </w:tc>
      </w:tr>
      <w:tr>
        <w:tc>
          <w:tcPr>
            <w:tcW w:type="dxa" w:w="5155"/>
            <w:vAlign w:val="center"/>
          </w:tcPr>
          <w:p>
            <w:r/>
            <w:r>
              <w:rPr>
                <w:b w:val="0"/>
                <w:sz w:val="14"/>
              </w:rPr>
              <w:t>Disbursement</w:t>
            </w:r>
          </w:p>
        </w:tc>
        <w:tc>
          <w:tcPr>
            <w:tcW w:type="dxa" w:w="5155"/>
            <w:vAlign w:val="center"/>
          </w:tcPr>
          <w:p>
            <w:r/>
            <w:r>
              <w:rPr>
                <w:b w:val="0"/>
                <w:sz w:val="14"/>
              </w:rPr>
              <w:t>Maker/checker/time/reference</w:t>
            </w:r>
          </w:p>
        </w:tc>
      </w:tr>
      <w:tr>
        <w:tc>
          <w:tcPr>
            <w:tcW w:type="dxa" w:w="5155"/>
            <w:vAlign w:val="center"/>
          </w:tcPr>
          <w:p>
            <w:r/>
            <w:r>
              <w:rPr>
                <w:b w:val="0"/>
                <w:sz w:val="14"/>
              </w:rPr>
              <w:t>Post-disbursement</w:t>
            </w:r>
          </w:p>
        </w:tc>
        <w:tc>
          <w:tcPr>
            <w:tcW w:type="dxa" w:w="5155"/>
            <w:vAlign w:val="center"/>
          </w:tcPr>
          <w:p>
            <w:r/>
            <w:r>
              <w:rPr>
                <w:b w:val="0"/>
                <w:sz w:val="14"/>
              </w:rPr>
              <w:t>Monitoring/records as required</w:t>
            </w:r>
          </w:p>
        </w:tc>
      </w:tr>
    </w:tbl>
    <w:p/>
    <w:p>
      <w:r>
        <w:br w:type="page"/>
      </w:r>
    </w:p>
    <w:p>
      <w:pPr>
        <w:pStyle w:val="Heading1"/>
      </w:pPr>
      <w:r>
        <w:t>Appendix J — KYC Operations Work Instructions</w:t>
      </w:r>
    </w:p>
    <w:p>
      <w:r>
        <w:t>Routine cases can be processed efficiently without weakening specialist escalation.</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Issue</w:t>
            </w:r>
          </w:p>
        </w:tc>
        <w:tc>
          <w:tcPr>
            <w:tcW w:type="dxa" w:w="3437"/>
            <w:vAlign w:val="center"/>
            <w:shd w:fill="17365D"/>
          </w:tcPr>
          <w:p>
            <w:r/>
            <w:r>
              <w:rPr>
                <w:b/>
                <w:color w:val="FFFFFF"/>
                <w:sz w:val="15"/>
              </w:rPr>
              <w:t>Routine Handling</w:t>
            </w:r>
          </w:p>
        </w:tc>
        <w:tc>
          <w:tcPr>
            <w:tcW w:type="dxa" w:w="3437"/>
            <w:vAlign w:val="center"/>
            <w:shd w:fill="17365D"/>
          </w:tcPr>
          <w:p>
            <w:r/>
            <w:r>
              <w:rPr>
                <w:b/>
                <w:color w:val="FFFFFF"/>
                <w:sz w:val="15"/>
              </w:rPr>
              <w:t>Escalate When</w:t>
            </w:r>
          </w:p>
        </w:tc>
      </w:tr>
      <w:tr>
        <w:tc>
          <w:tcPr>
            <w:tcW w:type="dxa" w:w="3437"/>
            <w:vAlign w:val="center"/>
          </w:tcPr>
          <w:p>
            <w:r/>
            <w:r>
              <w:rPr>
                <w:b w:val="0"/>
                <w:sz w:val="14"/>
              </w:rPr>
              <w:t>Minor spelling variation</w:t>
            </w:r>
          </w:p>
        </w:tc>
        <w:tc>
          <w:tcPr>
            <w:tcW w:type="dxa" w:w="3437"/>
            <w:vAlign w:val="center"/>
          </w:tcPr>
          <w:p>
            <w:r/>
            <w:r>
              <w:rPr>
                <w:b w:val="0"/>
                <w:sz w:val="14"/>
              </w:rPr>
              <w:t>Use approved matching rule</w:t>
            </w:r>
          </w:p>
        </w:tc>
        <w:tc>
          <w:tcPr>
            <w:tcW w:type="dxa" w:w="3437"/>
            <w:vAlign w:val="center"/>
          </w:tcPr>
          <w:p>
            <w:r/>
            <w:r>
              <w:rPr>
                <w:b w:val="0"/>
                <w:sz w:val="14"/>
              </w:rPr>
              <w:t>Identity remains uncertain</w:t>
            </w:r>
          </w:p>
        </w:tc>
      </w:tr>
      <w:tr>
        <w:tc>
          <w:tcPr>
            <w:tcW w:type="dxa" w:w="3437"/>
            <w:vAlign w:val="center"/>
          </w:tcPr>
          <w:p>
            <w:r/>
            <w:r>
              <w:rPr>
                <w:b w:val="0"/>
                <w:sz w:val="14"/>
              </w:rPr>
              <w:t>Address variation</w:t>
            </w:r>
          </w:p>
        </w:tc>
        <w:tc>
          <w:tcPr>
            <w:tcW w:type="dxa" w:w="3437"/>
            <w:vAlign w:val="center"/>
          </w:tcPr>
          <w:p>
            <w:r/>
            <w:r>
              <w:rPr>
                <w:b w:val="0"/>
                <w:sz w:val="14"/>
              </w:rPr>
              <w:t>Obtain accepted evidence / case note</w:t>
            </w:r>
          </w:p>
        </w:tc>
        <w:tc>
          <w:tcPr>
            <w:tcW w:type="dxa" w:w="3437"/>
            <w:vAlign w:val="center"/>
          </w:tcPr>
          <w:p>
            <w:r/>
            <w:r>
              <w:rPr>
                <w:b w:val="0"/>
                <w:sz w:val="14"/>
              </w:rPr>
              <w:t>Multiple conflicting addresses or fraud concern</w:t>
            </w:r>
          </w:p>
        </w:tc>
      </w:tr>
      <w:tr>
        <w:tc>
          <w:tcPr>
            <w:tcW w:type="dxa" w:w="3437"/>
            <w:vAlign w:val="center"/>
          </w:tcPr>
          <w:p>
            <w:r/>
            <w:r>
              <w:rPr>
                <w:b w:val="0"/>
                <w:sz w:val="14"/>
              </w:rPr>
              <w:t>Expired document</w:t>
            </w:r>
          </w:p>
        </w:tc>
        <w:tc>
          <w:tcPr>
            <w:tcW w:type="dxa" w:w="3437"/>
            <w:vAlign w:val="center"/>
          </w:tcPr>
          <w:p>
            <w:r/>
            <w:r>
              <w:rPr>
                <w:b w:val="0"/>
                <w:sz w:val="14"/>
              </w:rPr>
              <w:t>Obtain current acceptable document</w:t>
            </w:r>
          </w:p>
        </w:tc>
        <w:tc>
          <w:tcPr>
            <w:tcW w:type="dxa" w:w="3437"/>
            <w:vAlign w:val="center"/>
          </w:tcPr>
          <w:p>
            <w:r/>
            <w:r>
              <w:rPr>
                <w:b w:val="0"/>
                <w:sz w:val="14"/>
              </w:rPr>
              <w:t>Customer cannot provide / unusual pattern</w:t>
            </w:r>
          </w:p>
        </w:tc>
      </w:tr>
      <w:tr>
        <w:tc>
          <w:tcPr>
            <w:tcW w:type="dxa" w:w="3437"/>
            <w:vAlign w:val="center"/>
          </w:tcPr>
          <w:p>
            <w:r/>
            <w:r>
              <w:rPr>
                <w:b w:val="0"/>
                <w:sz w:val="14"/>
              </w:rPr>
              <w:t>Ownership chain</w:t>
            </w:r>
          </w:p>
        </w:tc>
        <w:tc>
          <w:tcPr>
            <w:tcW w:type="dxa" w:w="3437"/>
            <w:vAlign w:val="center"/>
          </w:tcPr>
          <w:p>
            <w:r/>
            <w:r>
              <w:rPr>
                <w:b w:val="0"/>
                <w:sz w:val="14"/>
              </w:rPr>
              <w:t>Collect required entities/owners</w:t>
            </w:r>
          </w:p>
        </w:tc>
        <w:tc>
          <w:tcPr>
            <w:tcW w:type="dxa" w:w="3437"/>
            <w:vAlign w:val="center"/>
          </w:tcPr>
          <w:p>
            <w:r/>
            <w:r>
              <w:rPr>
                <w:b w:val="0"/>
                <w:sz w:val="14"/>
              </w:rPr>
              <w:t>Control cannot be reasonably established</w:t>
            </w:r>
          </w:p>
        </w:tc>
      </w:tr>
      <w:tr>
        <w:tc>
          <w:tcPr>
            <w:tcW w:type="dxa" w:w="3437"/>
            <w:vAlign w:val="center"/>
          </w:tcPr>
          <w:p>
            <w:r/>
            <w:r>
              <w:rPr>
                <w:b w:val="0"/>
                <w:sz w:val="14"/>
              </w:rPr>
              <w:t>PEP potential match</w:t>
            </w:r>
          </w:p>
        </w:tc>
        <w:tc>
          <w:tcPr>
            <w:tcW w:type="dxa" w:w="3437"/>
            <w:vAlign w:val="center"/>
          </w:tcPr>
          <w:p>
            <w:r/>
            <w:r>
              <w:rPr>
                <w:b w:val="0"/>
                <w:sz w:val="14"/>
              </w:rPr>
              <w:t>Route screening workflow</w:t>
            </w:r>
          </w:p>
        </w:tc>
        <w:tc>
          <w:tcPr>
            <w:tcW w:type="dxa" w:w="3437"/>
            <w:vAlign w:val="center"/>
          </w:tcPr>
          <w:p>
            <w:r/>
            <w:r>
              <w:rPr>
                <w:b w:val="0"/>
                <w:sz w:val="14"/>
              </w:rPr>
              <w:t>Never self-clear outside authorized process</w:t>
            </w:r>
          </w:p>
        </w:tc>
      </w:tr>
      <w:tr>
        <w:tc>
          <w:tcPr>
            <w:tcW w:type="dxa" w:w="3437"/>
            <w:vAlign w:val="center"/>
          </w:tcPr>
          <w:p>
            <w:r/>
            <w:r>
              <w:rPr>
                <w:b w:val="0"/>
                <w:sz w:val="14"/>
              </w:rPr>
              <w:t>Sanctions potential match</w:t>
            </w:r>
          </w:p>
        </w:tc>
        <w:tc>
          <w:tcPr>
            <w:tcW w:type="dxa" w:w="3437"/>
            <w:vAlign w:val="center"/>
          </w:tcPr>
          <w:p>
            <w:r/>
            <w:r>
              <w:rPr>
                <w:b w:val="0"/>
                <w:sz w:val="14"/>
              </w:rPr>
              <w:t>Immediate specialist hold</w:t>
            </w:r>
          </w:p>
        </w:tc>
        <w:tc>
          <w:tcPr>
            <w:tcW w:type="dxa" w:w="3437"/>
            <w:vAlign w:val="center"/>
          </w:tcPr>
          <w:p>
            <w:r/>
            <w:r>
              <w:rPr>
                <w:b w:val="0"/>
                <w:sz w:val="14"/>
              </w:rPr>
              <w:t>Do not disclose screening details</w:t>
            </w:r>
          </w:p>
        </w:tc>
      </w:tr>
      <w:tr>
        <w:tc>
          <w:tcPr>
            <w:tcW w:type="dxa" w:w="3437"/>
            <w:vAlign w:val="center"/>
          </w:tcPr>
          <w:p>
            <w:r/>
            <w:r>
              <w:rPr>
                <w:b w:val="0"/>
                <w:sz w:val="14"/>
              </w:rPr>
              <w:t>Non-face-to-face onboarding</w:t>
            </w:r>
          </w:p>
        </w:tc>
        <w:tc>
          <w:tcPr>
            <w:tcW w:type="dxa" w:w="3437"/>
            <w:vAlign w:val="center"/>
          </w:tcPr>
          <w:p>
            <w:r/>
            <w:r>
              <w:rPr>
                <w:b w:val="0"/>
                <w:sz w:val="14"/>
              </w:rPr>
              <w:t>Apply digital controls</w:t>
            </w:r>
          </w:p>
        </w:tc>
        <w:tc>
          <w:tcPr>
            <w:tcW w:type="dxa" w:w="3437"/>
            <w:vAlign w:val="center"/>
          </w:tcPr>
          <w:p>
            <w:r/>
            <w:r>
              <w:rPr>
                <w:b w:val="0"/>
                <w:sz w:val="14"/>
              </w:rPr>
              <w:t>Device/identity/fraud anomaly</w:t>
            </w:r>
          </w:p>
        </w:tc>
      </w:tr>
    </w:tbl>
    <w:p/>
    <w:p>
      <w:r>
        <w:br w:type="page"/>
      </w:r>
    </w:p>
    <w:p>
      <w:pPr>
        <w:pStyle w:val="Heading1"/>
      </w:pPr>
      <w:r>
        <w:t>Appendix K — Credit Operations Exception Examples</w:t>
      </w:r>
    </w:p>
    <w:p>
      <w:r>
        <w:t>Operations shall distinguish data correction from policy exception.</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Scenario</w:t>
            </w:r>
          </w:p>
        </w:tc>
        <w:tc>
          <w:tcPr>
            <w:tcW w:type="dxa" w:w="3437"/>
            <w:vAlign w:val="center"/>
            <w:shd w:fill="17365D"/>
          </w:tcPr>
          <w:p>
            <w:r/>
            <w:r>
              <w:rPr>
                <w:b/>
                <w:color w:val="FFFFFF"/>
                <w:sz w:val="15"/>
              </w:rPr>
              <w:t>Classification</w:t>
            </w:r>
          </w:p>
        </w:tc>
        <w:tc>
          <w:tcPr>
            <w:tcW w:type="dxa" w:w="3437"/>
            <w:vAlign w:val="center"/>
            <w:shd w:fill="17365D"/>
          </w:tcPr>
          <w:p>
            <w:r/>
            <w:r>
              <w:rPr>
                <w:b/>
                <w:color w:val="FFFFFF"/>
                <w:sz w:val="15"/>
              </w:rPr>
              <w:t>Action</w:t>
            </w:r>
          </w:p>
        </w:tc>
      </w:tr>
      <w:tr>
        <w:tc>
          <w:tcPr>
            <w:tcW w:type="dxa" w:w="3437"/>
            <w:vAlign w:val="center"/>
          </w:tcPr>
          <w:p>
            <w:r/>
            <w:r>
              <w:rPr>
                <w:b w:val="0"/>
                <w:sz w:val="14"/>
              </w:rPr>
              <w:t>Income typo before decision</w:t>
            </w:r>
          </w:p>
        </w:tc>
        <w:tc>
          <w:tcPr>
            <w:tcW w:type="dxa" w:w="3437"/>
            <w:vAlign w:val="center"/>
          </w:tcPr>
          <w:p>
            <w:r/>
            <w:r>
              <w:rPr>
                <w:b w:val="0"/>
                <w:sz w:val="14"/>
              </w:rPr>
              <w:t>Record correction</w:t>
            </w:r>
          </w:p>
        </w:tc>
        <w:tc>
          <w:tcPr>
            <w:tcW w:type="dxa" w:w="3437"/>
            <w:vAlign w:val="center"/>
          </w:tcPr>
          <w:p>
            <w:r/>
            <w:r>
              <w:rPr>
                <w:b w:val="0"/>
                <w:sz w:val="14"/>
              </w:rPr>
              <w:t>Recalculate/re-underwrite if material</w:t>
            </w:r>
          </w:p>
        </w:tc>
      </w:tr>
      <w:tr>
        <w:tc>
          <w:tcPr>
            <w:tcW w:type="dxa" w:w="3437"/>
            <w:vAlign w:val="center"/>
          </w:tcPr>
          <w:p>
            <w:r/>
            <w:r>
              <w:rPr>
                <w:b w:val="0"/>
                <w:sz w:val="14"/>
              </w:rPr>
              <w:t>DTI 45.8%</w:t>
            </w:r>
          </w:p>
        </w:tc>
        <w:tc>
          <w:tcPr>
            <w:tcW w:type="dxa" w:w="3437"/>
            <w:vAlign w:val="center"/>
          </w:tcPr>
          <w:p>
            <w:r/>
            <w:r>
              <w:rPr>
                <w:b w:val="0"/>
                <w:sz w:val="14"/>
              </w:rPr>
              <w:t>Credit exception</w:t>
            </w:r>
          </w:p>
        </w:tc>
        <w:tc>
          <w:tcPr>
            <w:tcW w:type="dxa" w:w="3437"/>
            <w:vAlign w:val="center"/>
          </w:tcPr>
          <w:p>
            <w:r/>
            <w:r>
              <w:rPr>
                <w:b w:val="0"/>
                <w:sz w:val="14"/>
              </w:rPr>
              <w:t>Use E2 route under CEP/PLU</w:t>
            </w:r>
          </w:p>
        </w:tc>
      </w:tr>
      <w:tr>
        <w:tc>
          <w:tcPr>
            <w:tcW w:type="dxa" w:w="3437"/>
            <w:vAlign w:val="center"/>
          </w:tcPr>
          <w:p>
            <w:r/>
            <w:r>
              <w:rPr>
                <w:b w:val="0"/>
                <w:sz w:val="14"/>
              </w:rPr>
              <w:t>Approver lacks authority</w:t>
            </w:r>
          </w:p>
        </w:tc>
        <w:tc>
          <w:tcPr>
            <w:tcW w:type="dxa" w:w="3437"/>
            <w:vAlign w:val="center"/>
          </w:tcPr>
          <w:p>
            <w:r/>
            <w:r>
              <w:rPr>
                <w:b w:val="0"/>
                <w:sz w:val="14"/>
              </w:rPr>
              <w:t>Authority breach if already approved</w:t>
            </w:r>
          </w:p>
        </w:tc>
        <w:tc>
          <w:tcPr>
            <w:tcW w:type="dxa" w:w="3437"/>
            <w:vAlign w:val="center"/>
          </w:tcPr>
          <w:p>
            <w:r/>
            <w:r>
              <w:rPr>
                <w:b w:val="0"/>
                <w:sz w:val="14"/>
              </w:rPr>
              <w:t>Escalate/reapprove before action if still prospective</w:t>
            </w:r>
          </w:p>
        </w:tc>
      </w:tr>
      <w:tr>
        <w:tc>
          <w:tcPr>
            <w:tcW w:type="dxa" w:w="3437"/>
            <w:vAlign w:val="center"/>
          </w:tcPr>
          <w:p>
            <w:r/>
            <w:r>
              <w:rPr>
                <w:b w:val="0"/>
                <w:sz w:val="14"/>
              </w:rPr>
              <w:t>Missing signed condition</w:t>
            </w:r>
          </w:p>
        </w:tc>
        <w:tc>
          <w:tcPr>
            <w:tcW w:type="dxa" w:w="3437"/>
            <w:vAlign w:val="center"/>
          </w:tcPr>
          <w:p>
            <w:r/>
            <w:r>
              <w:rPr>
                <w:b w:val="0"/>
                <w:sz w:val="14"/>
              </w:rPr>
              <w:t>Pre-disbursement control gap</w:t>
            </w:r>
          </w:p>
        </w:tc>
        <w:tc>
          <w:tcPr>
            <w:tcW w:type="dxa" w:w="3437"/>
            <w:vAlign w:val="center"/>
          </w:tcPr>
          <w:p>
            <w:r/>
            <w:r>
              <w:rPr>
                <w:b w:val="0"/>
                <w:sz w:val="14"/>
              </w:rPr>
              <w:t>Do not release funds</w:t>
            </w:r>
          </w:p>
        </w:tc>
      </w:tr>
      <w:tr>
        <w:tc>
          <w:tcPr>
            <w:tcW w:type="dxa" w:w="3437"/>
            <w:vAlign w:val="center"/>
          </w:tcPr>
          <w:p>
            <w:r/>
            <w:r>
              <w:rPr>
                <w:b w:val="0"/>
                <w:sz w:val="14"/>
              </w:rPr>
              <w:t>Historical 2025 case shows 49% DTI</w:t>
            </w:r>
          </w:p>
        </w:tc>
        <w:tc>
          <w:tcPr>
            <w:tcW w:type="dxa" w:w="3437"/>
            <w:vAlign w:val="center"/>
          </w:tcPr>
          <w:p>
            <w:r/>
            <w:r>
              <w:rPr>
                <w:b w:val="0"/>
                <w:sz w:val="14"/>
              </w:rPr>
              <w:t>Possible closed transition case</w:t>
            </w:r>
          </w:p>
        </w:tc>
        <w:tc>
          <w:tcPr>
            <w:tcW w:type="dxa" w:w="3437"/>
            <w:vAlign w:val="center"/>
          </w:tcPr>
          <w:p>
            <w:r/>
            <w:r>
              <w:rPr>
                <w:b w:val="0"/>
                <w:sz w:val="14"/>
              </w:rPr>
              <w:t>Verify dates/version; never apply to current case</w:t>
            </w:r>
          </w:p>
        </w:tc>
      </w:tr>
      <w:tr>
        <w:tc>
          <w:tcPr>
            <w:tcW w:type="dxa" w:w="3437"/>
            <w:vAlign w:val="center"/>
          </w:tcPr>
          <w:p>
            <w:r/>
            <w:r>
              <w:rPr>
                <w:b w:val="0"/>
                <w:sz w:val="14"/>
              </w:rPr>
              <w:t>Bureau score changes after approval</w:t>
            </w:r>
          </w:p>
        </w:tc>
        <w:tc>
          <w:tcPr>
            <w:tcW w:type="dxa" w:w="3437"/>
            <w:vAlign w:val="center"/>
          </w:tcPr>
          <w:p>
            <w:r/>
            <w:r>
              <w:rPr>
                <w:b w:val="0"/>
                <w:sz w:val="14"/>
              </w:rPr>
              <w:t>Changed fact</w:t>
            </w:r>
          </w:p>
        </w:tc>
        <w:tc>
          <w:tcPr>
            <w:tcW w:type="dxa" w:w="3437"/>
            <w:vAlign w:val="center"/>
          </w:tcPr>
          <w:p>
            <w:r/>
            <w:r>
              <w:rPr>
                <w:b w:val="0"/>
                <w:sz w:val="14"/>
              </w:rPr>
              <w:t>Apply LDP/underwriting reassessment rules</w:t>
            </w:r>
          </w:p>
        </w:tc>
      </w:tr>
    </w:tbl>
    <w:p/>
    <w:p>
      <w:r>
        <w:br w:type="page"/>
      </w:r>
    </w:p>
    <w:p>
      <w:pPr>
        <w:pStyle w:val="Heading1"/>
      </w:pPr>
      <w:r>
        <w:t>Appendix L — Customer Service Quality Standards</w:t>
      </w:r>
    </w:p>
    <w:p>
      <w:r>
        <w:t>Service quality shall not override risk controls.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Situation</w:t>
            </w:r>
          </w:p>
        </w:tc>
        <w:tc>
          <w:tcPr>
            <w:tcW w:type="dxa" w:w="5155"/>
            <w:vAlign w:val="center"/>
            <w:shd w:fill="17365D"/>
          </w:tcPr>
          <w:p>
            <w:r/>
            <w:r>
              <w:rPr>
                <w:b/>
                <w:color w:val="FFFFFF"/>
                <w:sz w:val="15"/>
              </w:rPr>
              <w:t>Expected Response</w:t>
            </w:r>
          </w:p>
        </w:tc>
      </w:tr>
      <w:tr>
        <w:tc>
          <w:tcPr>
            <w:tcW w:type="dxa" w:w="5155"/>
            <w:vAlign w:val="center"/>
          </w:tcPr>
          <w:p>
            <w:r/>
            <w:r>
              <w:rPr>
                <w:b w:val="0"/>
                <w:sz w:val="14"/>
              </w:rPr>
              <w:t>Customer asks why document needed</w:t>
            </w:r>
          </w:p>
        </w:tc>
        <w:tc>
          <w:tcPr>
            <w:tcW w:type="dxa" w:w="5155"/>
            <w:vAlign w:val="center"/>
          </w:tcPr>
          <w:p>
            <w:r/>
            <w:r>
              <w:rPr>
                <w:b w:val="0"/>
                <w:sz w:val="14"/>
              </w:rPr>
              <w:t>Explain process purpose without inventing legal requirement</w:t>
            </w:r>
          </w:p>
        </w:tc>
      </w:tr>
      <w:tr>
        <w:tc>
          <w:tcPr>
            <w:tcW w:type="dxa" w:w="5155"/>
            <w:vAlign w:val="center"/>
          </w:tcPr>
          <w:p>
            <w:r/>
            <w:r>
              <w:rPr>
                <w:b w:val="0"/>
                <w:sz w:val="14"/>
              </w:rPr>
              <w:t>Customer upset about KYC hold</w:t>
            </w:r>
          </w:p>
        </w:tc>
        <w:tc>
          <w:tcPr>
            <w:tcW w:type="dxa" w:w="5155"/>
            <w:vAlign w:val="center"/>
          </w:tcPr>
          <w:p>
            <w:r/>
            <w:r>
              <w:rPr>
                <w:b w:val="0"/>
                <w:sz w:val="14"/>
              </w:rPr>
              <w:t>Explain status/next steps; do not promise specialist clearance</w:t>
            </w:r>
          </w:p>
        </w:tc>
      </w:tr>
      <w:tr>
        <w:tc>
          <w:tcPr>
            <w:tcW w:type="dxa" w:w="5155"/>
            <w:vAlign w:val="center"/>
          </w:tcPr>
          <w:p>
            <w:r/>
            <w:r>
              <w:rPr>
                <w:b w:val="0"/>
                <w:sz w:val="14"/>
              </w:rPr>
              <w:t>Application delayed</w:t>
            </w:r>
          </w:p>
        </w:tc>
        <w:tc>
          <w:tcPr>
            <w:tcW w:type="dxa" w:w="5155"/>
            <w:vAlign w:val="center"/>
          </w:tcPr>
          <w:p>
            <w:r/>
            <w:r>
              <w:rPr>
                <w:b w:val="0"/>
                <w:sz w:val="14"/>
              </w:rPr>
              <w:t>Give accurate status and escalation path</w:t>
            </w:r>
          </w:p>
        </w:tc>
      </w:tr>
      <w:tr>
        <w:tc>
          <w:tcPr>
            <w:tcW w:type="dxa" w:w="5155"/>
            <w:vAlign w:val="center"/>
          </w:tcPr>
          <w:p>
            <w:r/>
            <w:r>
              <w:rPr>
                <w:b w:val="0"/>
                <w:sz w:val="14"/>
              </w:rPr>
              <w:t>Customer alleges unauthorized action</w:t>
            </w:r>
          </w:p>
        </w:tc>
        <w:tc>
          <w:tcPr>
            <w:tcW w:type="dxa" w:w="5155"/>
            <w:vAlign w:val="center"/>
          </w:tcPr>
          <w:p>
            <w:r/>
            <w:r>
              <w:rPr>
                <w:b w:val="0"/>
                <w:sz w:val="14"/>
              </w:rPr>
              <w:t>Record complaint and protect account; fraud/security referral</w:t>
            </w:r>
          </w:p>
        </w:tc>
      </w:tr>
      <w:tr>
        <w:tc>
          <w:tcPr>
            <w:tcW w:type="dxa" w:w="5155"/>
            <w:vAlign w:val="center"/>
          </w:tcPr>
          <w:p>
            <w:r/>
            <w:r>
              <w:rPr>
                <w:b w:val="0"/>
                <w:sz w:val="14"/>
              </w:rPr>
              <w:t>Customer requests exception</w:t>
            </w:r>
          </w:p>
        </w:tc>
        <w:tc>
          <w:tcPr>
            <w:tcW w:type="dxa" w:w="5155"/>
            <w:vAlign w:val="center"/>
          </w:tcPr>
          <w:p>
            <w:r/>
            <w:r>
              <w:rPr>
                <w:b w:val="0"/>
                <w:sz w:val="14"/>
              </w:rPr>
              <w:t>Explain it requires authorized review; do not imply approval</w:t>
            </w:r>
          </w:p>
        </w:tc>
      </w:tr>
      <w:tr>
        <w:tc>
          <w:tcPr>
            <w:tcW w:type="dxa" w:w="5155"/>
            <w:vAlign w:val="center"/>
          </w:tcPr>
          <w:p>
            <w:r/>
            <w:r>
              <w:rPr>
                <w:b w:val="0"/>
                <w:sz w:val="14"/>
              </w:rPr>
              <w:t>Vulnerable customer</w:t>
            </w:r>
          </w:p>
        </w:tc>
        <w:tc>
          <w:tcPr>
            <w:tcW w:type="dxa" w:w="5155"/>
            <w:vAlign w:val="center"/>
          </w:tcPr>
          <w:p>
            <w:r/>
            <w:r>
              <w:rPr>
                <w:b w:val="0"/>
                <w:sz w:val="14"/>
              </w:rPr>
              <w:t>Use appropriate assistance and escalate fairness concerns</w:t>
            </w:r>
          </w:p>
        </w:tc>
      </w:tr>
    </w:tbl>
    <w:p/>
    <w:p>
      <w:r>
        <w:br w:type="page"/>
      </w:r>
    </w:p>
    <w:p>
      <w:pPr>
        <w:pStyle w:val="Heading1"/>
      </w:pPr>
      <w:r>
        <w:t>Appendix M — Record Correction Standard</w:t>
      </w:r>
    </w:p>
    <w:p>
      <w:r>
        <w:t>Corrections must preserve auditability and avoid retrospective fabrication.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Correction Type</w:t>
            </w:r>
          </w:p>
        </w:tc>
        <w:tc>
          <w:tcPr>
            <w:tcW w:type="dxa" w:w="5155"/>
            <w:vAlign w:val="center"/>
            <w:shd w:fill="17365D"/>
          </w:tcPr>
          <w:p>
            <w:r/>
            <w:r>
              <w:rPr>
                <w:b/>
                <w:color w:val="FFFFFF"/>
                <w:sz w:val="15"/>
              </w:rPr>
              <w:t>Required Record</w:t>
            </w:r>
          </w:p>
        </w:tc>
      </w:tr>
      <w:tr>
        <w:tc>
          <w:tcPr>
            <w:tcW w:type="dxa" w:w="5155"/>
            <w:vAlign w:val="center"/>
          </w:tcPr>
          <w:p>
            <w:r/>
            <w:r>
              <w:rPr>
                <w:b w:val="0"/>
                <w:sz w:val="14"/>
              </w:rPr>
              <w:t>Typographical error</w:t>
            </w:r>
          </w:p>
        </w:tc>
        <w:tc>
          <w:tcPr>
            <w:tcW w:type="dxa" w:w="5155"/>
            <w:vAlign w:val="center"/>
          </w:tcPr>
          <w:p>
            <w:r/>
            <w:r>
              <w:rPr>
                <w:b w:val="0"/>
                <w:sz w:val="14"/>
              </w:rPr>
              <w:t>Correct value + reason if material</w:t>
            </w:r>
          </w:p>
        </w:tc>
      </w:tr>
      <w:tr>
        <w:tc>
          <w:tcPr>
            <w:tcW w:type="dxa" w:w="5155"/>
            <w:vAlign w:val="center"/>
          </w:tcPr>
          <w:p>
            <w:r/>
            <w:r>
              <w:rPr>
                <w:b w:val="0"/>
                <w:sz w:val="14"/>
              </w:rPr>
              <w:t>Wrong uploaded document</w:t>
            </w:r>
          </w:p>
        </w:tc>
        <w:tc>
          <w:tcPr>
            <w:tcW w:type="dxa" w:w="5155"/>
            <w:vAlign w:val="center"/>
          </w:tcPr>
          <w:p>
            <w:r/>
            <w:r>
              <w:rPr>
                <w:b w:val="0"/>
                <w:sz w:val="14"/>
              </w:rPr>
              <w:t>Replace while retaining/recording prior source per system capability</w:t>
            </w:r>
          </w:p>
        </w:tc>
      </w:tr>
      <w:tr>
        <w:tc>
          <w:tcPr>
            <w:tcW w:type="dxa" w:w="5155"/>
            <w:vAlign w:val="center"/>
          </w:tcPr>
          <w:p>
            <w:r/>
            <w:r>
              <w:rPr>
                <w:b w:val="0"/>
                <w:sz w:val="14"/>
              </w:rPr>
              <w:t>Approval amount error</w:t>
            </w:r>
          </w:p>
        </w:tc>
        <w:tc>
          <w:tcPr>
            <w:tcW w:type="dxa" w:w="5155"/>
            <w:vAlign w:val="center"/>
          </w:tcPr>
          <w:p>
            <w:r/>
            <w:r>
              <w:rPr>
                <w:b w:val="0"/>
                <w:sz w:val="14"/>
              </w:rPr>
              <w:t>Do not edit approval to hide issue; obtain valid reapproval</w:t>
            </w:r>
          </w:p>
        </w:tc>
      </w:tr>
      <w:tr>
        <w:tc>
          <w:tcPr>
            <w:tcW w:type="dxa" w:w="5155"/>
            <w:vAlign w:val="center"/>
          </w:tcPr>
          <w:p>
            <w:r/>
            <w:r>
              <w:rPr>
                <w:b w:val="0"/>
                <w:sz w:val="14"/>
              </w:rPr>
              <w:t>Missing checker</w:t>
            </w:r>
          </w:p>
        </w:tc>
        <w:tc>
          <w:tcPr>
            <w:tcW w:type="dxa" w:w="5155"/>
            <w:vAlign w:val="center"/>
          </w:tcPr>
          <w:p>
            <w:r/>
            <w:r>
              <w:rPr>
                <w:b w:val="0"/>
                <w:sz w:val="14"/>
              </w:rPr>
              <w:t>Do not backdate/fabricate checker step</w:t>
            </w:r>
          </w:p>
        </w:tc>
      </w:tr>
      <w:tr>
        <w:tc>
          <w:tcPr>
            <w:tcW w:type="dxa" w:w="5155"/>
            <w:vAlign w:val="center"/>
          </w:tcPr>
          <w:p>
            <w:r/>
            <w:r>
              <w:rPr>
                <w:b w:val="0"/>
                <w:sz w:val="14"/>
              </w:rPr>
              <w:t>Incorrect customer address</w:t>
            </w:r>
          </w:p>
        </w:tc>
        <w:tc>
          <w:tcPr>
            <w:tcW w:type="dxa" w:w="5155"/>
            <w:vAlign w:val="center"/>
          </w:tcPr>
          <w:p>
            <w:r/>
            <w:r>
              <w:rPr>
                <w:b w:val="0"/>
                <w:sz w:val="14"/>
              </w:rPr>
              <w:t>Update through KYC/customer-master control</w:t>
            </w:r>
          </w:p>
        </w:tc>
      </w:tr>
      <w:tr>
        <w:tc>
          <w:tcPr>
            <w:tcW w:type="dxa" w:w="5155"/>
            <w:vAlign w:val="center"/>
          </w:tcPr>
          <w:p>
            <w:r/>
            <w:r>
              <w:rPr>
                <w:b w:val="0"/>
                <w:sz w:val="14"/>
              </w:rPr>
              <w:t>Wrong beneficiary</w:t>
            </w:r>
          </w:p>
        </w:tc>
        <w:tc>
          <w:tcPr>
            <w:tcW w:type="dxa" w:w="5155"/>
            <w:vAlign w:val="center"/>
          </w:tcPr>
          <w:p>
            <w:r/>
            <w:r>
              <w:rPr>
                <w:b w:val="0"/>
                <w:sz w:val="14"/>
              </w:rPr>
              <w:t>Stop payment if possible; incident/fraud escalation</w:t>
            </w:r>
          </w:p>
        </w:tc>
      </w:tr>
      <w:tr>
        <w:tc>
          <w:tcPr>
            <w:tcW w:type="dxa" w:w="5155"/>
            <w:vAlign w:val="center"/>
          </w:tcPr>
          <w:p>
            <w:r/>
            <w:r>
              <w:rPr>
                <w:b w:val="0"/>
                <w:sz w:val="14"/>
              </w:rPr>
              <w:t>Case note error</w:t>
            </w:r>
          </w:p>
        </w:tc>
        <w:tc>
          <w:tcPr>
            <w:tcW w:type="dxa" w:w="5155"/>
            <w:vAlign w:val="center"/>
          </w:tcPr>
          <w:p>
            <w:r/>
            <w:r>
              <w:rPr>
                <w:b w:val="0"/>
                <w:sz w:val="14"/>
              </w:rPr>
              <w:t>Add correcting note referencing prior entry</w:t>
            </w:r>
          </w:p>
        </w:tc>
      </w:tr>
    </w:tbl>
    <w:p/>
    <w:p>
      <w:r>
        <w:br w:type="page"/>
      </w:r>
    </w:p>
    <w:p>
      <w:pPr>
        <w:pStyle w:val="Heading1"/>
      </w:pPr>
      <w:r>
        <w:t>Appendix N — Operational Incident Severity Guide</w:t>
      </w:r>
    </w:p>
    <w:p>
      <w:r>
        <w:t>Until the dedicated Operational Risk Incident Procedure is issued, use this internal guide and RMF-008 judgment.</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Level</w:t>
            </w:r>
          </w:p>
        </w:tc>
        <w:tc>
          <w:tcPr>
            <w:tcW w:type="dxa" w:w="3437"/>
            <w:vAlign w:val="center"/>
            <w:shd w:fill="17365D"/>
          </w:tcPr>
          <w:p>
            <w:r/>
            <w:r>
              <w:rPr>
                <w:b/>
                <w:color w:val="FFFFFF"/>
                <w:sz w:val="15"/>
              </w:rPr>
              <w:t>Illustrative Characteristics</w:t>
            </w:r>
          </w:p>
        </w:tc>
        <w:tc>
          <w:tcPr>
            <w:tcW w:type="dxa" w:w="3437"/>
            <w:vAlign w:val="center"/>
            <w:shd w:fill="17365D"/>
          </w:tcPr>
          <w:p>
            <w:r/>
            <w:r>
              <w:rPr>
                <w:b/>
                <w:color w:val="FFFFFF"/>
                <w:sz w:val="15"/>
              </w:rPr>
              <w:t>Escalation</w:t>
            </w:r>
          </w:p>
        </w:tc>
      </w:tr>
      <w:tr>
        <w:tc>
          <w:tcPr>
            <w:tcW w:type="dxa" w:w="3437"/>
            <w:vAlign w:val="center"/>
          </w:tcPr>
          <w:p>
            <w:r/>
            <w:r>
              <w:rPr>
                <w:b w:val="0"/>
                <w:sz w:val="14"/>
              </w:rPr>
              <w:t>O1 Minor</w:t>
            </w:r>
          </w:p>
        </w:tc>
        <w:tc>
          <w:tcPr>
            <w:tcW w:type="dxa" w:w="3437"/>
            <w:vAlign w:val="center"/>
          </w:tcPr>
          <w:p>
            <w:r/>
            <w:r>
              <w:rPr>
                <w:b w:val="0"/>
                <w:sz w:val="14"/>
              </w:rPr>
              <w:t>Contained error, no customer/financial impact</w:t>
            </w:r>
          </w:p>
        </w:tc>
        <w:tc>
          <w:tcPr>
            <w:tcW w:type="dxa" w:w="3437"/>
            <w:vAlign w:val="center"/>
          </w:tcPr>
          <w:p>
            <w:r/>
            <w:r>
              <w:rPr>
                <w:b w:val="0"/>
                <w:sz w:val="14"/>
              </w:rPr>
              <w:t>Manager / routine QA</w:t>
            </w:r>
          </w:p>
        </w:tc>
      </w:tr>
      <w:tr>
        <w:tc>
          <w:tcPr>
            <w:tcW w:type="dxa" w:w="3437"/>
            <w:vAlign w:val="center"/>
          </w:tcPr>
          <w:p>
            <w:r/>
            <w:r>
              <w:rPr>
                <w:b w:val="0"/>
                <w:sz w:val="14"/>
              </w:rPr>
              <w:t>O2 Moderate</w:t>
            </w:r>
          </w:p>
        </w:tc>
        <w:tc>
          <w:tcPr>
            <w:tcW w:type="dxa" w:w="3437"/>
            <w:vAlign w:val="center"/>
          </w:tcPr>
          <w:p>
            <w:r/>
            <w:r>
              <w:rPr>
                <w:b w:val="0"/>
                <w:sz w:val="14"/>
              </w:rPr>
              <w:t>Limited customer delay/rework or repeat control weakness</w:t>
            </w:r>
          </w:p>
        </w:tc>
        <w:tc>
          <w:tcPr>
            <w:tcW w:type="dxa" w:w="3437"/>
            <w:vAlign w:val="center"/>
          </w:tcPr>
          <w:p>
            <w:r/>
            <w:r>
              <w:rPr>
                <w:b w:val="0"/>
                <w:sz w:val="14"/>
              </w:rPr>
              <w:t>Operations Governance / Risk as needed</w:t>
            </w:r>
          </w:p>
        </w:tc>
      </w:tr>
      <w:tr>
        <w:tc>
          <w:tcPr>
            <w:tcW w:type="dxa" w:w="3437"/>
            <w:vAlign w:val="center"/>
          </w:tcPr>
          <w:p>
            <w:r/>
            <w:r>
              <w:rPr>
                <w:b w:val="0"/>
                <w:sz w:val="14"/>
              </w:rPr>
              <w:t>O3 High</w:t>
            </w:r>
          </w:p>
        </w:tc>
        <w:tc>
          <w:tcPr>
            <w:tcW w:type="dxa" w:w="3437"/>
            <w:vAlign w:val="center"/>
          </w:tcPr>
          <w:p>
            <w:r/>
            <w:r>
              <w:rPr>
                <w:b w:val="0"/>
                <w:sz w:val="14"/>
              </w:rPr>
              <w:t>Material customer/financial/control impact</w:t>
            </w:r>
          </w:p>
        </w:tc>
        <w:tc>
          <w:tcPr>
            <w:tcW w:type="dxa" w:w="3437"/>
            <w:vAlign w:val="center"/>
          </w:tcPr>
          <w:p>
            <w:r/>
            <w:r>
              <w:rPr>
                <w:b w:val="0"/>
                <w:sz w:val="14"/>
              </w:rPr>
              <w:t>Senior Operations + Risk + specialist referrals</w:t>
            </w:r>
          </w:p>
        </w:tc>
      </w:tr>
      <w:tr>
        <w:tc>
          <w:tcPr>
            <w:tcW w:type="dxa" w:w="3437"/>
            <w:vAlign w:val="center"/>
          </w:tcPr>
          <w:p>
            <w:r/>
            <w:r>
              <w:rPr>
                <w:b w:val="0"/>
                <w:sz w:val="14"/>
              </w:rPr>
              <w:t>O4 Critical</w:t>
            </w:r>
          </w:p>
        </w:tc>
        <w:tc>
          <w:tcPr>
            <w:tcW w:type="dxa" w:w="3437"/>
            <w:vAlign w:val="center"/>
          </w:tcPr>
          <w:p>
            <w:r/>
            <w:r>
              <w:rPr>
                <w:b w:val="0"/>
                <w:sz w:val="14"/>
              </w:rPr>
              <w:t>Systemic/severe customer, financial or operational impact</w:t>
            </w:r>
          </w:p>
        </w:tc>
        <w:tc>
          <w:tcPr>
            <w:tcW w:type="dxa" w:w="3437"/>
            <w:vAlign w:val="center"/>
          </w:tcPr>
          <w:p>
            <w:r/>
            <w:r>
              <w:rPr>
                <w:b w:val="0"/>
                <w:sz w:val="14"/>
              </w:rPr>
              <w:t>Executive/CRO/COO and relevant specialist teams</w:t>
            </w:r>
          </w:p>
        </w:tc>
      </w:tr>
    </w:tbl>
    <w:p/>
    <w:p>
      <w:r>
        <w:br w:type="page"/>
      </w:r>
    </w:p>
    <w:p>
      <w:pPr>
        <w:pStyle w:val="Heading1"/>
      </w:pPr>
      <w:r>
        <w:t>Appendix O — Employee Access Responsibilities</w:t>
      </w:r>
    </w:p>
    <w:p>
      <w:r>
        <w:t>Employees share responsibility for correct access even though IAM provisions it.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Employee/Manager Action</w:t>
            </w:r>
          </w:p>
        </w:tc>
        <w:tc>
          <w:tcPr>
            <w:tcW w:type="dxa" w:w="5155"/>
            <w:vAlign w:val="center"/>
            <w:shd w:fill="17365D"/>
          </w:tcPr>
          <w:p>
            <w:r/>
            <w:r>
              <w:rPr>
                <w:b/>
                <w:color w:val="FFFFFF"/>
                <w:sz w:val="15"/>
              </w:rPr>
              <w:t>Expectation</w:t>
            </w:r>
          </w:p>
        </w:tc>
      </w:tr>
      <w:tr>
        <w:tc>
          <w:tcPr>
            <w:tcW w:type="dxa" w:w="5155"/>
            <w:vAlign w:val="center"/>
          </w:tcPr>
          <w:p>
            <w:r/>
            <w:r>
              <w:rPr>
                <w:b w:val="0"/>
                <w:sz w:val="14"/>
              </w:rPr>
              <w:t>New access</w:t>
            </w:r>
          </w:p>
        </w:tc>
        <w:tc>
          <w:tcPr>
            <w:tcW w:type="dxa" w:w="5155"/>
            <w:vAlign w:val="center"/>
          </w:tcPr>
          <w:p>
            <w:r/>
            <w:r>
              <w:rPr>
                <w:b w:val="0"/>
                <w:sz w:val="14"/>
              </w:rPr>
              <w:t>Request minimum needed role</w:t>
            </w:r>
          </w:p>
        </w:tc>
      </w:tr>
      <w:tr>
        <w:tc>
          <w:tcPr>
            <w:tcW w:type="dxa" w:w="5155"/>
            <w:vAlign w:val="center"/>
          </w:tcPr>
          <w:p>
            <w:r/>
            <w:r>
              <w:rPr>
                <w:b w:val="0"/>
                <w:sz w:val="14"/>
              </w:rPr>
              <w:t>Temporary access</w:t>
            </w:r>
          </w:p>
        </w:tc>
        <w:tc>
          <w:tcPr>
            <w:tcW w:type="dxa" w:w="5155"/>
            <w:vAlign w:val="center"/>
          </w:tcPr>
          <w:p>
            <w:r/>
            <w:r>
              <w:rPr>
                <w:b w:val="0"/>
                <w:sz w:val="14"/>
              </w:rPr>
              <w:t>Specify expiry</w:t>
            </w:r>
          </w:p>
        </w:tc>
      </w:tr>
      <w:tr>
        <w:tc>
          <w:tcPr>
            <w:tcW w:type="dxa" w:w="5155"/>
            <w:vAlign w:val="center"/>
          </w:tcPr>
          <w:p>
            <w:r/>
            <w:r>
              <w:rPr>
                <w:b w:val="0"/>
                <w:sz w:val="14"/>
              </w:rPr>
              <w:t>Role change</w:t>
            </w:r>
          </w:p>
        </w:tc>
        <w:tc>
          <w:tcPr>
            <w:tcW w:type="dxa" w:w="5155"/>
            <w:vAlign w:val="center"/>
          </w:tcPr>
          <w:p>
            <w:r/>
            <w:r>
              <w:rPr>
                <w:b w:val="0"/>
                <w:sz w:val="14"/>
              </w:rPr>
              <w:t>Identify old access that should end</w:t>
            </w:r>
          </w:p>
        </w:tc>
      </w:tr>
      <w:tr>
        <w:tc>
          <w:tcPr>
            <w:tcW w:type="dxa" w:w="5155"/>
            <w:vAlign w:val="center"/>
          </w:tcPr>
          <w:p>
            <w:r/>
            <w:r>
              <w:rPr>
                <w:b w:val="0"/>
                <w:sz w:val="14"/>
              </w:rPr>
              <w:t>Access review</w:t>
            </w:r>
          </w:p>
        </w:tc>
        <w:tc>
          <w:tcPr>
            <w:tcW w:type="dxa" w:w="5155"/>
            <w:vAlign w:val="center"/>
          </w:tcPr>
          <w:p>
            <w:r/>
            <w:r>
              <w:rPr>
                <w:b w:val="0"/>
                <w:sz w:val="14"/>
              </w:rPr>
              <w:t>Actually verify need; do not rubber-stamp</w:t>
            </w:r>
          </w:p>
        </w:tc>
      </w:tr>
      <w:tr>
        <w:tc>
          <w:tcPr>
            <w:tcW w:type="dxa" w:w="5155"/>
            <w:vAlign w:val="center"/>
          </w:tcPr>
          <w:p>
            <w:r/>
            <w:r>
              <w:rPr>
                <w:b w:val="0"/>
                <w:sz w:val="14"/>
              </w:rPr>
              <w:t>Privileged access</w:t>
            </w:r>
          </w:p>
        </w:tc>
        <w:tc>
          <w:tcPr>
            <w:tcW w:type="dxa" w:w="5155"/>
            <w:vAlign w:val="center"/>
          </w:tcPr>
          <w:p>
            <w:r/>
            <w:r>
              <w:rPr>
                <w:b w:val="0"/>
                <w:sz w:val="14"/>
              </w:rPr>
              <w:t>Use only for admin tasks</w:t>
            </w:r>
          </w:p>
        </w:tc>
      </w:tr>
      <w:tr>
        <w:tc>
          <w:tcPr>
            <w:tcW w:type="dxa" w:w="5155"/>
            <w:vAlign w:val="center"/>
          </w:tcPr>
          <w:p>
            <w:r/>
            <w:r>
              <w:rPr>
                <w:b w:val="0"/>
                <w:sz w:val="14"/>
              </w:rPr>
              <w:t>Vendor account</w:t>
            </w:r>
          </w:p>
        </w:tc>
        <w:tc>
          <w:tcPr>
            <w:tcW w:type="dxa" w:w="5155"/>
            <w:vAlign w:val="center"/>
          </w:tcPr>
          <w:p>
            <w:r/>
            <w:r>
              <w:rPr>
                <w:b w:val="0"/>
                <w:sz w:val="14"/>
              </w:rPr>
              <w:t>Sponsor only while engagement requires</w:t>
            </w:r>
          </w:p>
        </w:tc>
      </w:tr>
      <w:tr>
        <w:tc>
          <w:tcPr>
            <w:tcW w:type="dxa" w:w="5155"/>
            <w:vAlign w:val="center"/>
          </w:tcPr>
          <w:p>
            <w:r/>
            <w:r>
              <w:rPr>
                <w:b w:val="0"/>
                <w:sz w:val="14"/>
              </w:rPr>
              <w:t>Unexpected access</w:t>
            </w:r>
          </w:p>
        </w:tc>
        <w:tc>
          <w:tcPr>
            <w:tcW w:type="dxa" w:w="5155"/>
            <w:vAlign w:val="center"/>
          </w:tcPr>
          <w:p>
            <w:r/>
            <w:r>
              <w:rPr>
                <w:b w:val="0"/>
                <w:sz w:val="14"/>
              </w:rPr>
              <w:t>Report entitlement you do not need</w:t>
            </w:r>
          </w:p>
        </w:tc>
      </w:tr>
      <w:tr>
        <w:tc>
          <w:tcPr>
            <w:tcW w:type="dxa" w:w="5155"/>
            <w:vAlign w:val="center"/>
          </w:tcPr>
          <w:p>
            <w:r/>
            <w:r>
              <w:rPr>
                <w:b w:val="0"/>
                <w:sz w:val="14"/>
              </w:rPr>
              <w:t>MFA prompts</w:t>
            </w:r>
          </w:p>
        </w:tc>
        <w:tc>
          <w:tcPr>
            <w:tcW w:type="dxa" w:w="5155"/>
            <w:vAlign w:val="center"/>
          </w:tcPr>
          <w:p>
            <w:r/>
            <w:r>
              <w:rPr>
                <w:b w:val="0"/>
                <w:sz w:val="14"/>
              </w:rPr>
              <w:t>Reject unexpected prompts and report</w:t>
            </w:r>
          </w:p>
        </w:tc>
      </w:tr>
      <w:tr>
        <w:tc>
          <w:tcPr>
            <w:tcW w:type="dxa" w:w="5155"/>
            <w:vAlign w:val="center"/>
          </w:tcPr>
          <w:p>
            <w:r/>
            <w:r>
              <w:rPr>
                <w:b w:val="0"/>
                <w:sz w:val="14"/>
              </w:rPr>
              <w:t>Leaver</w:t>
            </w:r>
          </w:p>
        </w:tc>
        <w:tc>
          <w:tcPr>
            <w:tcW w:type="dxa" w:w="5155"/>
            <w:vAlign w:val="center"/>
          </w:tcPr>
          <w:p>
            <w:r/>
            <w:r>
              <w:rPr>
                <w:b w:val="0"/>
                <w:sz w:val="14"/>
              </w:rPr>
              <w:t>Manager confirms access/asset closure</w:t>
            </w:r>
          </w:p>
        </w:tc>
      </w:tr>
    </w:tbl>
    <w:p/>
    <w:p>
      <w:r>
        <w:br w:type="page"/>
      </w:r>
    </w:p>
    <w:p>
      <w:pPr>
        <w:pStyle w:val="Heading1"/>
      </w:pPr>
      <w:r>
        <w:t>Appendix P — Information Handling by Workspace</w:t>
      </w:r>
    </w:p>
    <w:p>
      <w:r>
        <w:t>Physical and digital workspace affects handling risk.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Workspace</w:t>
            </w:r>
          </w:p>
        </w:tc>
        <w:tc>
          <w:tcPr>
            <w:tcW w:type="dxa" w:w="5155"/>
            <w:vAlign w:val="center"/>
            <w:shd w:fill="17365D"/>
          </w:tcPr>
          <w:p>
            <w:r/>
            <w:r>
              <w:rPr>
                <w:b/>
                <w:color w:val="FFFFFF"/>
                <w:sz w:val="15"/>
              </w:rPr>
              <w:t>Control</w:t>
            </w:r>
          </w:p>
        </w:tc>
      </w:tr>
      <w:tr>
        <w:tc>
          <w:tcPr>
            <w:tcW w:type="dxa" w:w="5155"/>
            <w:vAlign w:val="center"/>
          </w:tcPr>
          <w:p>
            <w:r/>
            <w:r>
              <w:rPr>
                <w:b w:val="0"/>
                <w:sz w:val="14"/>
              </w:rPr>
              <w:t>Branch counter</w:t>
            </w:r>
          </w:p>
        </w:tc>
        <w:tc>
          <w:tcPr>
            <w:tcW w:type="dxa" w:w="5155"/>
            <w:vAlign w:val="center"/>
          </w:tcPr>
          <w:p>
            <w:r/>
            <w:r>
              <w:rPr>
                <w:b w:val="0"/>
                <w:sz w:val="14"/>
              </w:rPr>
              <w:t>Keep documents/screens out of view of other customers</w:t>
            </w:r>
          </w:p>
        </w:tc>
      </w:tr>
      <w:tr>
        <w:tc>
          <w:tcPr>
            <w:tcW w:type="dxa" w:w="5155"/>
            <w:vAlign w:val="center"/>
          </w:tcPr>
          <w:p>
            <w:r/>
            <w:r>
              <w:rPr>
                <w:b w:val="0"/>
                <w:sz w:val="14"/>
              </w:rPr>
              <w:t>Open office</w:t>
            </w:r>
          </w:p>
        </w:tc>
        <w:tc>
          <w:tcPr>
            <w:tcW w:type="dxa" w:w="5155"/>
            <w:vAlign w:val="center"/>
          </w:tcPr>
          <w:p>
            <w:r/>
            <w:r>
              <w:rPr>
                <w:b w:val="0"/>
                <w:sz w:val="14"/>
              </w:rPr>
              <w:t>Use screen lock and secure print</w:t>
            </w:r>
          </w:p>
        </w:tc>
      </w:tr>
      <w:tr>
        <w:tc>
          <w:tcPr>
            <w:tcW w:type="dxa" w:w="5155"/>
            <w:vAlign w:val="center"/>
          </w:tcPr>
          <w:p>
            <w:r/>
            <w:r>
              <w:rPr>
                <w:b w:val="0"/>
                <w:sz w:val="14"/>
              </w:rPr>
              <w:t>Home</w:t>
            </w:r>
          </w:p>
        </w:tc>
        <w:tc>
          <w:tcPr>
            <w:tcW w:type="dxa" w:w="5155"/>
            <w:vAlign w:val="center"/>
          </w:tcPr>
          <w:p>
            <w:r/>
            <w:r>
              <w:rPr>
                <w:b w:val="0"/>
                <w:sz w:val="14"/>
              </w:rPr>
              <w:t>Prevent household/visitor access; secure disposal</w:t>
            </w:r>
          </w:p>
        </w:tc>
      </w:tr>
      <w:tr>
        <w:tc>
          <w:tcPr>
            <w:tcW w:type="dxa" w:w="5155"/>
            <w:vAlign w:val="center"/>
          </w:tcPr>
          <w:p>
            <w:r/>
            <w:r>
              <w:rPr>
                <w:b w:val="0"/>
                <w:sz w:val="14"/>
              </w:rPr>
              <w:t>Travel/public area</w:t>
            </w:r>
          </w:p>
        </w:tc>
        <w:tc>
          <w:tcPr>
            <w:tcW w:type="dxa" w:w="5155"/>
            <w:vAlign w:val="center"/>
          </w:tcPr>
          <w:p>
            <w:r/>
            <w:r>
              <w:rPr>
                <w:b w:val="0"/>
                <w:sz w:val="14"/>
              </w:rPr>
              <w:t>Avoid Restricted discussions; use privacy controls</w:t>
            </w:r>
          </w:p>
        </w:tc>
      </w:tr>
      <w:tr>
        <w:tc>
          <w:tcPr>
            <w:tcW w:type="dxa" w:w="5155"/>
            <w:vAlign w:val="center"/>
          </w:tcPr>
          <w:p>
            <w:r/>
            <w:r>
              <w:rPr>
                <w:b w:val="0"/>
                <w:sz w:val="14"/>
              </w:rPr>
              <w:t>Meeting room</w:t>
            </w:r>
          </w:p>
        </w:tc>
        <w:tc>
          <w:tcPr>
            <w:tcW w:type="dxa" w:w="5155"/>
            <w:vAlign w:val="center"/>
          </w:tcPr>
          <w:p>
            <w:r/>
            <w:r>
              <w:rPr>
                <w:b w:val="0"/>
                <w:sz w:val="14"/>
              </w:rPr>
              <w:t>Remove sensitive whiteboard/papers after meeting</w:t>
            </w:r>
          </w:p>
        </w:tc>
      </w:tr>
      <w:tr>
        <w:tc>
          <w:tcPr>
            <w:tcW w:type="dxa" w:w="5155"/>
            <w:vAlign w:val="center"/>
          </w:tcPr>
          <w:p>
            <w:r/>
            <w:r>
              <w:rPr>
                <w:b w:val="0"/>
                <w:sz w:val="14"/>
              </w:rPr>
              <w:t>Shared drive</w:t>
            </w:r>
          </w:p>
        </w:tc>
        <w:tc>
          <w:tcPr>
            <w:tcW w:type="dxa" w:w="5155"/>
            <w:vAlign w:val="center"/>
          </w:tcPr>
          <w:p>
            <w:r/>
            <w:r>
              <w:rPr>
                <w:b w:val="0"/>
                <w:sz w:val="14"/>
              </w:rPr>
              <w:t>Use role-based folders rather than broad “everyone” access</w:t>
            </w:r>
          </w:p>
        </w:tc>
      </w:tr>
      <w:tr>
        <w:tc>
          <w:tcPr>
            <w:tcW w:type="dxa" w:w="5155"/>
            <w:vAlign w:val="center"/>
          </w:tcPr>
          <w:p>
            <w:r/>
            <w:r>
              <w:rPr>
                <w:b w:val="0"/>
                <w:sz w:val="14"/>
              </w:rPr>
              <w:t>Chat/collaboration</w:t>
            </w:r>
          </w:p>
        </w:tc>
        <w:tc>
          <w:tcPr>
            <w:tcW w:type="dxa" w:w="5155"/>
            <w:vAlign w:val="center"/>
          </w:tcPr>
          <w:p>
            <w:r/>
            <w:r>
              <w:rPr>
                <w:b w:val="0"/>
                <w:sz w:val="14"/>
              </w:rPr>
              <w:t>Use approved platform and minimum necessary data</w:t>
            </w:r>
          </w:p>
        </w:tc>
      </w:tr>
    </w:tbl>
    <w:p/>
    <w:p>
      <w:r>
        <w:br w:type="page"/>
      </w:r>
    </w:p>
    <w:p>
      <w:pPr>
        <w:pStyle w:val="Heading1"/>
      </w:pPr>
      <w:r>
        <w:t>Appendix Q — Employee Security Response Guide</w:t>
      </w:r>
    </w:p>
    <w:p>
      <w:r>
        <w:t>Employees are reporters, not forensic investigators.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Observation</w:t>
            </w:r>
          </w:p>
        </w:tc>
        <w:tc>
          <w:tcPr>
            <w:tcW w:type="dxa" w:w="3437"/>
            <w:vAlign w:val="center"/>
            <w:shd w:fill="17365D"/>
          </w:tcPr>
          <w:p>
            <w:r/>
            <w:r>
              <w:rPr>
                <w:b/>
                <w:color w:val="FFFFFF"/>
                <w:sz w:val="15"/>
              </w:rPr>
              <w:t>Do</w:t>
            </w:r>
          </w:p>
        </w:tc>
        <w:tc>
          <w:tcPr>
            <w:tcW w:type="dxa" w:w="3437"/>
            <w:vAlign w:val="center"/>
            <w:shd w:fill="17365D"/>
          </w:tcPr>
          <w:p>
            <w:r/>
            <w:r>
              <w:rPr>
                <w:b/>
                <w:color w:val="FFFFFF"/>
                <w:sz w:val="15"/>
              </w:rPr>
              <w:t>Do Not</w:t>
            </w:r>
          </w:p>
        </w:tc>
      </w:tr>
      <w:tr>
        <w:tc>
          <w:tcPr>
            <w:tcW w:type="dxa" w:w="3437"/>
            <w:vAlign w:val="center"/>
          </w:tcPr>
          <w:p>
            <w:r/>
            <w:r>
              <w:rPr>
                <w:b w:val="0"/>
                <w:sz w:val="14"/>
              </w:rPr>
              <w:t>Suspicious email</w:t>
            </w:r>
          </w:p>
        </w:tc>
        <w:tc>
          <w:tcPr>
            <w:tcW w:type="dxa" w:w="3437"/>
            <w:vAlign w:val="center"/>
          </w:tcPr>
          <w:p>
            <w:r/>
            <w:r>
              <w:rPr>
                <w:b w:val="0"/>
                <w:sz w:val="14"/>
              </w:rPr>
              <w:t>Report using approved channel</w:t>
            </w:r>
          </w:p>
        </w:tc>
        <w:tc>
          <w:tcPr>
            <w:tcW w:type="dxa" w:w="3437"/>
            <w:vAlign w:val="center"/>
          </w:tcPr>
          <w:p>
            <w:r/>
            <w:r>
              <w:rPr>
                <w:b w:val="0"/>
                <w:sz w:val="14"/>
              </w:rPr>
              <w:t>Forward broadly or repeatedly open links</w:t>
            </w:r>
          </w:p>
        </w:tc>
      </w:tr>
      <w:tr>
        <w:tc>
          <w:tcPr>
            <w:tcW w:type="dxa" w:w="3437"/>
            <w:vAlign w:val="center"/>
          </w:tcPr>
          <w:p>
            <w:r/>
            <w:r>
              <w:rPr>
                <w:b w:val="0"/>
                <w:sz w:val="14"/>
              </w:rPr>
              <w:t>Unexpected MFA</w:t>
            </w:r>
          </w:p>
        </w:tc>
        <w:tc>
          <w:tcPr>
            <w:tcW w:type="dxa" w:w="3437"/>
            <w:vAlign w:val="center"/>
          </w:tcPr>
          <w:p>
            <w:r/>
            <w:r>
              <w:rPr>
                <w:b w:val="0"/>
                <w:sz w:val="14"/>
              </w:rPr>
              <w:t>Deny/report</w:t>
            </w:r>
          </w:p>
        </w:tc>
        <w:tc>
          <w:tcPr>
            <w:tcW w:type="dxa" w:w="3437"/>
            <w:vAlign w:val="center"/>
          </w:tcPr>
          <w:p>
            <w:r/>
            <w:r>
              <w:rPr>
                <w:b w:val="0"/>
                <w:sz w:val="14"/>
              </w:rPr>
              <w:t>Approve to make prompts stop</w:t>
            </w:r>
          </w:p>
        </w:tc>
      </w:tr>
      <w:tr>
        <w:tc>
          <w:tcPr>
            <w:tcW w:type="dxa" w:w="3437"/>
            <w:vAlign w:val="center"/>
          </w:tcPr>
          <w:p>
            <w:r/>
            <w:r>
              <w:rPr>
                <w:b w:val="0"/>
                <w:sz w:val="14"/>
              </w:rPr>
              <w:t>Lost device</w:t>
            </w:r>
          </w:p>
        </w:tc>
        <w:tc>
          <w:tcPr>
            <w:tcW w:type="dxa" w:w="3437"/>
            <w:vAlign w:val="center"/>
          </w:tcPr>
          <w:p>
            <w:r/>
            <w:r>
              <w:rPr>
                <w:b w:val="0"/>
                <w:sz w:val="14"/>
              </w:rPr>
              <w:t>Report immediately</w:t>
            </w:r>
          </w:p>
        </w:tc>
        <w:tc>
          <w:tcPr>
            <w:tcW w:type="dxa" w:w="3437"/>
            <w:vAlign w:val="center"/>
          </w:tcPr>
          <w:p>
            <w:r/>
            <w:r>
              <w:rPr>
                <w:b w:val="0"/>
                <w:sz w:val="14"/>
              </w:rPr>
              <w:t>Wait until next workday</w:t>
            </w:r>
          </w:p>
        </w:tc>
      </w:tr>
      <w:tr>
        <w:tc>
          <w:tcPr>
            <w:tcW w:type="dxa" w:w="3437"/>
            <w:vAlign w:val="center"/>
          </w:tcPr>
          <w:p>
            <w:r/>
            <w:r>
              <w:rPr>
                <w:b w:val="0"/>
                <w:sz w:val="14"/>
              </w:rPr>
              <w:t>Wrong-recipient email</w:t>
            </w:r>
          </w:p>
        </w:tc>
        <w:tc>
          <w:tcPr>
            <w:tcW w:type="dxa" w:w="3437"/>
            <w:vAlign w:val="center"/>
          </w:tcPr>
          <w:p>
            <w:r/>
            <w:r>
              <w:rPr>
                <w:b w:val="0"/>
                <w:sz w:val="14"/>
              </w:rPr>
              <w:t>Notify/contain/report</w:t>
            </w:r>
          </w:p>
        </w:tc>
        <w:tc>
          <w:tcPr>
            <w:tcW w:type="dxa" w:w="3437"/>
            <w:vAlign w:val="center"/>
          </w:tcPr>
          <w:p>
            <w:r/>
            <w:r>
              <w:rPr>
                <w:b w:val="0"/>
                <w:sz w:val="14"/>
              </w:rPr>
              <w:t>Delete local copy and conceal</w:t>
            </w:r>
          </w:p>
        </w:tc>
      </w:tr>
      <w:tr>
        <w:tc>
          <w:tcPr>
            <w:tcW w:type="dxa" w:w="3437"/>
            <w:vAlign w:val="center"/>
          </w:tcPr>
          <w:p>
            <w:r/>
            <w:r>
              <w:rPr>
                <w:b w:val="0"/>
                <w:sz w:val="14"/>
              </w:rPr>
              <w:t>Malware warning</w:t>
            </w:r>
          </w:p>
        </w:tc>
        <w:tc>
          <w:tcPr>
            <w:tcW w:type="dxa" w:w="3437"/>
            <w:vAlign w:val="center"/>
          </w:tcPr>
          <w:p>
            <w:r/>
            <w:r>
              <w:rPr>
                <w:b w:val="0"/>
                <w:sz w:val="14"/>
              </w:rPr>
              <w:t>Follow Security isolation steps</w:t>
            </w:r>
          </w:p>
        </w:tc>
        <w:tc>
          <w:tcPr>
            <w:tcW w:type="dxa" w:w="3437"/>
            <w:vAlign w:val="center"/>
          </w:tcPr>
          <w:p>
            <w:r/>
            <w:r>
              <w:rPr>
                <w:b w:val="0"/>
                <w:sz w:val="14"/>
              </w:rPr>
              <w:t>Disable security software</w:t>
            </w:r>
          </w:p>
        </w:tc>
      </w:tr>
      <w:tr>
        <w:tc>
          <w:tcPr>
            <w:tcW w:type="dxa" w:w="3437"/>
            <w:vAlign w:val="center"/>
          </w:tcPr>
          <w:p>
            <w:r/>
            <w:r>
              <w:rPr>
                <w:b w:val="0"/>
                <w:sz w:val="14"/>
              </w:rPr>
              <w:t>Suspicious admin action</w:t>
            </w:r>
          </w:p>
        </w:tc>
        <w:tc>
          <w:tcPr>
            <w:tcW w:type="dxa" w:w="3437"/>
            <w:vAlign w:val="center"/>
          </w:tcPr>
          <w:p>
            <w:r/>
            <w:r>
              <w:rPr>
                <w:b w:val="0"/>
                <w:sz w:val="14"/>
              </w:rPr>
              <w:t>Preserve details/report</w:t>
            </w:r>
          </w:p>
        </w:tc>
        <w:tc>
          <w:tcPr>
            <w:tcW w:type="dxa" w:w="3437"/>
            <w:vAlign w:val="center"/>
          </w:tcPr>
          <w:p>
            <w:r/>
            <w:r>
              <w:rPr>
                <w:b w:val="0"/>
                <w:sz w:val="14"/>
              </w:rPr>
              <w:t>Confront suspected user and destroy evidence</w:t>
            </w:r>
          </w:p>
        </w:tc>
      </w:tr>
    </w:tbl>
    <w:p/>
    <w:p>
      <w:r>
        <w:br w:type="page"/>
      </w:r>
    </w:p>
    <w:p>
      <w:pPr>
        <w:pStyle w:val="Heading1"/>
      </w:pPr>
      <w:r>
        <w:t>Appendix R — Vendor Interaction Checklist for Employees</w:t>
      </w:r>
    </w:p>
    <w:p>
      <w:r>
        <w:t>Business teams often create third-party risk before Procurement sees it.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Before Action</w:t>
            </w:r>
          </w:p>
        </w:tc>
        <w:tc>
          <w:tcPr>
            <w:tcW w:type="dxa" w:w="5155"/>
            <w:vAlign w:val="center"/>
            <w:shd w:fill="17365D"/>
          </w:tcPr>
          <w:p>
            <w:r/>
            <w:r>
              <w:rPr>
                <w:b/>
                <w:color w:val="FFFFFF"/>
                <w:sz w:val="15"/>
              </w:rPr>
              <w:t>Check</w:t>
            </w:r>
          </w:p>
        </w:tc>
      </w:tr>
      <w:tr>
        <w:tc>
          <w:tcPr>
            <w:tcW w:type="dxa" w:w="5155"/>
            <w:vAlign w:val="center"/>
          </w:tcPr>
          <w:p>
            <w:r/>
            <w:r>
              <w:rPr>
                <w:b w:val="0"/>
                <w:sz w:val="14"/>
              </w:rPr>
              <w:t>Share data</w:t>
            </w:r>
          </w:p>
        </w:tc>
        <w:tc>
          <w:tcPr>
            <w:tcW w:type="dxa" w:w="5155"/>
            <w:vAlign w:val="center"/>
          </w:tcPr>
          <w:p>
            <w:r/>
            <w:r>
              <w:rPr>
                <w:b w:val="0"/>
                <w:sz w:val="14"/>
              </w:rPr>
              <w:t>Vendor approved for that data and channel</w:t>
            </w:r>
          </w:p>
        </w:tc>
      </w:tr>
      <w:tr>
        <w:tc>
          <w:tcPr>
            <w:tcW w:type="dxa" w:w="5155"/>
            <w:vAlign w:val="center"/>
          </w:tcPr>
          <w:p>
            <w:r/>
            <w:r>
              <w:rPr>
                <w:b w:val="0"/>
                <w:sz w:val="14"/>
              </w:rPr>
              <w:t>Grant access</w:t>
            </w:r>
          </w:p>
        </w:tc>
        <w:tc>
          <w:tcPr>
            <w:tcW w:type="dxa" w:w="5155"/>
            <w:vAlign w:val="center"/>
          </w:tcPr>
          <w:p>
            <w:r/>
            <w:r>
              <w:rPr>
                <w:b w:val="0"/>
                <w:sz w:val="14"/>
              </w:rPr>
              <w:t>Sponsor, expiry, role and ACS approvals complete</w:t>
            </w:r>
          </w:p>
        </w:tc>
      </w:tr>
      <w:tr>
        <w:tc>
          <w:tcPr>
            <w:tcW w:type="dxa" w:w="5155"/>
            <w:vAlign w:val="center"/>
          </w:tcPr>
          <w:p>
            <w:r/>
            <w:r>
              <w:rPr>
                <w:b w:val="0"/>
                <w:sz w:val="14"/>
              </w:rPr>
              <w:t>Start pilot</w:t>
            </w:r>
          </w:p>
        </w:tc>
        <w:tc>
          <w:tcPr>
            <w:tcW w:type="dxa" w:w="5155"/>
            <w:vAlign w:val="center"/>
          </w:tcPr>
          <w:p>
            <w:r/>
            <w:r>
              <w:rPr>
                <w:b w:val="0"/>
                <w:sz w:val="14"/>
              </w:rPr>
              <w:t>No prohibited production data/access unless approved</w:t>
            </w:r>
          </w:p>
        </w:tc>
      </w:tr>
      <w:tr>
        <w:tc>
          <w:tcPr>
            <w:tcW w:type="dxa" w:w="5155"/>
            <w:vAlign w:val="center"/>
          </w:tcPr>
          <w:p>
            <w:r/>
            <w:r>
              <w:rPr>
                <w:b w:val="0"/>
                <w:sz w:val="14"/>
              </w:rPr>
              <w:t>Accept vendor workaround</w:t>
            </w:r>
          </w:p>
        </w:tc>
        <w:tc>
          <w:tcPr>
            <w:tcW w:type="dxa" w:w="5155"/>
            <w:vAlign w:val="center"/>
          </w:tcPr>
          <w:p>
            <w:r/>
            <w:r>
              <w:rPr>
                <w:b w:val="0"/>
                <w:sz w:val="14"/>
              </w:rPr>
              <w:t>Assess whether it bypasses policy/security control</w:t>
            </w:r>
          </w:p>
        </w:tc>
      </w:tr>
      <w:tr>
        <w:tc>
          <w:tcPr>
            <w:tcW w:type="dxa" w:w="5155"/>
            <w:vAlign w:val="center"/>
          </w:tcPr>
          <w:p>
            <w:r/>
            <w:r>
              <w:rPr>
                <w:b w:val="0"/>
                <w:sz w:val="14"/>
              </w:rPr>
              <w:t>Vendor changes subprocessor</w:t>
            </w:r>
          </w:p>
        </w:tc>
        <w:tc>
          <w:tcPr>
            <w:tcW w:type="dxa" w:w="5155"/>
            <w:vAlign w:val="center"/>
          </w:tcPr>
          <w:p>
            <w:r/>
            <w:r>
              <w:rPr>
                <w:b w:val="0"/>
                <w:sz w:val="14"/>
              </w:rPr>
              <w:t>Notify owner/TPR for reassessment</w:t>
            </w:r>
          </w:p>
        </w:tc>
      </w:tr>
      <w:tr>
        <w:tc>
          <w:tcPr>
            <w:tcW w:type="dxa" w:w="5155"/>
            <w:vAlign w:val="center"/>
          </w:tcPr>
          <w:p>
            <w:r/>
            <w:r>
              <w:rPr>
                <w:b w:val="0"/>
                <w:sz w:val="14"/>
              </w:rPr>
              <w:t>Vendor incident</w:t>
            </w:r>
          </w:p>
        </w:tc>
        <w:tc>
          <w:tcPr>
            <w:tcW w:type="dxa" w:w="5155"/>
            <w:vAlign w:val="center"/>
          </w:tcPr>
          <w:p>
            <w:r/>
            <w:r>
              <w:rPr>
                <w:b w:val="0"/>
                <w:sz w:val="14"/>
              </w:rPr>
              <w:t>Escalate immediately; preserve notice and facts</w:t>
            </w:r>
          </w:p>
        </w:tc>
      </w:tr>
      <w:tr>
        <w:tc>
          <w:tcPr>
            <w:tcW w:type="dxa" w:w="5155"/>
            <w:vAlign w:val="center"/>
          </w:tcPr>
          <w:p>
            <w:r/>
            <w:r>
              <w:rPr>
                <w:b w:val="0"/>
                <w:sz w:val="14"/>
              </w:rPr>
              <w:t>End engagement</w:t>
            </w:r>
          </w:p>
        </w:tc>
        <w:tc>
          <w:tcPr>
            <w:tcW w:type="dxa" w:w="5155"/>
            <w:vAlign w:val="center"/>
          </w:tcPr>
          <w:p>
            <w:r/>
            <w:r>
              <w:rPr>
                <w:b w:val="0"/>
                <w:sz w:val="14"/>
              </w:rPr>
              <w:t>Remove access, recover assets, confirm data closure</w:t>
            </w:r>
          </w:p>
        </w:tc>
      </w:tr>
    </w:tbl>
    <w:p/>
    <w:p>
      <w:r>
        <w:br w:type="page"/>
      </w:r>
    </w:p>
    <w:p>
      <w:pPr>
        <w:pStyle w:val="Heading1"/>
      </w:pPr>
      <w:r>
        <w:t>Appendix S — Gifts, Conflicts and Procurement Examples</w:t>
      </w:r>
    </w:p>
    <w:p>
      <w:r>
        <w:t>Value thresholds do not replace conflict judgment.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Treatment</w:t>
            </w:r>
          </w:p>
        </w:tc>
      </w:tr>
      <w:tr>
        <w:tc>
          <w:tcPr>
            <w:tcW w:type="dxa" w:w="5155"/>
            <w:vAlign w:val="center"/>
          </w:tcPr>
          <w:p>
            <w:r/>
            <w:r>
              <w:rPr>
                <w:b w:val="0"/>
                <w:sz w:val="14"/>
              </w:rPr>
              <w:t>₹1,000 promotional item from inactive vendor</w:t>
            </w:r>
          </w:p>
        </w:tc>
        <w:tc>
          <w:tcPr>
            <w:tcW w:type="dxa" w:w="5155"/>
            <w:vAlign w:val="center"/>
          </w:tcPr>
          <w:p>
            <w:r/>
            <w:r>
              <w:rPr>
                <w:b w:val="0"/>
                <w:sz w:val="14"/>
              </w:rPr>
              <w:t>May be acceptable if infrequent/no conflict</w:t>
            </w:r>
          </w:p>
        </w:tc>
      </w:tr>
      <w:tr>
        <w:tc>
          <w:tcPr>
            <w:tcW w:type="dxa" w:w="5155"/>
            <w:vAlign w:val="center"/>
          </w:tcPr>
          <w:p>
            <w:r/>
            <w:r>
              <w:rPr>
                <w:b w:val="0"/>
                <w:sz w:val="14"/>
              </w:rPr>
              <w:t>₹3,500 meal during routine relationship</w:t>
            </w:r>
          </w:p>
        </w:tc>
        <w:tc>
          <w:tcPr>
            <w:tcW w:type="dxa" w:w="5155"/>
            <w:vAlign w:val="center"/>
          </w:tcPr>
          <w:p>
            <w:r/>
            <w:r>
              <w:rPr>
                <w:b w:val="0"/>
                <w:sz w:val="14"/>
              </w:rPr>
              <w:t>Manager disclosure/register; assess context</w:t>
            </w:r>
          </w:p>
        </w:tc>
      </w:tr>
      <w:tr>
        <w:tc>
          <w:tcPr>
            <w:tcW w:type="dxa" w:w="5155"/>
            <w:vAlign w:val="center"/>
          </w:tcPr>
          <w:p>
            <w:r/>
            <w:r>
              <w:rPr>
                <w:b w:val="0"/>
                <w:sz w:val="14"/>
              </w:rPr>
              <w:t>₹4,000 gift during active tender</w:t>
            </w:r>
          </w:p>
        </w:tc>
        <w:tc>
          <w:tcPr>
            <w:tcW w:type="dxa" w:w="5155"/>
            <w:vAlign w:val="center"/>
          </w:tcPr>
          <w:p>
            <w:r/>
            <w:r>
              <w:rPr>
                <w:b w:val="0"/>
                <w:sz w:val="14"/>
              </w:rPr>
              <w:t>Likely decline due conflict even though below ₹5,000</w:t>
            </w:r>
          </w:p>
        </w:tc>
      </w:tr>
      <w:tr>
        <w:tc>
          <w:tcPr>
            <w:tcW w:type="dxa" w:w="5155"/>
            <w:vAlign w:val="center"/>
          </w:tcPr>
          <w:p>
            <w:r/>
            <w:r>
              <w:rPr>
                <w:b w:val="0"/>
                <w:sz w:val="14"/>
              </w:rPr>
              <w:t>₹8,000 hospitality after contract award</w:t>
            </w:r>
          </w:p>
        </w:tc>
        <w:tc>
          <w:tcPr>
            <w:tcW w:type="dxa" w:w="5155"/>
            <w:vAlign w:val="center"/>
          </w:tcPr>
          <w:p>
            <w:r/>
            <w:r>
              <w:rPr>
                <w:b w:val="0"/>
                <w:sz w:val="14"/>
              </w:rPr>
              <w:t>Prior Compliance approval required; conflict assessment</w:t>
            </w:r>
          </w:p>
        </w:tc>
      </w:tr>
      <w:tr>
        <w:tc>
          <w:tcPr>
            <w:tcW w:type="dxa" w:w="5155"/>
            <w:vAlign w:val="center"/>
          </w:tcPr>
          <w:p>
            <w:r/>
            <w:r>
              <w:rPr>
                <w:b w:val="0"/>
                <w:sz w:val="14"/>
              </w:rPr>
              <w:t>Cash voucher ₹500</w:t>
            </w:r>
          </w:p>
        </w:tc>
        <w:tc>
          <w:tcPr>
            <w:tcW w:type="dxa" w:w="5155"/>
            <w:vAlign w:val="center"/>
          </w:tcPr>
          <w:p>
            <w:r/>
            <w:r>
              <w:rPr>
                <w:b w:val="0"/>
                <w:sz w:val="14"/>
              </w:rPr>
              <w:t>Cash-equivalent gift prohibited</w:t>
            </w:r>
          </w:p>
        </w:tc>
      </w:tr>
      <w:tr>
        <w:tc>
          <w:tcPr>
            <w:tcW w:type="dxa" w:w="5155"/>
            <w:vAlign w:val="center"/>
          </w:tcPr>
          <w:p>
            <w:r/>
            <w:r>
              <w:rPr>
                <w:b w:val="0"/>
                <w:sz w:val="14"/>
              </w:rPr>
              <w:t>Employee relative owns bidding vendor</w:t>
            </w:r>
          </w:p>
        </w:tc>
        <w:tc>
          <w:tcPr>
            <w:tcW w:type="dxa" w:w="5155"/>
            <w:vAlign w:val="center"/>
          </w:tcPr>
          <w:p>
            <w:r/>
            <w:r>
              <w:rPr>
                <w:b w:val="0"/>
                <w:sz w:val="14"/>
              </w:rPr>
              <w:t>Disclose conflict and recuse as directed</w:t>
            </w:r>
          </w:p>
        </w:tc>
      </w:tr>
    </w:tbl>
    <w:p/>
    <w:p>
      <w:r>
        <w:br w:type="page"/>
      </w:r>
    </w:p>
    <w:p>
      <w:pPr>
        <w:pStyle w:val="Heading1"/>
      </w:pPr>
      <w:r>
        <w:t>Appendix T — Disciplinary Considerations Matrix</w:t>
      </w:r>
    </w:p>
    <w:p>
      <w:r>
        <w:t>This matrix supports consistent management judgment; HR procedures control final disciplinary action.</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Factor</w:t>
            </w:r>
          </w:p>
        </w:tc>
        <w:tc>
          <w:tcPr>
            <w:tcW w:type="dxa" w:w="3437"/>
            <w:vAlign w:val="center"/>
            <w:shd w:fill="17365D"/>
          </w:tcPr>
          <w:p>
            <w:r/>
            <w:r>
              <w:rPr>
                <w:b/>
                <w:color w:val="FFFFFF"/>
                <w:sz w:val="15"/>
              </w:rPr>
              <w:t>Lower Concern</w:t>
            </w:r>
          </w:p>
        </w:tc>
        <w:tc>
          <w:tcPr>
            <w:tcW w:type="dxa" w:w="3437"/>
            <w:vAlign w:val="center"/>
            <w:shd w:fill="17365D"/>
          </w:tcPr>
          <w:p>
            <w:r/>
            <w:r>
              <w:rPr>
                <w:b/>
                <w:color w:val="FFFFFF"/>
                <w:sz w:val="15"/>
              </w:rPr>
              <w:t>Higher Concern</w:t>
            </w:r>
          </w:p>
        </w:tc>
      </w:tr>
      <w:tr>
        <w:tc>
          <w:tcPr>
            <w:tcW w:type="dxa" w:w="3437"/>
            <w:vAlign w:val="center"/>
          </w:tcPr>
          <w:p>
            <w:r/>
            <w:r>
              <w:rPr>
                <w:b w:val="0"/>
                <w:sz w:val="14"/>
              </w:rPr>
              <w:t>Intent</w:t>
            </w:r>
          </w:p>
        </w:tc>
        <w:tc>
          <w:tcPr>
            <w:tcW w:type="dxa" w:w="3437"/>
            <w:vAlign w:val="center"/>
          </w:tcPr>
          <w:p>
            <w:r/>
            <w:r>
              <w:rPr>
                <w:b w:val="0"/>
                <w:sz w:val="14"/>
              </w:rPr>
              <w:t>Accidental error</w:t>
            </w:r>
          </w:p>
        </w:tc>
        <w:tc>
          <w:tcPr>
            <w:tcW w:type="dxa" w:w="3437"/>
            <w:vAlign w:val="center"/>
          </w:tcPr>
          <w:p>
            <w:r/>
            <w:r>
              <w:rPr>
                <w:b w:val="0"/>
                <w:sz w:val="14"/>
              </w:rPr>
              <w:t>Deliberate bypass/falsification</w:t>
            </w:r>
          </w:p>
        </w:tc>
      </w:tr>
      <w:tr>
        <w:tc>
          <w:tcPr>
            <w:tcW w:type="dxa" w:w="3437"/>
            <w:vAlign w:val="center"/>
          </w:tcPr>
          <w:p>
            <w:r/>
            <w:r>
              <w:rPr>
                <w:b w:val="0"/>
                <w:sz w:val="14"/>
              </w:rPr>
              <w:t>Impact</w:t>
            </w:r>
          </w:p>
        </w:tc>
        <w:tc>
          <w:tcPr>
            <w:tcW w:type="dxa" w:w="3437"/>
            <w:vAlign w:val="center"/>
          </w:tcPr>
          <w:p>
            <w:r/>
            <w:r>
              <w:rPr>
                <w:b w:val="0"/>
                <w:sz w:val="14"/>
              </w:rPr>
              <w:t>No customer/financial impact</w:t>
            </w:r>
          </w:p>
        </w:tc>
        <w:tc>
          <w:tcPr>
            <w:tcW w:type="dxa" w:w="3437"/>
            <w:vAlign w:val="center"/>
          </w:tcPr>
          <w:p>
            <w:r/>
            <w:r>
              <w:rPr>
                <w:b w:val="0"/>
                <w:sz w:val="14"/>
              </w:rPr>
              <w:t>Material/severe impact</w:t>
            </w:r>
          </w:p>
        </w:tc>
      </w:tr>
      <w:tr>
        <w:tc>
          <w:tcPr>
            <w:tcW w:type="dxa" w:w="3437"/>
            <w:vAlign w:val="center"/>
          </w:tcPr>
          <w:p>
            <w:r/>
            <w:r>
              <w:rPr>
                <w:b w:val="0"/>
                <w:sz w:val="14"/>
              </w:rPr>
              <w:t>Control awareness</w:t>
            </w:r>
          </w:p>
        </w:tc>
        <w:tc>
          <w:tcPr>
            <w:tcW w:type="dxa" w:w="3437"/>
            <w:vAlign w:val="center"/>
          </w:tcPr>
          <w:p>
            <w:r/>
            <w:r>
              <w:rPr>
                <w:b w:val="0"/>
                <w:sz w:val="14"/>
              </w:rPr>
              <w:t>Unclear/new control</w:t>
            </w:r>
          </w:p>
        </w:tc>
        <w:tc>
          <w:tcPr>
            <w:tcW w:type="dxa" w:w="3437"/>
            <w:vAlign w:val="center"/>
          </w:tcPr>
          <w:p>
            <w:r/>
            <w:r>
              <w:rPr>
                <w:b w:val="0"/>
                <w:sz w:val="14"/>
              </w:rPr>
              <w:t>Trained and knowingly ignored</w:t>
            </w:r>
          </w:p>
        </w:tc>
      </w:tr>
      <w:tr>
        <w:tc>
          <w:tcPr>
            <w:tcW w:type="dxa" w:w="3437"/>
            <w:vAlign w:val="center"/>
          </w:tcPr>
          <w:p>
            <w:r/>
            <w:r>
              <w:rPr>
                <w:b w:val="0"/>
                <w:sz w:val="14"/>
              </w:rPr>
              <w:t>Repetition</w:t>
            </w:r>
          </w:p>
        </w:tc>
        <w:tc>
          <w:tcPr>
            <w:tcW w:type="dxa" w:w="3437"/>
            <w:vAlign w:val="center"/>
          </w:tcPr>
          <w:p>
            <w:r/>
            <w:r>
              <w:rPr>
                <w:b w:val="0"/>
                <w:sz w:val="14"/>
              </w:rPr>
              <w:t>First isolated error</w:t>
            </w:r>
          </w:p>
        </w:tc>
        <w:tc>
          <w:tcPr>
            <w:tcW w:type="dxa" w:w="3437"/>
            <w:vAlign w:val="center"/>
          </w:tcPr>
          <w:p>
            <w:r/>
            <w:r>
              <w:rPr>
                <w:b w:val="0"/>
                <w:sz w:val="14"/>
              </w:rPr>
              <w:t>Repeated after coaching/action</w:t>
            </w:r>
          </w:p>
        </w:tc>
      </w:tr>
      <w:tr>
        <w:tc>
          <w:tcPr>
            <w:tcW w:type="dxa" w:w="3437"/>
            <w:vAlign w:val="center"/>
          </w:tcPr>
          <w:p>
            <w:r/>
            <w:r>
              <w:rPr>
                <w:b w:val="0"/>
                <w:sz w:val="14"/>
              </w:rPr>
              <w:t>Concealment</w:t>
            </w:r>
          </w:p>
        </w:tc>
        <w:tc>
          <w:tcPr>
            <w:tcW w:type="dxa" w:w="3437"/>
            <w:vAlign w:val="center"/>
          </w:tcPr>
          <w:p>
            <w:r/>
            <w:r>
              <w:rPr>
                <w:b w:val="0"/>
                <w:sz w:val="14"/>
              </w:rPr>
              <w:t>Self-reported promptly</w:t>
            </w:r>
          </w:p>
        </w:tc>
        <w:tc>
          <w:tcPr>
            <w:tcW w:type="dxa" w:w="3437"/>
            <w:vAlign w:val="center"/>
          </w:tcPr>
          <w:p>
            <w:r/>
            <w:r>
              <w:rPr>
                <w:b w:val="0"/>
                <w:sz w:val="14"/>
              </w:rPr>
              <w:t>Attempted concealment/backdating</w:t>
            </w:r>
          </w:p>
        </w:tc>
      </w:tr>
      <w:tr>
        <w:tc>
          <w:tcPr>
            <w:tcW w:type="dxa" w:w="3437"/>
            <w:vAlign w:val="center"/>
          </w:tcPr>
          <w:p>
            <w:r/>
            <w:r>
              <w:rPr>
                <w:b w:val="0"/>
                <w:sz w:val="14"/>
              </w:rPr>
              <w:t>Cooperation</w:t>
            </w:r>
          </w:p>
        </w:tc>
        <w:tc>
          <w:tcPr>
            <w:tcW w:type="dxa" w:w="3437"/>
            <w:vAlign w:val="center"/>
          </w:tcPr>
          <w:p>
            <w:r/>
            <w:r>
              <w:rPr>
                <w:b w:val="0"/>
                <w:sz w:val="14"/>
              </w:rPr>
              <w:t>Open and corrective</w:t>
            </w:r>
          </w:p>
        </w:tc>
        <w:tc>
          <w:tcPr>
            <w:tcW w:type="dxa" w:w="3437"/>
            <w:vAlign w:val="center"/>
          </w:tcPr>
          <w:p>
            <w:r/>
            <w:r>
              <w:rPr>
                <w:b w:val="0"/>
                <w:sz w:val="14"/>
              </w:rPr>
              <w:t>Obstructive or destroys evidence</w:t>
            </w:r>
          </w:p>
        </w:tc>
      </w:tr>
      <w:tr>
        <w:tc>
          <w:tcPr>
            <w:tcW w:type="dxa" w:w="3437"/>
            <w:vAlign w:val="center"/>
          </w:tcPr>
          <w:p>
            <w:r/>
            <w:r>
              <w:rPr>
                <w:b w:val="0"/>
                <w:sz w:val="14"/>
              </w:rPr>
              <w:t>Role</w:t>
            </w:r>
          </w:p>
        </w:tc>
        <w:tc>
          <w:tcPr>
            <w:tcW w:type="dxa" w:w="3437"/>
            <w:vAlign w:val="center"/>
          </w:tcPr>
          <w:p>
            <w:r/>
            <w:r>
              <w:rPr>
                <w:b w:val="0"/>
                <w:sz w:val="14"/>
              </w:rPr>
              <w:t>Junior supervised task</w:t>
            </w:r>
          </w:p>
        </w:tc>
        <w:tc>
          <w:tcPr>
            <w:tcW w:type="dxa" w:w="3437"/>
            <w:vAlign w:val="center"/>
          </w:tcPr>
          <w:p>
            <w:r/>
            <w:r>
              <w:rPr>
                <w:b w:val="0"/>
                <w:sz w:val="14"/>
              </w:rPr>
              <w:t>Senior approver/control owner</w:t>
            </w:r>
          </w:p>
        </w:tc>
      </w:tr>
    </w:tbl>
    <w:p/>
    <w:p>
      <w:r>
        <w:br w:type="page"/>
      </w:r>
    </w:p>
    <w:p>
      <w:pPr>
        <w:pStyle w:val="Heading1"/>
      </w:pPr>
      <w:r>
        <w:t>Appendix U — Training Curriculum by Role</w:t>
      </w:r>
    </w:p>
    <w:p>
      <w:r>
        <w:t>Training should reflect the controls employees actually operate.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Role</w:t>
            </w:r>
          </w:p>
        </w:tc>
        <w:tc>
          <w:tcPr>
            <w:tcW w:type="dxa" w:w="5155"/>
            <w:vAlign w:val="center"/>
            <w:shd w:fill="17365D"/>
          </w:tcPr>
          <w:p>
            <w:r/>
            <w:r>
              <w:rPr>
                <w:b/>
                <w:color w:val="FFFFFF"/>
                <w:sz w:val="15"/>
              </w:rPr>
              <w:t>Required Focus</w:t>
            </w:r>
          </w:p>
        </w:tc>
      </w:tr>
      <w:tr>
        <w:tc>
          <w:tcPr>
            <w:tcW w:type="dxa" w:w="5155"/>
            <w:vAlign w:val="center"/>
          </w:tcPr>
          <w:p>
            <w:r/>
            <w:r>
              <w:rPr>
                <w:b w:val="0"/>
                <w:sz w:val="14"/>
              </w:rPr>
              <w:t>Customer Service</w:t>
            </w:r>
          </w:p>
        </w:tc>
        <w:tc>
          <w:tcPr>
            <w:tcW w:type="dxa" w:w="5155"/>
            <w:vAlign w:val="center"/>
          </w:tcPr>
          <w:p>
            <w:r/>
            <w:r>
              <w:rPr>
                <w:b w:val="0"/>
                <w:sz w:val="14"/>
              </w:rPr>
              <w:t>Privacy, complaints, KYC status, fraud/security escalation</w:t>
            </w:r>
          </w:p>
        </w:tc>
      </w:tr>
      <w:tr>
        <w:tc>
          <w:tcPr>
            <w:tcW w:type="dxa" w:w="5155"/>
            <w:vAlign w:val="center"/>
          </w:tcPr>
          <w:p>
            <w:r/>
            <w:r>
              <w:rPr>
                <w:b w:val="0"/>
                <w:sz w:val="14"/>
              </w:rPr>
              <w:t>KYC Analyst</w:t>
            </w:r>
          </w:p>
        </w:tc>
        <w:tc>
          <w:tcPr>
            <w:tcW w:type="dxa" w:w="5155"/>
            <w:vAlign w:val="center"/>
          </w:tcPr>
          <w:p>
            <w:r/>
            <w:r>
              <w:rPr>
                <w:b w:val="0"/>
                <w:sz w:val="14"/>
              </w:rPr>
              <w:t>KYC-004, COP-021, KEP-022, CDD, data handling</w:t>
            </w:r>
          </w:p>
        </w:tc>
      </w:tr>
      <w:tr>
        <w:tc>
          <w:tcPr>
            <w:tcW w:type="dxa" w:w="5155"/>
            <w:vAlign w:val="center"/>
          </w:tcPr>
          <w:p>
            <w:r/>
            <w:r>
              <w:rPr>
                <w:b w:val="0"/>
                <w:sz w:val="14"/>
              </w:rPr>
              <w:t>AML Analyst</w:t>
            </w:r>
          </w:p>
        </w:tc>
        <w:tc>
          <w:tcPr>
            <w:tcW w:type="dxa" w:w="5155"/>
            <w:vAlign w:val="center"/>
          </w:tcPr>
          <w:p>
            <w:r/>
            <w:r>
              <w:rPr>
                <w:b w:val="0"/>
                <w:sz w:val="14"/>
              </w:rPr>
              <w:t>AML-003, ATM-031, CRR-033, EDD, investigations</w:t>
            </w:r>
          </w:p>
        </w:tc>
      </w:tr>
      <w:tr>
        <w:tc>
          <w:tcPr>
            <w:tcW w:type="dxa" w:w="5155"/>
            <w:vAlign w:val="center"/>
          </w:tcPr>
          <w:p>
            <w:r/>
            <w:r>
              <w:rPr>
                <w:b w:val="0"/>
                <w:sz w:val="14"/>
              </w:rPr>
              <w:t>Credit Underwriter</w:t>
            </w:r>
          </w:p>
        </w:tc>
        <w:tc>
          <w:tcPr>
            <w:tcW w:type="dxa" w:w="5155"/>
            <w:vAlign w:val="center"/>
          </w:tcPr>
          <w:p>
            <w:r/>
            <w:r>
              <w:rPr>
                <w:b w:val="0"/>
                <w:sz w:val="14"/>
              </w:rPr>
              <w:t>CRP-001, PLU-011, CEP-006, CDAS-007</w:t>
            </w:r>
          </w:p>
        </w:tc>
      </w:tr>
      <w:tr>
        <w:tc>
          <w:tcPr>
            <w:tcW w:type="dxa" w:w="5155"/>
            <w:vAlign w:val="center"/>
          </w:tcPr>
          <w:p>
            <w:r/>
            <w:r>
              <w:rPr>
                <w:b w:val="0"/>
                <w:sz w:val="14"/>
              </w:rPr>
              <w:t>Disbursement Ops</w:t>
            </w:r>
          </w:p>
        </w:tc>
        <w:tc>
          <w:tcPr>
            <w:tcW w:type="dxa" w:w="5155"/>
            <w:vAlign w:val="center"/>
          </w:tcPr>
          <w:p>
            <w:r/>
            <w:r>
              <w:rPr>
                <w:b w:val="0"/>
                <w:sz w:val="14"/>
              </w:rPr>
              <w:t>LDP-013, maker-checker, beneficiary/fraud controls</w:t>
            </w:r>
          </w:p>
        </w:tc>
      </w:tr>
      <w:tr>
        <w:tc>
          <w:tcPr>
            <w:tcW w:type="dxa" w:w="5155"/>
            <w:vAlign w:val="center"/>
          </w:tcPr>
          <w:p>
            <w:r/>
            <w:r>
              <w:rPr>
                <w:b w:val="0"/>
                <w:sz w:val="14"/>
              </w:rPr>
              <w:t>Investment Ops</w:t>
            </w:r>
          </w:p>
        </w:tc>
        <w:tc>
          <w:tcPr>
            <w:tcW w:type="dxa" w:w="5155"/>
            <w:vAlign w:val="center"/>
          </w:tcPr>
          <w:p>
            <w:r/>
            <w:r>
              <w:rPr>
                <w:b w:val="0"/>
                <w:sz w:val="14"/>
              </w:rPr>
              <w:t>INV-010, IMP-041, IDS-042, access/SoD</w:t>
            </w:r>
          </w:p>
        </w:tc>
      </w:tr>
      <w:tr>
        <w:tc>
          <w:tcPr>
            <w:tcW w:type="dxa" w:w="5155"/>
            <w:vAlign w:val="center"/>
          </w:tcPr>
          <w:p>
            <w:r/>
            <w:r>
              <w:rPr>
                <w:b w:val="0"/>
                <w:sz w:val="14"/>
              </w:rPr>
              <w:t>Managers</w:t>
            </w:r>
          </w:p>
        </w:tc>
        <w:tc>
          <w:tcPr>
            <w:tcW w:type="dxa" w:w="5155"/>
            <w:vAlign w:val="center"/>
          </w:tcPr>
          <w:p>
            <w:r/>
            <w:r>
              <w:rPr>
                <w:b w:val="0"/>
                <w:sz w:val="14"/>
              </w:rPr>
              <w:t>Authority, breach, risk acceptance, conduct, access review</w:t>
            </w:r>
          </w:p>
        </w:tc>
      </w:tr>
      <w:tr>
        <w:tc>
          <w:tcPr>
            <w:tcW w:type="dxa" w:w="5155"/>
            <w:vAlign w:val="center"/>
          </w:tcPr>
          <w:p>
            <w:r/>
            <w:r>
              <w:rPr>
                <w:b w:val="0"/>
                <w:sz w:val="14"/>
              </w:rPr>
              <w:t>Technology support</w:t>
            </w:r>
          </w:p>
        </w:tc>
        <w:tc>
          <w:tcPr>
            <w:tcW w:type="dxa" w:w="5155"/>
            <w:vAlign w:val="center"/>
          </w:tcPr>
          <w:p>
            <w:r/>
            <w:r>
              <w:rPr>
                <w:b w:val="0"/>
                <w:sz w:val="14"/>
              </w:rPr>
              <w:t>ISP-014, ACS-051, SIR-052, change/access controls</w:t>
            </w:r>
          </w:p>
        </w:tc>
      </w:tr>
    </w:tbl>
    <w:p/>
    <w:p>
      <w:r>
        <w:br w:type="page"/>
      </w:r>
    </w:p>
    <w:p>
      <w:pPr>
        <w:pStyle w:val="Heading1"/>
      </w:pPr>
      <w:r>
        <w:t>Appendix V — Shift Handover Standard</w:t>
      </w:r>
    </w:p>
    <w:p>
      <w:r>
        <w:t>Unresolved controlled work shall be handed over explicitly rather than assumed to be understood.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Handover Item</w:t>
            </w:r>
          </w:p>
        </w:tc>
        <w:tc>
          <w:tcPr>
            <w:tcW w:type="dxa" w:w="5155"/>
            <w:vAlign w:val="center"/>
            <w:shd w:fill="17365D"/>
          </w:tcPr>
          <w:p>
            <w:r/>
            <w:r>
              <w:rPr>
                <w:b/>
                <w:color w:val="FFFFFF"/>
                <w:sz w:val="15"/>
              </w:rPr>
              <w:t>Record</w:t>
            </w:r>
          </w:p>
        </w:tc>
      </w:tr>
      <w:tr>
        <w:tc>
          <w:tcPr>
            <w:tcW w:type="dxa" w:w="5155"/>
            <w:vAlign w:val="center"/>
          </w:tcPr>
          <w:p>
            <w:r/>
            <w:r>
              <w:rPr>
                <w:b w:val="0"/>
                <w:sz w:val="14"/>
              </w:rPr>
              <w:t>Priority cases</w:t>
            </w:r>
          </w:p>
        </w:tc>
        <w:tc>
          <w:tcPr>
            <w:tcW w:type="dxa" w:w="5155"/>
            <w:vAlign w:val="center"/>
          </w:tcPr>
          <w:p>
            <w:r/>
            <w:r>
              <w:rPr>
                <w:b w:val="0"/>
                <w:sz w:val="14"/>
              </w:rPr>
              <w:t>IDs and status</w:t>
            </w:r>
          </w:p>
        </w:tc>
      </w:tr>
      <w:tr>
        <w:tc>
          <w:tcPr>
            <w:tcW w:type="dxa" w:w="5155"/>
            <w:vAlign w:val="center"/>
          </w:tcPr>
          <w:p>
            <w:r/>
            <w:r>
              <w:rPr>
                <w:b w:val="0"/>
                <w:sz w:val="14"/>
              </w:rPr>
              <w:t>Customer commitments</w:t>
            </w:r>
          </w:p>
        </w:tc>
        <w:tc>
          <w:tcPr>
            <w:tcW w:type="dxa" w:w="5155"/>
            <w:vAlign w:val="center"/>
          </w:tcPr>
          <w:p>
            <w:r/>
            <w:r>
              <w:rPr>
                <w:b w:val="0"/>
                <w:sz w:val="14"/>
              </w:rPr>
              <w:t>Accurate promised next step/time if authorized</w:t>
            </w:r>
          </w:p>
        </w:tc>
      </w:tr>
      <w:tr>
        <w:tc>
          <w:tcPr>
            <w:tcW w:type="dxa" w:w="5155"/>
            <w:vAlign w:val="center"/>
          </w:tcPr>
          <w:p>
            <w:r/>
            <w:r>
              <w:rPr>
                <w:b w:val="0"/>
                <w:sz w:val="14"/>
              </w:rPr>
              <w:t>Restrictions/holds</w:t>
            </w:r>
          </w:p>
        </w:tc>
        <w:tc>
          <w:tcPr>
            <w:tcW w:type="dxa" w:w="5155"/>
            <w:vAlign w:val="center"/>
          </w:tcPr>
          <w:p>
            <w:r/>
            <w:r>
              <w:rPr>
                <w:b w:val="0"/>
                <w:sz w:val="14"/>
              </w:rPr>
              <w:t>KYC/AML/fraud/security status</w:t>
            </w:r>
          </w:p>
        </w:tc>
      </w:tr>
      <w:tr>
        <w:tc>
          <w:tcPr>
            <w:tcW w:type="dxa" w:w="5155"/>
            <w:vAlign w:val="center"/>
          </w:tcPr>
          <w:p>
            <w:r/>
            <w:r>
              <w:rPr>
                <w:b w:val="0"/>
                <w:sz w:val="14"/>
              </w:rPr>
              <w:t>Pending approvals</w:t>
            </w:r>
          </w:p>
        </w:tc>
        <w:tc>
          <w:tcPr>
            <w:tcW w:type="dxa" w:w="5155"/>
            <w:vAlign w:val="center"/>
          </w:tcPr>
          <w:p>
            <w:r/>
            <w:r>
              <w:rPr>
                <w:b w:val="0"/>
                <w:sz w:val="14"/>
              </w:rPr>
              <w:t>Approver/authority and evidence outstanding</w:t>
            </w:r>
          </w:p>
        </w:tc>
      </w:tr>
      <w:tr>
        <w:tc>
          <w:tcPr>
            <w:tcW w:type="dxa" w:w="5155"/>
            <w:vAlign w:val="center"/>
          </w:tcPr>
          <w:p>
            <w:r/>
            <w:r>
              <w:rPr>
                <w:b w:val="0"/>
                <w:sz w:val="14"/>
              </w:rPr>
              <w:t>Incidents</w:t>
            </w:r>
          </w:p>
        </w:tc>
        <w:tc>
          <w:tcPr>
            <w:tcW w:type="dxa" w:w="5155"/>
            <w:vAlign w:val="center"/>
          </w:tcPr>
          <w:p>
            <w:r/>
            <w:r>
              <w:rPr>
                <w:b w:val="0"/>
                <w:sz w:val="14"/>
              </w:rPr>
              <w:t>Reference, current owner and next action</w:t>
            </w:r>
          </w:p>
        </w:tc>
      </w:tr>
      <w:tr>
        <w:tc>
          <w:tcPr>
            <w:tcW w:type="dxa" w:w="5155"/>
            <w:vAlign w:val="center"/>
          </w:tcPr>
          <w:p>
            <w:r/>
            <w:r>
              <w:rPr>
                <w:b w:val="0"/>
                <w:sz w:val="14"/>
              </w:rPr>
              <w:t>System issues</w:t>
            </w:r>
          </w:p>
        </w:tc>
        <w:tc>
          <w:tcPr>
            <w:tcW w:type="dxa" w:w="5155"/>
            <w:vAlign w:val="center"/>
          </w:tcPr>
          <w:p>
            <w:r/>
            <w:r>
              <w:rPr>
                <w:b w:val="0"/>
                <w:sz w:val="14"/>
              </w:rPr>
              <w:t>Workaround and restrictions</w:t>
            </w:r>
          </w:p>
        </w:tc>
      </w:tr>
      <w:tr>
        <w:tc>
          <w:tcPr>
            <w:tcW w:type="dxa" w:w="5155"/>
            <w:vAlign w:val="center"/>
          </w:tcPr>
          <w:p>
            <w:r/>
            <w:r>
              <w:rPr>
                <w:b w:val="0"/>
                <w:sz w:val="14"/>
              </w:rPr>
              <w:t>Sensitive documents</w:t>
            </w:r>
          </w:p>
        </w:tc>
        <w:tc>
          <w:tcPr>
            <w:tcW w:type="dxa" w:w="5155"/>
            <w:vAlign w:val="center"/>
          </w:tcPr>
          <w:p>
            <w:r/>
            <w:r>
              <w:rPr>
                <w:b w:val="0"/>
                <w:sz w:val="14"/>
              </w:rPr>
              <w:t>Location/custody</w:t>
            </w:r>
          </w:p>
        </w:tc>
      </w:tr>
      <w:tr>
        <w:tc>
          <w:tcPr>
            <w:tcW w:type="dxa" w:w="5155"/>
            <w:vAlign w:val="center"/>
          </w:tcPr>
          <w:p>
            <w:r/>
            <w:r>
              <w:rPr>
                <w:b w:val="0"/>
                <w:sz w:val="14"/>
              </w:rPr>
              <w:t>Escalations</w:t>
            </w:r>
          </w:p>
        </w:tc>
        <w:tc>
          <w:tcPr>
            <w:tcW w:type="dxa" w:w="5155"/>
            <w:vAlign w:val="center"/>
          </w:tcPr>
          <w:p>
            <w:r/>
            <w:r>
              <w:rPr>
                <w:b w:val="0"/>
                <w:sz w:val="14"/>
              </w:rPr>
              <w:t>Who has been notified and response due</w:t>
            </w:r>
          </w:p>
        </w:tc>
      </w:tr>
    </w:tbl>
    <w:p/>
    <w:p>
      <w:r>
        <w:br w:type="page"/>
      </w:r>
    </w:p>
    <w:p>
      <w:pPr>
        <w:pStyle w:val="Heading1"/>
      </w:pPr>
      <w:r>
        <w:t>Appendix W — Quality Assurance Finding Taxonomy</w:t>
      </w:r>
    </w:p>
    <w:p>
      <w:r>
        <w:t>QA findings should be consistent enough for trend analysis.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Finding Type</w:t>
            </w:r>
          </w:p>
        </w:tc>
        <w:tc>
          <w:tcPr>
            <w:tcW w:type="dxa" w:w="5155"/>
            <w:vAlign w:val="center"/>
            <w:shd w:fill="17365D"/>
          </w:tcPr>
          <w:p>
            <w:r/>
            <w:r>
              <w:rPr>
                <w:b/>
                <w:color w:val="FFFFFF"/>
                <w:sz w:val="15"/>
              </w:rPr>
              <w:t>Example</w:t>
            </w:r>
          </w:p>
        </w:tc>
      </w:tr>
      <w:tr>
        <w:tc>
          <w:tcPr>
            <w:tcW w:type="dxa" w:w="5155"/>
            <w:vAlign w:val="center"/>
          </w:tcPr>
          <w:p>
            <w:r/>
            <w:r>
              <w:rPr>
                <w:b w:val="0"/>
                <w:sz w:val="14"/>
              </w:rPr>
              <w:t>Documentation</w:t>
            </w:r>
          </w:p>
        </w:tc>
        <w:tc>
          <w:tcPr>
            <w:tcW w:type="dxa" w:w="5155"/>
            <w:vAlign w:val="center"/>
          </w:tcPr>
          <w:p>
            <w:r/>
            <w:r>
              <w:rPr>
                <w:b w:val="0"/>
                <w:sz w:val="14"/>
              </w:rPr>
              <w:t>Evidence exists but case note incomplete</w:t>
            </w:r>
          </w:p>
        </w:tc>
      </w:tr>
      <w:tr>
        <w:tc>
          <w:tcPr>
            <w:tcW w:type="dxa" w:w="5155"/>
            <w:vAlign w:val="center"/>
          </w:tcPr>
          <w:p>
            <w:r/>
            <w:r>
              <w:rPr>
                <w:b w:val="0"/>
                <w:sz w:val="14"/>
              </w:rPr>
              <w:t>Procedure</w:t>
            </w:r>
          </w:p>
        </w:tc>
        <w:tc>
          <w:tcPr>
            <w:tcW w:type="dxa" w:w="5155"/>
            <w:vAlign w:val="center"/>
          </w:tcPr>
          <w:p>
            <w:r/>
            <w:r>
              <w:rPr>
                <w:b w:val="0"/>
                <w:sz w:val="14"/>
              </w:rPr>
              <w:t>Required step not performed</w:t>
            </w:r>
          </w:p>
        </w:tc>
      </w:tr>
      <w:tr>
        <w:tc>
          <w:tcPr>
            <w:tcW w:type="dxa" w:w="5155"/>
            <w:vAlign w:val="center"/>
          </w:tcPr>
          <w:p>
            <w:r/>
            <w:r>
              <w:rPr>
                <w:b w:val="0"/>
                <w:sz w:val="14"/>
              </w:rPr>
              <w:t>Authority</w:t>
            </w:r>
          </w:p>
        </w:tc>
        <w:tc>
          <w:tcPr>
            <w:tcW w:type="dxa" w:w="5155"/>
            <w:vAlign w:val="center"/>
          </w:tcPr>
          <w:p>
            <w:r/>
            <w:r>
              <w:rPr>
                <w:b w:val="0"/>
                <w:sz w:val="14"/>
              </w:rPr>
              <w:t>Decision by person outside current authority</w:t>
            </w:r>
          </w:p>
        </w:tc>
      </w:tr>
      <w:tr>
        <w:tc>
          <w:tcPr>
            <w:tcW w:type="dxa" w:w="5155"/>
            <w:vAlign w:val="center"/>
          </w:tcPr>
          <w:p>
            <w:r/>
            <w:r>
              <w:rPr>
                <w:b w:val="0"/>
                <w:sz w:val="14"/>
              </w:rPr>
              <w:t>Data quality</w:t>
            </w:r>
          </w:p>
        </w:tc>
        <w:tc>
          <w:tcPr>
            <w:tcW w:type="dxa" w:w="5155"/>
            <w:vAlign w:val="center"/>
          </w:tcPr>
          <w:p>
            <w:r/>
            <w:r>
              <w:rPr>
                <w:b w:val="0"/>
                <w:sz w:val="14"/>
              </w:rPr>
              <w:t>Material field wrong/inconsistent</w:t>
            </w:r>
          </w:p>
        </w:tc>
      </w:tr>
      <w:tr>
        <w:tc>
          <w:tcPr>
            <w:tcW w:type="dxa" w:w="5155"/>
            <w:vAlign w:val="center"/>
          </w:tcPr>
          <w:p>
            <w:r/>
            <w:r>
              <w:rPr>
                <w:b w:val="0"/>
                <w:sz w:val="14"/>
              </w:rPr>
              <w:t>KYC/AML</w:t>
            </w:r>
          </w:p>
        </w:tc>
        <w:tc>
          <w:tcPr>
            <w:tcW w:type="dxa" w:w="5155"/>
            <w:vAlign w:val="center"/>
          </w:tcPr>
          <w:p>
            <w:r/>
            <w:r>
              <w:rPr>
                <w:b w:val="0"/>
                <w:sz w:val="14"/>
              </w:rPr>
              <w:t>Specialist hold or escalation mishandled</w:t>
            </w:r>
          </w:p>
        </w:tc>
      </w:tr>
      <w:tr>
        <w:tc>
          <w:tcPr>
            <w:tcW w:type="dxa" w:w="5155"/>
            <w:vAlign w:val="center"/>
          </w:tcPr>
          <w:p>
            <w:r/>
            <w:r>
              <w:rPr>
                <w:b w:val="0"/>
                <w:sz w:val="14"/>
              </w:rPr>
              <w:t>Customer fairness</w:t>
            </w:r>
          </w:p>
        </w:tc>
        <w:tc>
          <w:tcPr>
            <w:tcW w:type="dxa" w:w="5155"/>
            <w:vAlign w:val="center"/>
          </w:tcPr>
          <w:p>
            <w:r/>
            <w:r>
              <w:rPr>
                <w:b w:val="0"/>
                <w:sz w:val="14"/>
              </w:rPr>
              <w:t>Misleading/inappropriate communication</w:t>
            </w:r>
          </w:p>
        </w:tc>
      </w:tr>
      <w:tr>
        <w:tc>
          <w:tcPr>
            <w:tcW w:type="dxa" w:w="5155"/>
            <w:vAlign w:val="center"/>
          </w:tcPr>
          <w:p>
            <w:r/>
            <w:r>
              <w:rPr>
                <w:b w:val="0"/>
                <w:sz w:val="14"/>
              </w:rPr>
              <w:t>Security/access</w:t>
            </w:r>
          </w:p>
        </w:tc>
        <w:tc>
          <w:tcPr>
            <w:tcW w:type="dxa" w:w="5155"/>
            <w:vAlign w:val="center"/>
          </w:tcPr>
          <w:p>
            <w:r/>
            <w:r>
              <w:rPr>
                <w:b w:val="0"/>
                <w:sz w:val="14"/>
              </w:rPr>
              <w:t>Unauthorized sharing or access</w:t>
            </w:r>
          </w:p>
        </w:tc>
      </w:tr>
      <w:tr>
        <w:tc>
          <w:tcPr>
            <w:tcW w:type="dxa" w:w="5155"/>
            <w:vAlign w:val="center"/>
          </w:tcPr>
          <w:p>
            <w:r/>
            <w:r>
              <w:rPr>
                <w:b w:val="0"/>
                <w:sz w:val="14"/>
              </w:rPr>
              <w:t>Fraud control</w:t>
            </w:r>
          </w:p>
        </w:tc>
        <w:tc>
          <w:tcPr>
            <w:tcW w:type="dxa" w:w="5155"/>
            <w:vAlign w:val="center"/>
          </w:tcPr>
          <w:p>
            <w:r/>
            <w:r>
              <w:rPr>
                <w:b w:val="0"/>
                <w:sz w:val="14"/>
              </w:rPr>
              <w:t>Red flag ignored or beneficiary verification missed</w:t>
            </w:r>
          </w:p>
        </w:tc>
      </w:tr>
      <w:tr>
        <w:tc>
          <w:tcPr>
            <w:tcW w:type="dxa" w:w="5155"/>
            <w:vAlign w:val="center"/>
          </w:tcPr>
          <w:p>
            <w:r/>
            <w:r>
              <w:rPr>
                <w:b w:val="0"/>
                <w:sz w:val="14"/>
              </w:rPr>
              <w:t>Repeat/root cause</w:t>
            </w:r>
          </w:p>
        </w:tc>
        <w:tc>
          <w:tcPr>
            <w:tcW w:type="dxa" w:w="5155"/>
            <w:vAlign w:val="center"/>
          </w:tcPr>
          <w:p>
            <w:r/>
            <w:r>
              <w:rPr>
                <w:b w:val="0"/>
                <w:sz w:val="14"/>
              </w:rPr>
              <w:t>Same failure after prior corrective action</w:t>
            </w:r>
          </w:p>
        </w:tc>
      </w:tr>
    </w:tbl>
    <w:p/>
    <w:p>
      <w:r>
        <w:br w:type="page"/>
      </w:r>
    </w:p>
    <w:p>
      <w:pPr>
        <w:pStyle w:val="Heading1"/>
      </w:pPr>
      <w:r>
        <w:t>Appendix X — Manager Daily/Weekly Control Review</w:t>
      </w:r>
    </w:p>
    <w:p>
      <w:r>
        <w:t>Managers should use targeted oversight, not only productivity metrics.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Cadence</w:t>
            </w:r>
          </w:p>
        </w:tc>
        <w:tc>
          <w:tcPr>
            <w:tcW w:type="dxa" w:w="5155"/>
            <w:vAlign w:val="center"/>
            <w:shd w:fill="17365D"/>
          </w:tcPr>
          <w:p>
            <w:r/>
            <w:r>
              <w:rPr>
                <w:b/>
                <w:color w:val="FFFFFF"/>
                <w:sz w:val="15"/>
              </w:rPr>
              <w:t>Review</w:t>
            </w:r>
          </w:p>
        </w:tc>
      </w:tr>
      <w:tr>
        <w:tc>
          <w:tcPr>
            <w:tcW w:type="dxa" w:w="5155"/>
            <w:vAlign w:val="center"/>
          </w:tcPr>
          <w:p>
            <w:r/>
            <w:r>
              <w:rPr>
                <w:b w:val="0"/>
                <w:sz w:val="14"/>
              </w:rPr>
              <w:t>Daily</w:t>
            </w:r>
          </w:p>
        </w:tc>
        <w:tc>
          <w:tcPr>
            <w:tcW w:type="dxa" w:w="5155"/>
            <w:vAlign w:val="center"/>
          </w:tcPr>
          <w:p>
            <w:r/>
            <w:r>
              <w:rPr>
                <w:b w:val="0"/>
                <w:sz w:val="14"/>
              </w:rPr>
              <w:t>Material holds, high-value releases, critical incidents, staffing/control gaps</w:t>
            </w:r>
          </w:p>
        </w:tc>
      </w:tr>
      <w:tr>
        <w:tc>
          <w:tcPr>
            <w:tcW w:type="dxa" w:w="5155"/>
            <w:vAlign w:val="center"/>
          </w:tcPr>
          <w:p>
            <w:r/>
            <w:r>
              <w:rPr>
                <w:b w:val="0"/>
                <w:sz w:val="14"/>
              </w:rPr>
              <w:t>Weekly</w:t>
            </w:r>
          </w:p>
        </w:tc>
        <w:tc>
          <w:tcPr>
            <w:tcW w:type="dxa" w:w="5155"/>
            <w:vAlign w:val="center"/>
          </w:tcPr>
          <w:p>
            <w:r/>
            <w:r>
              <w:rPr>
                <w:b w:val="0"/>
                <w:sz w:val="14"/>
              </w:rPr>
              <w:t>QA failures, overdue cases, access anomalies, complaints, exceptions</w:t>
            </w:r>
          </w:p>
        </w:tc>
      </w:tr>
      <w:tr>
        <w:tc>
          <w:tcPr>
            <w:tcW w:type="dxa" w:w="5155"/>
            <w:vAlign w:val="center"/>
          </w:tcPr>
          <w:p>
            <w:r/>
            <w:r>
              <w:rPr>
                <w:b w:val="0"/>
                <w:sz w:val="14"/>
              </w:rPr>
              <w:t>Monthly</w:t>
            </w:r>
          </w:p>
        </w:tc>
        <w:tc>
          <w:tcPr>
            <w:tcW w:type="dxa" w:w="5155"/>
            <w:vAlign w:val="center"/>
          </w:tcPr>
          <w:p>
            <w:r/>
            <w:r>
              <w:rPr>
                <w:b w:val="0"/>
                <w:sz w:val="14"/>
              </w:rPr>
              <w:t>Repeat errors, training gaps, maker-checker failures, conduct/security themes</w:t>
            </w:r>
          </w:p>
        </w:tc>
      </w:tr>
      <w:tr>
        <w:tc>
          <w:tcPr>
            <w:tcW w:type="dxa" w:w="5155"/>
            <w:vAlign w:val="center"/>
          </w:tcPr>
          <w:p>
            <w:r/>
            <w:r>
              <w:rPr>
                <w:b w:val="0"/>
                <w:sz w:val="14"/>
              </w:rPr>
              <w:t>Quarterly</w:t>
            </w:r>
          </w:p>
        </w:tc>
        <w:tc>
          <w:tcPr>
            <w:tcW w:type="dxa" w:w="5155"/>
            <w:vAlign w:val="center"/>
          </w:tcPr>
          <w:p>
            <w:r/>
            <w:r>
              <w:rPr>
                <w:b w:val="0"/>
                <w:sz w:val="14"/>
              </w:rPr>
              <w:t>Role access, vendor dependencies, process risk and remediation progress</w:t>
            </w:r>
          </w:p>
        </w:tc>
      </w:tr>
    </w:tbl>
    <w:p/>
    <w:p>
      <w:r>
        <w:br w:type="page"/>
      </w:r>
    </w:p>
    <w:p>
      <w:pPr>
        <w:pStyle w:val="Heading1"/>
      </w:pPr>
      <w:r>
        <w:t>Appendix Y — Cross-Functional Event Mapping</w:t>
      </w:r>
    </w:p>
    <w:p>
      <w:r>
        <w:t>One event may require several specialist records.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Event</w:t>
            </w:r>
          </w:p>
        </w:tc>
        <w:tc>
          <w:tcPr>
            <w:tcW w:type="dxa" w:w="5155"/>
            <w:vAlign w:val="center"/>
            <w:shd w:fill="17365D"/>
          </w:tcPr>
          <w:p>
            <w:r/>
            <w:r>
              <w:rPr>
                <w:b/>
                <w:color w:val="FFFFFF"/>
                <w:sz w:val="15"/>
              </w:rPr>
              <w:t>Possible Records</w:t>
            </w:r>
          </w:p>
        </w:tc>
      </w:tr>
      <w:tr>
        <w:tc>
          <w:tcPr>
            <w:tcW w:type="dxa" w:w="5155"/>
            <w:vAlign w:val="center"/>
          </w:tcPr>
          <w:p>
            <w:r/>
            <w:r>
              <w:rPr>
                <w:b w:val="0"/>
                <w:sz w:val="14"/>
              </w:rPr>
              <w:t>Unauthorized customer-data access</w:t>
            </w:r>
          </w:p>
        </w:tc>
        <w:tc>
          <w:tcPr>
            <w:tcW w:type="dxa" w:w="5155"/>
            <w:vAlign w:val="center"/>
          </w:tcPr>
          <w:p>
            <w:r/>
            <w:r>
              <w:rPr>
                <w:b w:val="0"/>
                <w:sz w:val="14"/>
              </w:rPr>
              <w:t>Security incident + access breach + compliance issue</w:t>
            </w:r>
          </w:p>
        </w:tc>
      </w:tr>
      <w:tr>
        <w:tc>
          <w:tcPr>
            <w:tcW w:type="dxa" w:w="5155"/>
            <w:vAlign w:val="center"/>
          </w:tcPr>
          <w:p>
            <w:r/>
            <w:r>
              <w:rPr>
                <w:b w:val="0"/>
                <w:sz w:val="14"/>
              </w:rPr>
              <w:t>Fraudulent beneficiary change</w:t>
            </w:r>
          </w:p>
        </w:tc>
        <w:tc>
          <w:tcPr>
            <w:tcW w:type="dxa" w:w="5155"/>
            <w:vAlign w:val="center"/>
          </w:tcPr>
          <w:p>
            <w:r/>
            <w:r>
              <w:rPr>
                <w:b w:val="0"/>
                <w:sz w:val="14"/>
              </w:rPr>
              <w:t>Fraud case + operational incident + possible security incident</w:t>
            </w:r>
          </w:p>
        </w:tc>
      </w:tr>
      <w:tr>
        <w:tc>
          <w:tcPr>
            <w:tcW w:type="dxa" w:w="5155"/>
            <w:vAlign w:val="center"/>
          </w:tcPr>
          <w:p>
            <w:r/>
            <w:r>
              <w:rPr>
                <w:b w:val="0"/>
                <w:sz w:val="14"/>
              </w:rPr>
              <w:t>Investment trade above authority</w:t>
            </w:r>
          </w:p>
        </w:tc>
        <w:tc>
          <w:tcPr>
            <w:tcW w:type="dxa" w:w="5155"/>
            <w:vAlign w:val="center"/>
          </w:tcPr>
          <w:p>
            <w:r/>
            <w:r>
              <w:rPr>
                <w:b w:val="0"/>
                <w:sz w:val="14"/>
              </w:rPr>
              <w:t>Investment breach + compliance breach + access review if system enabled</w:t>
            </w:r>
          </w:p>
        </w:tc>
      </w:tr>
      <w:tr>
        <w:tc>
          <w:tcPr>
            <w:tcW w:type="dxa" w:w="5155"/>
            <w:vAlign w:val="center"/>
          </w:tcPr>
          <w:p>
            <w:r/>
            <w:r>
              <w:rPr>
                <w:b w:val="0"/>
                <w:sz w:val="14"/>
              </w:rPr>
              <w:t>KYC restriction bypassed at disbursement</w:t>
            </w:r>
          </w:p>
        </w:tc>
        <w:tc>
          <w:tcPr>
            <w:tcW w:type="dxa" w:w="5155"/>
            <w:vAlign w:val="center"/>
          </w:tcPr>
          <w:p>
            <w:r/>
            <w:r>
              <w:rPr>
                <w:b w:val="0"/>
                <w:sz w:val="14"/>
              </w:rPr>
              <w:t>Credit/operations breach + KYC/AML + compliance</w:t>
            </w:r>
          </w:p>
        </w:tc>
      </w:tr>
      <w:tr>
        <w:tc>
          <w:tcPr>
            <w:tcW w:type="dxa" w:w="5155"/>
            <w:vAlign w:val="center"/>
          </w:tcPr>
          <w:p>
            <w:r/>
            <w:r>
              <w:rPr>
                <w:b w:val="0"/>
                <w:sz w:val="14"/>
              </w:rPr>
              <w:t>Vendor outage from ransomware</w:t>
            </w:r>
          </w:p>
        </w:tc>
        <w:tc>
          <w:tcPr>
            <w:tcW w:type="dxa" w:w="5155"/>
            <w:vAlign w:val="center"/>
          </w:tcPr>
          <w:p>
            <w:r/>
            <w:r>
              <w:rPr>
                <w:b w:val="0"/>
                <w:sz w:val="14"/>
              </w:rPr>
              <w:t>Vendor incident + security incident + BCP/operational risk</w:t>
            </w:r>
          </w:p>
        </w:tc>
      </w:tr>
      <w:tr>
        <w:tc>
          <w:tcPr>
            <w:tcW w:type="dxa" w:w="5155"/>
            <w:vAlign w:val="center"/>
          </w:tcPr>
          <w:p>
            <w:r/>
            <w:r>
              <w:rPr>
                <w:b w:val="0"/>
                <w:sz w:val="14"/>
              </w:rPr>
              <w:t>Employee falsifies checker step</w:t>
            </w:r>
          </w:p>
        </w:tc>
        <w:tc>
          <w:tcPr>
            <w:tcW w:type="dxa" w:w="5155"/>
            <w:vAlign w:val="center"/>
          </w:tcPr>
          <w:p>
            <w:r/>
            <w:r>
              <w:rPr>
                <w:b w:val="0"/>
                <w:sz w:val="14"/>
              </w:rPr>
              <w:t>HR/conduct + compliance breach + operational risk/fraud assessment</w:t>
            </w:r>
          </w:p>
        </w:tc>
      </w:tr>
    </w:tbl>
    <w:p/>
    <w:p>
      <w:r>
        <w:br w:type="page"/>
      </w:r>
    </w:p>
    <w:p>
      <w:pPr>
        <w:pStyle w:val="Heading1"/>
      </w:pPr>
      <w:r>
        <w:t>Appendix Z — Operational Metrics Dictionary</w:t>
      </w:r>
    </w:p>
    <w:p>
      <w:r>
        <w:t>Operational metrics should not reward speed at the expense of control quality.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Metric</w:t>
            </w:r>
          </w:p>
        </w:tc>
        <w:tc>
          <w:tcPr>
            <w:tcW w:type="dxa" w:w="5155"/>
            <w:vAlign w:val="center"/>
            <w:shd w:fill="17365D"/>
          </w:tcPr>
          <w:p>
            <w:r/>
            <w:r>
              <w:rPr>
                <w:b/>
                <w:color w:val="FFFFFF"/>
                <w:sz w:val="15"/>
              </w:rPr>
              <w:t>Definition / Guardrail</w:t>
            </w:r>
          </w:p>
        </w:tc>
      </w:tr>
      <w:tr>
        <w:tc>
          <w:tcPr>
            <w:tcW w:type="dxa" w:w="5155"/>
            <w:vAlign w:val="center"/>
          </w:tcPr>
          <w:p>
            <w:r/>
            <w:r>
              <w:rPr>
                <w:b w:val="0"/>
                <w:sz w:val="14"/>
              </w:rPr>
              <w:t>Turnaround time</w:t>
            </w:r>
          </w:p>
        </w:tc>
        <w:tc>
          <w:tcPr>
            <w:tcW w:type="dxa" w:w="5155"/>
            <w:vAlign w:val="center"/>
          </w:tcPr>
          <w:p>
            <w:r/>
            <w:r>
              <w:rPr>
                <w:b w:val="0"/>
                <w:sz w:val="14"/>
              </w:rPr>
              <w:t>Measure from defined start/end; report separately for control holds</w:t>
            </w:r>
          </w:p>
        </w:tc>
      </w:tr>
      <w:tr>
        <w:tc>
          <w:tcPr>
            <w:tcW w:type="dxa" w:w="5155"/>
            <w:vAlign w:val="center"/>
          </w:tcPr>
          <w:p>
            <w:r/>
            <w:r>
              <w:rPr>
                <w:b w:val="0"/>
                <w:sz w:val="14"/>
              </w:rPr>
              <w:t>First-time-right</w:t>
            </w:r>
          </w:p>
        </w:tc>
        <w:tc>
          <w:tcPr>
            <w:tcW w:type="dxa" w:w="5155"/>
            <w:vAlign w:val="center"/>
          </w:tcPr>
          <w:p>
            <w:r/>
            <w:r>
              <w:rPr>
                <w:b w:val="0"/>
                <w:sz w:val="14"/>
              </w:rPr>
              <w:t>Cases without rework; exclude deliberate concealment</w:t>
            </w:r>
          </w:p>
        </w:tc>
      </w:tr>
      <w:tr>
        <w:tc>
          <w:tcPr>
            <w:tcW w:type="dxa" w:w="5155"/>
            <w:vAlign w:val="center"/>
          </w:tcPr>
          <w:p>
            <w:r/>
            <w:r>
              <w:rPr>
                <w:b w:val="0"/>
                <w:sz w:val="14"/>
              </w:rPr>
              <w:t>QA defect rate</w:t>
            </w:r>
          </w:p>
        </w:tc>
        <w:tc>
          <w:tcPr>
            <w:tcW w:type="dxa" w:w="5155"/>
            <w:vAlign w:val="center"/>
          </w:tcPr>
          <w:p>
            <w:r/>
            <w:r>
              <w:rPr>
                <w:b w:val="0"/>
                <w:sz w:val="14"/>
              </w:rPr>
              <w:t>Defects / sampled cases with severity segmentation</w:t>
            </w:r>
          </w:p>
        </w:tc>
      </w:tr>
      <w:tr>
        <w:tc>
          <w:tcPr>
            <w:tcW w:type="dxa" w:w="5155"/>
            <w:vAlign w:val="center"/>
          </w:tcPr>
          <w:p>
            <w:r/>
            <w:r>
              <w:rPr>
                <w:b w:val="0"/>
                <w:sz w:val="14"/>
              </w:rPr>
              <w:t>Maker-checker failure</w:t>
            </w:r>
          </w:p>
        </w:tc>
        <w:tc>
          <w:tcPr>
            <w:tcW w:type="dxa" w:w="5155"/>
            <w:vAlign w:val="center"/>
          </w:tcPr>
          <w:p>
            <w:r/>
            <w:r>
              <w:rPr>
                <w:b w:val="0"/>
                <w:sz w:val="14"/>
              </w:rPr>
              <w:t>Controlled action released without valid independent check</w:t>
            </w:r>
          </w:p>
        </w:tc>
      </w:tr>
      <w:tr>
        <w:tc>
          <w:tcPr>
            <w:tcW w:type="dxa" w:w="5155"/>
            <w:vAlign w:val="center"/>
          </w:tcPr>
          <w:p>
            <w:r/>
            <w:r>
              <w:rPr>
                <w:b w:val="0"/>
                <w:sz w:val="14"/>
              </w:rPr>
              <w:t>Unauthorized approval</w:t>
            </w:r>
          </w:p>
        </w:tc>
        <w:tc>
          <w:tcPr>
            <w:tcW w:type="dxa" w:w="5155"/>
            <w:vAlign w:val="center"/>
          </w:tcPr>
          <w:p>
            <w:r/>
            <w:r>
              <w:rPr>
                <w:b w:val="0"/>
                <w:sz w:val="14"/>
              </w:rPr>
              <w:t>Decision outside current delegated authority</w:t>
            </w:r>
          </w:p>
        </w:tc>
      </w:tr>
      <w:tr>
        <w:tc>
          <w:tcPr>
            <w:tcW w:type="dxa" w:w="5155"/>
            <w:vAlign w:val="center"/>
          </w:tcPr>
          <w:p>
            <w:r/>
            <w:r>
              <w:rPr>
                <w:b w:val="0"/>
                <w:sz w:val="14"/>
              </w:rPr>
              <w:t>Customer complaint rate</w:t>
            </w:r>
          </w:p>
        </w:tc>
        <w:tc>
          <w:tcPr>
            <w:tcW w:type="dxa" w:w="5155"/>
            <w:vAlign w:val="center"/>
          </w:tcPr>
          <w:p>
            <w:r/>
            <w:r>
              <w:rPr>
                <w:b w:val="0"/>
                <w:sz w:val="14"/>
              </w:rPr>
              <w:t>Complaints per relevant population; theme and severity matter</w:t>
            </w:r>
          </w:p>
        </w:tc>
      </w:tr>
      <w:tr>
        <w:tc>
          <w:tcPr>
            <w:tcW w:type="dxa" w:w="5155"/>
            <w:vAlign w:val="center"/>
          </w:tcPr>
          <w:p>
            <w:r/>
            <w:r>
              <w:rPr>
                <w:b w:val="0"/>
                <w:sz w:val="14"/>
              </w:rPr>
              <w:t>Training overdue</w:t>
            </w:r>
          </w:p>
        </w:tc>
        <w:tc>
          <w:tcPr>
            <w:tcW w:type="dxa" w:w="5155"/>
            <w:vAlign w:val="center"/>
          </w:tcPr>
          <w:p>
            <w:r/>
            <w:r>
              <w:rPr>
                <w:b w:val="0"/>
                <w:sz w:val="14"/>
              </w:rPr>
              <w:t>Required training past due for in-scope role</w:t>
            </w:r>
          </w:p>
        </w:tc>
      </w:tr>
      <w:tr>
        <w:tc>
          <w:tcPr>
            <w:tcW w:type="dxa" w:w="5155"/>
            <w:vAlign w:val="center"/>
          </w:tcPr>
          <w:p>
            <w:r/>
            <w:r>
              <w:rPr>
                <w:b w:val="0"/>
                <w:sz w:val="14"/>
              </w:rPr>
              <w:t>Access exception ageing</w:t>
            </w:r>
          </w:p>
        </w:tc>
        <w:tc>
          <w:tcPr>
            <w:tcW w:type="dxa" w:w="5155"/>
            <w:vAlign w:val="center"/>
          </w:tcPr>
          <w:p>
            <w:r/>
            <w:r>
              <w:rPr>
                <w:b w:val="0"/>
                <w:sz w:val="14"/>
              </w:rPr>
              <w:t>Open employee access exceptions past target/expiry</w:t>
            </w:r>
          </w:p>
        </w:tc>
      </w:tr>
    </w:tbl>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