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w:hAnsi="Aptos"/>
          <w:b/>
          <w:color w:val="17365D"/>
          <w:sz w:val="30"/>
        </w:rPr>
        <w:t>NORTHSTAR FINANCIAL</w:t>
      </w:r>
    </w:p>
    <w:p>
      <w:pPr>
        <w:spacing w:before="440"/>
        <w:jc w:val="center"/>
      </w:pPr>
      <w:r>
        <w:rPr>
          <w:rFonts w:ascii="Aptos" w:hAnsi="Aptos"/>
          <w:b/>
          <w:color w:val="17365D"/>
          <w:sz w:val="48"/>
        </w:rPr>
        <w:t>Enhanced Due Diligence Procedure</w:t>
      </w:r>
    </w:p>
    <w:p>
      <w:pPr>
        <w:spacing w:before="160"/>
        <w:jc w:val="center"/>
      </w:pPr>
      <w:r>
        <w:rPr>
          <w:rFonts w:ascii="Aptos" w:hAnsi="Aptos"/>
          <w:b/>
          <w:color w:val="365F91"/>
          <w:sz w:val="26"/>
        </w:rPr>
        <w:t>EDD-032</w:t>
      </w:r>
    </w:p>
    <w:p>
      <w:pPr>
        <w:jc w:val="center"/>
      </w:pPr>
      <w:r>
        <w:rPr>
          <w:rFonts w:ascii="Aptos" w:hAnsi="Aptos"/>
          <w:color w:val="666666"/>
          <w:sz w:val="21"/>
        </w:rPr>
        <w:t>Version 1.0  |  Effective 15 October 2025</w:t>
      </w:r>
    </w:p>
    <w:p>
      <w:pPr>
        <w:jc w:val="center"/>
      </w:pPr>
      <w:r>
        <w:rPr>
          <w:rFonts w:ascii="Aptos" w:hAnsi="Aptos"/>
          <w:b/>
          <w:color w:val="666666"/>
          <w:sz w:val="18"/>
        </w:rPr>
        <w:t>Classification: INTERNAL — CONTROLLED</w:t>
      </w:r>
    </w:p>
    <w:p/>
    <w:p>
      <w:pPr>
        <w:ind w:left="504" w:right="504"/>
        <w:jc w:val="center"/>
      </w:pPr>
      <w:r>
        <w:rPr>
          <w:rFonts w:ascii="Aptos" w:hAnsi="Aptos"/>
          <w:i/>
          <w:color w:val="666666"/>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448"/>
            <w:shd w:fill="17365D"/>
            <w:vAlign w:val="center"/>
            <w:tcMar>
              <w:top w:w="80" w:type="dxa"/>
              <w:start w:w="90" w:type="dxa"/>
              <w:bottom w:w="80" w:type="dxa"/>
              <w:end w:w="90" w:type="dxa"/>
            </w:tcMar>
          </w:tcPr>
          <w:p>
            <w:r>
              <w:rPr>
                <w:rFonts w:ascii="Aptos" w:hAnsi="Aptos"/>
                <w:b/>
                <w:color w:val="FFFFFF"/>
                <w:sz w:val="17"/>
              </w:rPr>
              <w:t>Field</w:t>
            </w:r>
          </w:p>
        </w:tc>
        <w:tc>
          <w:tcPr>
            <w:tcW w:type="dxa" w:w="7920"/>
            <w:shd w:fill="17365D"/>
            <w:vAlign w:val="center"/>
            <w:tcMar>
              <w:top w:w="80" w:type="dxa"/>
              <w:start w:w="90" w:type="dxa"/>
              <w:bottom w:w="80" w:type="dxa"/>
              <w:end w:w="90" w:type="dxa"/>
            </w:tcMar>
          </w:tcPr>
          <w:p>
            <w:r>
              <w:rPr>
                <w:rFonts w:ascii="Aptos" w:hAnsi="Aptos"/>
                <w:b/>
                <w:color w:val="FFFFFF"/>
                <w:sz w:val="17"/>
              </w:rPr>
              <w:t>Controlled Value</w:t>
            </w:r>
          </w:p>
        </w:tc>
      </w:tr>
      <w:tr>
        <w:tc>
          <w:tcPr>
            <w:tcW w:type="dxa" w:w="2448"/>
            <w:tcMar>
              <w:top w:w="80" w:type="dxa"/>
              <w:start w:w="90" w:type="dxa"/>
              <w:bottom w:w="80" w:type="dxa"/>
              <w:end w:w="90" w:type="dxa"/>
            </w:tcMar>
            <w:vAlign w:val="top"/>
          </w:tcPr>
          <w:p>
            <w:r>
              <w:rPr>
                <w:rFonts w:ascii="Aptos" w:hAnsi="Aptos"/>
                <w:b/>
                <w:sz w:val="17"/>
              </w:rPr>
              <w:t>Document ID</w:t>
            </w:r>
          </w:p>
        </w:tc>
        <w:tc>
          <w:tcPr>
            <w:tcW w:type="dxa" w:w="7920"/>
            <w:tcMar>
              <w:top w:w="80" w:type="dxa"/>
              <w:start w:w="90" w:type="dxa"/>
              <w:bottom w:w="80" w:type="dxa"/>
              <w:end w:w="90" w:type="dxa"/>
            </w:tcMar>
            <w:vAlign w:val="top"/>
          </w:tcPr>
          <w:p>
            <w:r>
              <w:rPr>
                <w:rFonts w:ascii="Aptos" w:hAnsi="Aptos"/>
                <w:b w:val="0"/>
                <w:sz w:val="17"/>
              </w:rPr>
              <w:t>EDD-032</w:t>
            </w:r>
          </w:p>
        </w:tc>
      </w:tr>
      <w:tr>
        <w:tc>
          <w:tcPr>
            <w:tcW w:type="dxa" w:w="2448"/>
            <w:tcMar>
              <w:top w:w="80" w:type="dxa"/>
              <w:start w:w="90" w:type="dxa"/>
              <w:bottom w:w="80" w:type="dxa"/>
              <w:end w:w="90" w:type="dxa"/>
            </w:tcMar>
            <w:vAlign w:val="top"/>
            <w:shd w:fill="F7FAFC"/>
          </w:tcPr>
          <w:p>
            <w:r>
              <w:rPr>
                <w:rFonts w:ascii="Aptos" w:hAnsi="Aptos"/>
                <w:b/>
                <w:sz w:val="17"/>
              </w:rPr>
              <w:t>Document Title</w:t>
            </w:r>
          </w:p>
        </w:tc>
        <w:tc>
          <w:tcPr>
            <w:tcW w:type="dxa" w:w="7920"/>
            <w:tcMar>
              <w:top w:w="80" w:type="dxa"/>
              <w:start w:w="90" w:type="dxa"/>
              <w:bottom w:w="80" w:type="dxa"/>
              <w:end w:w="90" w:type="dxa"/>
            </w:tcMar>
            <w:vAlign w:val="top"/>
            <w:shd w:fill="F7FAFC"/>
          </w:tcPr>
          <w:p>
            <w:r>
              <w:rPr>
                <w:rFonts w:ascii="Aptos" w:hAnsi="Aptos"/>
                <w:b w:val="0"/>
                <w:sz w:val="17"/>
              </w:rPr>
              <w:t>Enhanced Due Diligence Procedure</w:t>
            </w:r>
          </w:p>
        </w:tc>
      </w:tr>
      <w:tr>
        <w:tc>
          <w:tcPr>
            <w:tcW w:type="dxa" w:w="2448"/>
            <w:tcMar>
              <w:top w:w="80" w:type="dxa"/>
              <w:start w:w="90" w:type="dxa"/>
              <w:bottom w:w="80" w:type="dxa"/>
              <w:end w:w="90" w:type="dxa"/>
            </w:tcMar>
            <w:vAlign w:val="top"/>
          </w:tcPr>
          <w:p>
            <w:r>
              <w:rPr>
                <w:rFonts w:ascii="Aptos" w:hAnsi="Aptos"/>
                <w:b/>
                <w:sz w:val="17"/>
              </w:rPr>
              <w:t>Version</w:t>
            </w:r>
          </w:p>
        </w:tc>
        <w:tc>
          <w:tcPr>
            <w:tcW w:type="dxa" w:w="7920"/>
            <w:tcMar>
              <w:top w:w="80" w:type="dxa"/>
              <w:start w:w="90" w:type="dxa"/>
              <w:bottom w:w="80" w:type="dxa"/>
              <w:end w:w="90" w:type="dxa"/>
            </w:tcMar>
            <w:vAlign w:val="top"/>
          </w:tcPr>
          <w:p>
            <w:r>
              <w:rPr>
                <w:rFonts w:ascii="Aptos" w:hAnsi="Aptos"/>
                <w:b w:val="0"/>
                <w:sz w:val="17"/>
              </w:rPr>
              <w:t>1.0</w:t>
            </w:r>
          </w:p>
        </w:tc>
      </w:tr>
      <w:tr>
        <w:tc>
          <w:tcPr>
            <w:tcW w:type="dxa" w:w="2448"/>
            <w:tcMar>
              <w:top w:w="80" w:type="dxa"/>
              <w:start w:w="90" w:type="dxa"/>
              <w:bottom w:w="80" w:type="dxa"/>
              <w:end w:w="90" w:type="dxa"/>
            </w:tcMar>
            <w:vAlign w:val="top"/>
            <w:shd w:fill="F7FAFC"/>
          </w:tcPr>
          <w:p>
            <w:r>
              <w:rPr>
                <w:rFonts w:ascii="Aptos" w:hAnsi="Aptos"/>
                <w:b/>
                <w:sz w:val="17"/>
              </w:rPr>
              <w:t>Policy Owner</w:t>
            </w:r>
          </w:p>
        </w:tc>
        <w:tc>
          <w:tcPr>
            <w:tcW w:type="dxa" w:w="7920"/>
            <w:tcMar>
              <w:top w:w="80" w:type="dxa"/>
              <w:start w:w="90" w:type="dxa"/>
              <w:bottom w:w="80" w:type="dxa"/>
              <w:end w:w="90" w:type="dxa"/>
            </w:tcMar>
            <w:vAlign w:val="top"/>
            <w:shd w:fill="F7FAFC"/>
          </w:tcPr>
          <w:p>
            <w:r>
              <w:rPr>
                <w:rFonts w:ascii="Aptos" w:hAnsi="Aptos"/>
                <w:b w:val="0"/>
                <w:sz w:val="17"/>
              </w:rPr>
              <w:t>Farah Qureshi — Head of AML Monitoring</w:t>
            </w:r>
          </w:p>
        </w:tc>
      </w:tr>
      <w:tr>
        <w:tc>
          <w:tcPr>
            <w:tcW w:type="dxa" w:w="2448"/>
            <w:tcMar>
              <w:top w:w="80" w:type="dxa"/>
              <w:start w:w="90" w:type="dxa"/>
              <w:bottom w:w="80" w:type="dxa"/>
              <w:end w:w="90" w:type="dxa"/>
            </w:tcMar>
            <w:vAlign w:val="top"/>
          </w:tcPr>
          <w:p>
            <w:r>
              <w:rPr>
                <w:rFonts w:ascii="Aptos" w:hAnsi="Aptos"/>
                <w:b/>
                <w:sz w:val="17"/>
              </w:rPr>
              <w:t>Business Unit</w:t>
            </w:r>
          </w:p>
        </w:tc>
        <w:tc>
          <w:tcPr>
            <w:tcW w:type="dxa" w:w="7920"/>
            <w:tcMar>
              <w:top w:w="80" w:type="dxa"/>
              <w:start w:w="90" w:type="dxa"/>
              <w:bottom w:w="80" w:type="dxa"/>
              <w:end w:w="90" w:type="dxa"/>
            </w:tcMar>
            <w:vAlign w:val="top"/>
          </w:tcPr>
          <w:p>
            <w:r>
              <w:rPr>
                <w:rFonts w:ascii="Aptos" w:hAnsi="Aptos"/>
                <w:b w:val="0"/>
                <w:sz w:val="17"/>
              </w:rPr>
              <w:t>AML Compliance / Financial Crime Compliance</w:t>
            </w:r>
          </w:p>
        </w:tc>
      </w:tr>
      <w:tr>
        <w:tc>
          <w:tcPr>
            <w:tcW w:type="dxa" w:w="2448"/>
            <w:tcMar>
              <w:top w:w="80" w:type="dxa"/>
              <w:start w:w="90" w:type="dxa"/>
              <w:bottom w:w="80" w:type="dxa"/>
              <w:end w:w="90" w:type="dxa"/>
            </w:tcMar>
            <w:vAlign w:val="top"/>
            <w:shd w:fill="F7FAFC"/>
          </w:tcPr>
          <w:p>
            <w:r>
              <w:rPr>
                <w:rFonts w:ascii="Aptos" w:hAnsi="Aptos"/>
                <w:b/>
                <w:sz w:val="17"/>
              </w:rPr>
              <w:t>Approving Authority</w:t>
            </w:r>
          </w:p>
        </w:tc>
        <w:tc>
          <w:tcPr>
            <w:tcW w:type="dxa" w:w="7920"/>
            <w:tcMar>
              <w:top w:w="80" w:type="dxa"/>
              <w:start w:w="90" w:type="dxa"/>
              <w:bottom w:w="80" w:type="dxa"/>
              <w:end w:w="90" w:type="dxa"/>
            </w:tcMar>
            <w:vAlign w:val="top"/>
            <w:shd w:fill="F7FAFC"/>
          </w:tcPr>
          <w:p>
            <w:r>
              <w:rPr>
                <w:rFonts w:ascii="Aptos" w:hAnsi="Aptos"/>
                <w:b w:val="0"/>
                <w:sz w:val="17"/>
              </w:rPr>
              <w:t>Chief AML Officer</w:t>
            </w:r>
          </w:p>
        </w:tc>
      </w:tr>
      <w:tr>
        <w:tc>
          <w:tcPr>
            <w:tcW w:type="dxa" w:w="2448"/>
            <w:tcMar>
              <w:top w:w="80" w:type="dxa"/>
              <w:start w:w="90" w:type="dxa"/>
              <w:bottom w:w="80" w:type="dxa"/>
              <w:end w:w="90" w:type="dxa"/>
            </w:tcMar>
            <w:vAlign w:val="top"/>
          </w:tcPr>
          <w:p>
            <w:r>
              <w:rPr>
                <w:rFonts w:ascii="Aptos" w:hAnsi="Aptos"/>
                <w:b/>
                <w:sz w:val="17"/>
              </w:rPr>
              <w:t>Effective Date</w:t>
            </w:r>
          </w:p>
        </w:tc>
        <w:tc>
          <w:tcPr>
            <w:tcW w:type="dxa" w:w="7920"/>
            <w:tcMar>
              <w:top w:w="80" w:type="dxa"/>
              <w:start w:w="90" w:type="dxa"/>
              <w:bottom w:w="80" w:type="dxa"/>
              <w:end w:w="90" w:type="dxa"/>
            </w:tcMar>
            <w:vAlign w:val="top"/>
          </w:tcPr>
          <w:p>
            <w:r>
              <w:rPr>
                <w:rFonts w:ascii="Aptos" w:hAnsi="Aptos"/>
                <w:b w:val="0"/>
                <w:sz w:val="17"/>
              </w:rPr>
              <w:t>15 October 2025</w:t>
            </w:r>
          </w:p>
        </w:tc>
      </w:tr>
      <w:tr>
        <w:tc>
          <w:tcPr>
            <w:tcW w:type="dxa" w:w="2448"/>
            <w:tcMar>
              <w:top w:w="80" w:type="dxa"/>
              <w:start w:w="90" w:type="dxa"/>
              <w:bottom w:w="80" w:type="dxa"/>
              <w:end w:w="90" w:type="dxa"/>
            </w:tcMar>
            <w:vAlign w:val="top"/>
            <w:shd w:fill="F7FAFC"/>
          </w:tcPr>
          <w:p>
            <w:r>
              <w:rPr>
                <w:rFonts w:ascii="Aptos" w:hAnsi="Aptos"/>
                <w:b/>
                <w:sz w:val="17"/>
              </w:rPr>
              <w:t>Previous Version</w:t>
            </w:r>
          </w:p>
        </w:tc>
        <w:tc>
          <w:tcPr>
            <w:tcW w:type="dxa" w:w="7920"/>
            <w:tcMar>
              <w:top w:w="80" w:type="dxa"/>
              <w:start w:w="90" w:type="dxa"/>
              <w:bottom w:w="80" w:type="dxa"/>
              <w:end w:w="90" w:type="dxa"/>
            </w:tcMar>
            <w:vAlign w:val="top"/>
            <w:shd w:fill="F7FAFC"/>
          </w:tcPr>
          <w:p>
            <w:r>
              <w:rPr>
                <w:rFonts w:ascii="Aptos" w:hAnsi="Aptos"/>
                <w:b w:val="0"/>
                <w:sz w:val="17"/>
              </w:rPr>
              <w:t>New controlled procedure</w:t>
            </w:r>
          </w:p>
        </w:tc>
      </w:tr>
      <w:tr>
        <w:tc>
          <w:tcPr>
            <w:tcW w:type="dxa" w:w="2448"/>
            <w:tcMar>
              <w:top w:w="80" w:type="dxa"/>
              <w:start w:w="90" w:type="dxa"/>
              <w:bottom w:w="80" w:type="dxa"/>
              <w:end w:w="90" w:type="dxa"/>
            </w:tcMar>
            <w:vAlign w:val="top"/>
          </w:tcPr>
          <w:p>
            <w:r>
              <w:rPr>
                <w:rFonts w:ascii="Aptos" w:hAnsi="Aptos"/>
                <w:b/>
                <w:sz w:val="17"/>
              </w:rPr>
              <w:t>Review Frequency</w:t>
            </w:r>
          </w:p>
        </w:tc>
        <w:tc>
          <w:tcPr>
            <w:tcW w:type="dxa" w:w="7920"/>
            <w:tcMar>
              <w:top w:w="80" w:type="dxa"/>
              <w:start w:w="90" w:type="dxa"/>
              <w:bottom w:w="80" w:type="dxa"/>
              <w:end w:w="90" w:type="dxa"/>
            </w:tcMar>
            <w:vAlign w:val="top"/>
          </w:tcPr>
          <w:p>
            <w:r>
              <w:rPr>
                <w:rFonts w:ascii="Aptos" w:hAnsi="Aptos"/>
                <w:b w:val="0"/>
                <w:sz w:val="17"/>
              </w:rPr>
              <w:t>Annual</w:t>
            </w:r>
          </w:p>
        </w:tc>
      </w:tr>
      <w:tr>
        <w:tc>
          <w:tcPr>
            <w:tcW w:type="dxa" w:w="2448"/>
            <w:tcMar>
              <w:top w:w="80" w:type="dxa"/>
              <w:start w:w="90" w:type="dxa"/>
              <w:bottom w:w="80" w:type="dxa"/>
              <w:end w:w="90" w:type="dxa"/>
            </w:tcMar>
            <w:vAlign w:val="top"/>
            <w:shd w:fill="F7FAFC"/>
          </w:tcPr>
          <w:p>
            <w:r>
              <w:rPr>
                <w:rFonts w:ascii="Aptos" w:hAnsi="Aptos"/>
                <w:b/>
                <w:sz w:val="17"/>
              </w:rPr>
              <w:t>Classification</w:t>
            </w:r>
          </w:p>
        </w:tc>
        <w:tc>
          <w:tcPr>
            <w:tcW w:type="dxa" w:w="7920"/>
            <w:tcMar>
              <w:top w:w="80" w:type="dxa"/>
              <w:start w:w="90" w:type="dxa"/>
              <w:bottom w:w="80" w:type="dxa"/>
              <w:end w:w="90" w:type="dxa"/>
            </w:tcMar>
            <w:vAlign w:val="top"/>
            <w:shd w:fill="F7FAFC"/>
          </w:tcPr>
          <w:p>
            <w:r>
              <w:rPr>
                <w:rFonts w:ascii="Aptos" w:hAnsi="Aptos"/>
                <w:b w:val="0"/>
                <w:sz w:val="17"/>
              </w:rPr>
              <w:t>INTERNAL — CONTROLLED</w:t>
            </w:r>
          </w:p>
        </w:tc>
      </w:tr>
      <w:tr>
        <w:tc>
          <w:tcPr>
            <w:tcW w:type="dxa" w:w="2448"/>
            <w:tcMar>
              <w:top w:w="80" w:type="dxa"/>
              <w:start w:w="90" w:type="dxa"/>
              <w:bottom w:w="80" w:type="dxa"/>
              <w:end w:w="90" w:type="dxa"/>
            </w:tcMar>
            <w:vAlign w:val="top"/>
          </w:tcPr>
          <w:p>
            <w:r>
              <w:rPr>
                <w:rFonts w:ascii="Aptos" w:hAnsi="Aptos"/>
                <w:b/>
                <w:sz w:val="17"/>
              </w:rPr>
              <w:t>Status</w:t>
            </w:r>
          </w:p>
        </w:tc>
        <w:tc>
          <w:tcPr>
            <w:tcW w:type="dxa" w:w="7920"/>
            <w:tcMar>
              <w:top w:w="80" w:type="dxa"/>
              <w:start w:w="90" w:type="dxa"/>
              <w:bottom w:w="80" w:type="dxa"/>
              <w:end w:w="90" w:type="dxa"/>
            </w:tcMar>
            <w:vAlign w:val="top"/>
          </w:tcPr>
          <w:p>
            <w:r>
              <w:rPr>
                <w:rFonts w:ascii="Aptos" w:hAnsi="Aptos"/>
                <w:b w:val="0"/>
                <w:sz w:val="17"/>
              </w:rPr>
              <w:t>Approved</w:t>
            </w:r>
          </w:p>
        </w:tc>
      </w:tr>
      <w:tr>
        <w:tc>
          <w:tcPr>
            <w:tcW w:type="dxa" w:w="2448"/>
            <w:tcMar>
              <w:top w:w="80" w:type="dxa"/>
              <w:start w:w="90" w:type="dxa"/>
              <w:bottom w:w="80" w:type="dxa"/>
              <w:end w:w="90" w:type="dxa"/>
            </w:tcMar>
            <w:vAlign w:val="top"/>
            <w:shd w:fill="F7FAFC"/>
          </w:tcPr>
          <w:p>
            <w:r>
              <w:rPr>
                <w:rFonts w:ascii="Aptos" w:hAnsi="Aptos"/>
                <w:b/>
                <w:sz w:val="17"/>
              </w:rPr>
              <w:t>Supersedes</w:t>
            </w:r>
          </w:p>
        </w:tc>
        <w:tc>
          <w:tcPr>
            <w:tcW w:type="dxa" w:w="7920"/>
            <w:tcMar>
              <w:top w:w="80" w:type="dxa"/>
              <w:start w:w="90" w:type="dxa"/>
              <w:bottom w:w="80" w:type="dxa"/>
              <w:end w:w="90" w:type="dxa"/>
            </w:tcMar>
            <w:vAlign w:val="top"/>
            <w:shd w:fill="F7FAFC"/>
          </w:tcPr>
          <w:p>
            <w:r>
              <w:rPr>
                <w:rFonts w:ascii="Aptos" w:hAnsi="Aptos"/>
                <w:b w:val="0"/>
                <w:sz w:val="17"/>
              </w:rPr>
              <w:t>Departmental EDD desk instructions dated 12 Aug 2024</w:t>
            </w:r>
          </w:p>
        </w:tc>
      </w:tr>
      <w:tr>
        <w:tc>
          <w:tcPr>
            <w:tcW w:type="dxa" w:w="2448"/>
            <w:tcMar>
              <w:top w:w="80" w:type="dxa"/>
              <w:start w:w="90" w:type="dxa"/>
              <w:bottom w:w="80" w:type="dxa"/>
              <w:end w:w="90" w:type="dxa"/>
            </w:tcMar>
            <w:vAlign w:val="top"/>
          </w:tcPr>
          <w:p>
            <w:r>
              <w:rPr>
                <w:rFonts w:ascii="Aptos" w:hAnsi="Aptos"/>
                <w:b/>
                <w:sz w:val="17"/>
              </w:rPr>
              <w:t>Related Documents</w:t>
            </w:r>
          </w:p>
        </w:tc>
        <w:tc>
          <w:tcPr>
            <w:tcW w:type="dxa" w:w="7920"/>
            <w:tcMar>
              <w:top w:w="80" w:type="dxa"/>
              <w:start w:w="90" w:type="dxa"/>
              <w:bottom w:w="80" w:type="dxa"/>
              <w:end w:w="90" w:type="dxa"/>
            </w:tcMar>
            <w:vAlign w:val="top"/>
          </w:tcPr>
          <w:p>
            <w:r>
              <w:rPr>
                <w:rFonts w:ascii="Aptos" w:hAnsi="Aptos"/>
                <w:b w:val="0"/>
                <w:sz w:val="17"/>
              </w:rPr>
              <w:t>CDD-005; KYC-004; KEP-022; AML-003; ATM-031; CRR-033</w:t>
            </w:r>
          </w:p>
        </w:tc>
      </w:tr>
    </w:tbl>
    <w:p/>
    <w:p>
      <w:pPr>
        <w:pStyle w:val="Heading2"/>
      </w:pPr>
      <w:r>
        <w:t>Approval Record</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448"/>
            <w:shd w:fill="17365D"/>
            <w:vAlign w:val="center"/>
            <w:tcMar>
              <w:top w:w="80" w:type="dxa"/>
              <w:start w:w="90" w:type="dxa"/>
              <w:bottom w:w="80" w:type="dxa"/>
              <w:end w:w="90" w:type="dxa"/>
            </w:tcMar>
          </w:tcPr>
          <w:p>
            <w:r>
              <w:rPr>
                <w:rFonts w:ascii="Aptos" w:hAnsi="Aptos"/>
                <w:b/>
                <w:color w:val="FFFFFF"/>
                <w:sz w:val="16"/>
              </w:rPr>
              <w:t>Role</w:t>
            </w:r>
          </w:p>
        </w:tc>
        <w:tc>
          <w:tcPr>
            <w:tcW w:type="dxa" w:w="4032"/>
            <w:shd w:fill="17365D"/>
            <w:vAlign w:val="center"/>
            <w:tcMar>
              <w:top w:w="80" w:type="dxa"/>
              <w:start w:w="90" w:type="dxa"/>
              <w:bottom w:w="80" w:type="dxa"/>
              <w:end w:w="90" w:type="dxa"/>
            </w:tcMar>
          </w:tcPr>
          <w:p>
            <w:r>
              <w:rPr>
                <w:rFonts w:ascii="Aptos" w:hAnsi="Aptos"/>
                <w:b/>
                <w:color w:val="FFFFFF"/>
                <w:sz w:val="16"/>
              </w:rPr>
              <w:t>Approver / Function</w:t>
            </w:r>
          </w:p>
        </w:tc>
        <w:tc>
          <w:tcPr>
            <w:tcW w:type="dxa" w:w="1728"/>
            <w:shd w:fill="17365D"/>
            <w:vAlign w:val="center"/>
            <w:tcMar>
              <w:top w:w="80" w:type="dxa"/>
              <w:start w:w="90" w:type="dxa"/>
              <w:bottom w:w="80" w:type="dxa"/>
              <w:end w:w="90" w:type="dxa"/>
            </w:tcMar>
          </w:tcPr>
          <w:p>
            <w:r>
              <w:rPr>
                <w:rFonts w:ascii="Aptos" w:hAnsi="Aptos"/>
                <w:b/>
                <w:color w:val="FFFFFF"/>
                <w:sz w:val="16"/>
              </w:rPr>
              <w:t>Approval Date</w:t>
            </w:r>
          </w:p>
        </w:tc>
        <w:tc>
          <w:tcPr>
            <w:tcW w:type="dxa" w:w="2160"/>
            <w:shd w:fill="17365D"/>
            <w:vAlign w:val="center"/>
            <w:tcMar>
              <w:top w:w="80" w:type="dxa"/>
              <w:start w:w="90" w:type="dxa"/>
              <w:bottom w:w="80" w:type="dxa"/>
              <w:end w:w="90" w:type="dxa"/>
            </w:tcMar>
          </w:tcPr>
          <w:p>
            <w:r>
              <w:rPr>
                <w:rFonts w:ascii="Aptos" w:hAnsi="Aptos"/>
                <w:b/>
                <w:color w:val="FFFFFF"/>
                <w:sz w:val="16"/>
              </w:rPr>
              <w:t>Decision</w:t>
            </w:r>
          </w:p>
        </w:tc>
      </w:tr>
      <w:tr>
        <w:tc>
          <w:tcPr>
            <w:tcW w:type="dxa" w:w="2448"/>
            <w:tcMar>
              <w:top w:w="80" w:type="dxa"/>
              <w:start w:w="90" w:type="dxa"/>
              <w:bottom w:w="80" w:type="dxa"/>
              <w:end w:w="90" w:type="dxa"/>
            </w:tcMar>
            <w:vAlign w:val="top"/>
          </w:tcPr>
          <w:p>
            <w:r>
              <w:rPr>
                <w:rFonts w:ascii="Aptos" w:hAnsi="Aptos"/>
                <w:b w:val="0"/>
                <w:sz w:val="16"/>
              </w:rPr>
              <w:t>Document Owner</w:t>
            </w:r>
          </w:p>
        </w:tc>
        <w:tc>
          <w:tcPr>
            <w:tcW w:type="dxa" w:w="4032"/>
            <w:tcMar>
              <w:top w:w="80" w:type="dxa"/>
              <w:start w:w="90" w:type="dxa"/>
              <w:bottom w:w="80" w:type="dxa"/>
              <w:end w:w="90" w:type="dxa"/>
            </w:tcMar>
            <w:vAlign w:val="top"/>
          </w:tcPr>
          <w:p>
            <w:r>
              <w:rPr>
                <w:rFonts w:ascii="Aptos" w:hAnsi="Aptos"/>
                <w:b w:val="0"/>
                <w:sz w:val="16"/>
              </w:rPr>
              <w:t>Farah Qureshi — Head of AML Monitoring</w:t>
            </w:r>
          </w:p>
        </w:tc>
        <w:tc>
          <w:tcPr>
            <w:tcW w:type="dxa" w:w="1728"/>
            <w:tcMar>
              <w:top w:w="80" w:type="dxa"/>
              <w:start w:w="90" w:type="dxa"/>
              <w:bottom w:w="80" w:type="dxa"/>
              <w:end w:w="90" w:type="dxa"/>
            </w:tcMar>
            <w:vAlign w:val="top"/>
          </w:tcPr>
          <w:p>
            <w:r>
              <w:rPr>
                <w:rFonts w:ascii="Aptos" w:hAnsi="Aptos"/>
                <w:b w:val="0"/>
                <w:sz w:val="16"/>
              </w:rPr>
              <w:t>2 October 2025</w:t>
            </w:r>
          </w:p>
        </w:tc>
        <w:tc>
          <w:tcPr>
            <w:tcW w:type="dxa" w:w="2160"/>
            <w:tcMar>
              <w:top w:w="80" w:type="dxa"/>
              <w:start w:w="90" w:type="dxa"/>
              <w:bottom w:w="80" w:type="dxa"/>
              <w:end w:w="90" w:type="dxa"/>
            </w:tcMar>
            <w:vAlign w:val="top"/>
          </w:tcPr>
          <w:p>
            <w:r>
              <w:rPr>
                <w:rFonts w:ascii="Aptos" w:hAnsi="Aptos"/>
                <w:b w:val="0"/>
                <w:sz w:val="16"/>
              </w:rPr>
              <w:t>Approved</w:t>
            </w:r>
          </w:p>
        </w:tc>
      </w:tr>
      <w:tr>
        <w:tc>
          <w:tcPr>
            <w:tcW w:type="dxa" w:w="2448"/>
            <w:tcMar>
              <w:top w:w="80" w:type="dxa"/>
              <w:start w:w="90" w:type="dxa"/>
              <w:bottom w:w="80" w:type="dxa"/>
              <w:end w:w="90" w:type="dxa"/>
            </w:tcMar>
            <w:vAlign w:val="top"/>
            <w:shd w:fill="F7FAFC"/>
          </w:tcPr>
          <w:p>
            <w:r>
              <w:rPr>
                <w:rFonts w:ascii="Aptos" w:hAnsi="Aptos"/>
                <w:b w:val="0"/>
                <w:sz w:val="16"/>
              </w:rPr>
              <w:t>Control Function Review</w:t>
            </w:r>
          </w:p>
        </w:tc>
        <w:tc>
          <w:tcPr>
            <w:tcW w:type="dxa" w:w="4032"/>
            <w:tcMar>
              <w:top w:w="80" w:type="dxa"/>
              <w:start w:w="90" w:type="dxa"/>
              <w:bottom w:w="80" w:type="dxa"/>
              <w:end w:w="90" w:type="dxa"/>
            </w:tcMar>
            <w:vAlign w:val="top"/>
            <w:shd w:fill="F7FAFC"/>
          </w:tcPr>
          <w:p>
            <w:r>
              <w:rPr>
                <w:rFonts w:ascii="Aptos" w:hAnsi="Aptos"/>
                <w:b w:val="0"/>
                <w:sz w:val="16"/>
              </w:rPr>
              <w:t>Legal / Compliance Advisory</w:t>
            </w:r>
          </w:p>
        </w:tc>
        <w:tc>
          <w:tcPr>
            <w:tcW w:type="dxa" w:w="1728"/>
            <w:tcMar>
              <w:top w:w="80" w:type="dxa"/>
              <w:start w:w="90" w:type="dxa"/>
              <w:bottom w:w="80" w:type="dxa"/>
              <w:end w:w="90" w:type="dxa"/>
            </w:tcMar>
            <w:vAlign w:val="top"/>
            <w:shd w:fill="F7FAFC"/>
          </w:tcPr>
          <w:p>
            <w:r>
              <w:rPr>
                <w:rFonts w:ascii="Aptos" w:hAnsi="Aptos"/>
                <w:b w:val="0"/>
                <w:sz w:val="16"/>
              </w:rPr>
              <w:t>2 October 2025</w:t>
            </w:r>
          </w:p>
        </w:tc>
        <w:tc>
          <w:tcPr>
            <w:tcW w:type="dxa" w:w="2160"/>
            <w:tcMar>
              <w:top w:w="80" w:type="dxa"/>
              <w:start w:w="90" w:type="dxa"/>
              <w:bottom w:w="80" w:type="dxa"/>
              <w:end w:w="90" w:type="dxa"/>
            </w:tcMar>
            <w:vAlign w:val="top"/>
            <w:shd w:fill="F7FAFC"/>
          </w:tcPr>
          <w:p>
            <w:r>
              <w:rPr>
                <w:rFonts w:ascii="Aptos" w:hAnsi="Aptos"/>
                <w:b w:val="0"/>
                <w:sz w:val="16"/>
              </w:rPr>
              <w:t>No objection</w:t>
            </w:r>
          </w:p>
        </w:tc>
      </w:tr>
      <w:tr>
        <w:tc>
          <w:tcPr>
            <w:tcW w:type="dxa" w:w="2448"/>
            <w:tcMar>
              <w:top w:w="80" w:type="dxa"/>
              <w:start w:w="90" w:type="dxa"/>
              <w:bottom w:w="80" w:type="dxa"/>
              <w:end w:w="90" w:type="dxa"/>
            </w:tcMar>
            <w:vAlign w:val="top"/>
          </w:tcPr>
          <w:p>
            <w:r>
              <w:rPr>
                <w:rFonts w:ascii="Aptos" w:hAnsi="Aptos"/>
                <w:b w:val="0"/>
                <w:sz w:val="16"/>
              </w:rPr>
              <w:t>Approving Authority</w:t>
            </w:r>
          </w:p>
        </w:tc>
        <w:tc>
          <w:tcPr>
            <w:tcW w:type="dxa" w:w="4032"/>
            <w:tcMar>
              <w:top w:w="80" w:type="dxa"/>
              <w:start w:w="90" w:type="dxa"/>
              <w:bottom w:w="80" w:type="dxa"/>
              <w:end w:w="90" w:type="dxa"/>
            </w:tcMar>
            <w:vAlign w:val="top"/>
          </w:tcPr>
          <w:p>
            <w:r>
              <w:rPr>
                <w:rFonts w:ascii="Aptos" w:hAnsi="Aptos"/>
                <w:b w:val="0"/>
                <w:sz w:val="16"/>
              </w:rPr>
              <w:t>Rohan Batra — Chief AML Officer</w:t>
            </w:r>
          </w:p>
        </w:tc>
        <w:tc>
          <w:tcPr>
            <w:tcW w:type="dxa" w:w="1728"/>
            <w:tcMar>
              <w:top w:w="80" w:type="dxa"/>
              <w:start w:w="90" w:type="dxa"/>
              <w:bottom w:w="80" w:type="dxa"/>
              <w:end w:w="90" w:type="dxa"/>
            </w:tcMar>
            <w:vAlign w:val="top"/>
          </w:tcPr>
          <w:p>
            <w:r>
              <w:rPr>
                <w:rFonts w:ascii="Aptos" w:hAnsi="Aptos"/>
                <w:b w:val="0"/>
                <w:sz w:val="16"/>
              </w:rPr>
              <w:t>2 October 2025</w:t>
            </w:r>
          </w:p>
        </w:tc>
        <w:tc>
          <w:tcPr>
            <w:tcW w:type="dxa" w:w="2160"/>
            <w:tcMar>
              <w:top w:w="80" w:type="dxa"/>
              <w:start w:w="90" w:type="dxa"/>
              <w:bottom w:w="80" w:type="dxa"/>
              <w:end w:w="90" w:type="dxa"/>
            </w:tcMar>
            <w:vAlign w:val="top"/>
          </w:tcPr>
          <w:p>
            <w:r>
              <w:rPr>
                <w:rFonts w:ascii="Aptos" w:hAnsi="Aptos"/>
                <w:b w:val="0"/>
                <w:sz w:val="16"/>
              </w:rPr>
              <w:t>Approved for controlled release</w:t>
            </w:r>
          </w:p>
        </w:tc>
      </w:tr>
    </w:tbl>
    <w:p/>
    <w:p>
      <w:pPr>
        <w:pStyle w:val="Heading2"/>
      </w:pPr>
      <w:r>
        <w:t>Revision History</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152"/>
            <w:shd w:fill="17365D"/>
            <w:vAlign w:val="center"/>
            <w:tcMar>
              <w:top w:w="80" w:type="dxa"/>
              <w:start w:w="90" w:type="dxa"/>
              <w:bottom w:w="80" w:type="dxa"/>
              <w:end w:w="90" w:type="dxa"/>
            </w:tcMar>
          </w:tcPr>
          <w:p>
            <w:r>
              <w:rPr>
                <w:rFonts w:ascii="Aptos" w:hAnsi="Aptos"/>
                <w:b/>
                <w:color w:val="FFFFFF"/>
                <w:sz w:val="16"/>
              </w:rPr>
              <w:t>Version</w:t>
            </w:r>
          </w:p>
        </w:tc>
        <w:tc>
          <w:tcPr>
            <w:tcW w:type="dxa" w:w="1728"/>
            <w:shd w:fill="17365D"/>
            <w:vAlign w:val="center"/>
            <w:tcMar>
              <w:top w:w="80" w:type="dxa"/>
              <w:start w:w="90" w:type="dxa"/>
              <w:bottom w:w="80" w:type="dxa"/>
              <w:end w:w="90" w:type="dxa"/>
            </w:tcMar>
          </w:tcPr>
          <w:p>
            <w:r>
              <w:rPr>
                <w:rFonts w:ascii="Aptos" w:hAnsi="Aptos"/>
                <w:b/>
                <w:color w:val="FFFFFF"/>
                <w:sz w:val="16"/>
              </w:rPr>
              <w:t>Effective Date</w:t>
            </w:r>
          </w:p>
        </w:tc>
        <w:tc>
          <w:tcPr>
            <w:tcW w:type="dxa" w:w="5616"/>
            <w:shd w:fill="17365D"/>
            <w:vAlign w:val="center"/>
            <w:tcMar>
              <w:top w:w="80" w:type="dxa"/>
              <w:start w:w="90" w:type="dxa"/>
              <w:bottom w:w="80" w:type="dxa"/>
              <w:end w:w="90" w:type="dxa"/>
            </w:tcMar>
          </w:tcPr>
          <w:p>
            <w:r>
              <w:rPr>
                <w:rFonts w:ascii="Aptos" w:hAnsi="Aptos"/>
                <w:b/>
                <w:color w:val="FFFFFF"/>
                <w:sz w:val="16"/>
              </w:rPr>
              <w:t>Summary of Change</w:t>
            </w:r>
          </w:p>
        </w:tc>
        <w:tc>
          <w:tcPr>
            <w:tcW w:type="dxa" w:w="2160"/>
            <w:shd w:fill="17365D"/>
            <w:vAlign w:val="center"/>
            <w:tcMar>
              <w:top w:w="80" w:type="dxa"/>
              <w:start w:w="90" w:type="dxa"/>
              <w:bottom w:w="80" w:type="dxa"/>
              <w:end w:w="90" w:type="dxa"/>
            </w:tcMar>
          </w:tcPr>
          <w:p>
            <w:r>
              <w:rPr>
                <w:rFonts w:ascii="Aptos" w:hAnsi="Aptos"/>
                <w:b/>
                <w:color w:val="FFFFFF"/>
                <w:sz w:val="16"/>
              </w:rPr>
              <w:t>Owner</w:t>
            </w:r>
          </w:p>
        </w:tc>
      </w:tr>
      <w:tr>
        <w:tc>
          <w:tcPr>
            <w:tcW w:type="dxa" w:w="1152"/>
            <w:tcMar>
              <w:top w:w="80" w:type="dxa"/>
              <w:start w:w="90" w:type="dxa"/>
              <w:bottom w:w="80" w:type="dxa"/>
              <w:end w:w="90" w:type="dxa"/>
            </w:tcMar>
            <w:vAlign w:val="top"/>
          </w:tcPr>
          <w:p>
            <w:r>
              <w:rPr>
                <w:rFonts w:ascii="Aptos" w:hAnsi="Aptos"/>
                <w:b w:val="0"/>
                <w:sz w:val="16"/>
              </w:rPr>
              <w:t>0.9</w:t>
            </w:r>
          </w:p>
        </w:tc>
        <w:tc>
          <w:tcPr>
            <w:tcW w:type="dxa" w:w="1728"/>
            <w:tcMar>
              <w:top w:w="80" w:type="dxa"/>
              <w:start w:w="90" w:type="dxa"/>
              <w:bottom w:w="80" w:type="dxa"/>
              <w:end w:w="90" w:type="dxa"/>
            </w:tcMar>
            <w:vAlign w:val="top"/>
          </w:tcPr>
          <w:p>
            <w:r>
              <w:rPr>
                <w:rFonts w:ascii="Aptos" w:hAnsi="Aptos"/>
                <w:b w:val="0"/>
                <w:sz w:val="16"/>
              </w:rPr>
              <w:t>15 Sep 2025</w:t>
            </w:r>
          </w:p>
        </w:tc>
        <w:tc>
          <w:tcPr>
            <w:tcW w:type="dxa" w:w="5616"/>
            <w:tcMar>
              <w:top w:w="80" w:type="dxa"/>
              <w:start w:w="90" w:type="dxa"/>
              <w:bottom w:w="80" w:type="dxa"/>
              <w:end w:w="90" w:type="dxa"/>
            </w:tcMar>
            <w:vAlign w:val="top"/>
          </w:tcPr>
          <w:p>
            <w:r>
              <w:rPr>
                <w:rFonts w:ascii="Aptos" w:hAnsi="Aptos"/>
                <w:b w:val="0"/>
                <w:sz w:val="16"/>
              </w:rPr>
              <w:t>Pilot draft used by Financial Crime Operations.</w:t>
            </w:r>
          </w:p>
        </w:tc>
        <w:tc>
          <w:tcPr>
            <w:tcW w:type="dxa" w:w="2160"/>
            <w:tcMar>
              <w:top w:w="80" w:type="dxa"/>
              <w:start w:w="90" w:type="dxa"/>
              <w:bottom w:w="80" w:type="dxa"/>
              <w:end w:w="90" w:type="dxa"/>
            </w:tcMar>
            <w:vAlign w:val="top"/>
          </w:tcPr>
          <w:p>
            <w:r>
              <w:rPr>
                <w:rFonts w:ascii="Aptos" w:hAnsi="Aptos"/>
                <w:b w:val="0"/>
                <w:sz w:val="16"/>
              </w:rPr>
              <w:t>AML Monitoring</w:t>
            </w:r>
          </w:p>
        </w:tc>
      </w:tr>
      <w:tr>
        <w:tc>
          <w:tcPr>
            <w:tcW w:type="dxa" w:w="1152"/>
            <w:tcMar>
              <w:top w:w="80" w:type="dxa"/>
              <w:start w:w="90" w:type="dxa"/>
              <w:bottom w:w="80" w:type="dxa"/>
              <w:end w:w="90" w:type="dxa"/>
            </w:tcMar>
            <w:vAlign w:val="top"/>
            <w:shd w:fill="F7FAFC"/>
          </w:tcPr>
          <w:p>
            <w:r>
              <w:rPr>
                <w:rFonts w:ascii="Aptos" w:hAnsi="Aptos"/>
                <w:b w:val="0"/>
                <w:sz w:val="16"/>
              </w:rPr>
              <w:t>1.0</w:t>
            </w:r>
          </w:p>
        </w:tc>
        <w:tc>
          <w:tcPr>
            <w:tcW w:type="dxa" w:w="1728"/>
            <w:tcMar>
              <w:top w:w="80" w:type="dxa"/>
              <w:start w:w="90" w:type="dxa"/>
              <w:bottom w:w="80" w:type="dxa"/>
              <w:end w:w="90" w:type="dxa"/>
            </w:tcMar>
            <w:vAlign w:val="top"/>
            <w:shd w:fill="F7FAFC"/>
          </w:tcPr>
          <w:p>
            <w:r>
              <w:rPr>
                <w:rFonts w:ascii="Aptos" w:hAnsi="Aptos"/>
                <w:b w:val="0"/>
                <w:sz w:val="16"/>
              </w:rPr>
              <w:t>15 Oct 2025</w:t>
            </w:r>
          </w:p>
        </w:tc>
        <w:tc>
          <w:tcPr>
            <w:tcW w:type="dxa" w:w="5616"/>
            <w:tcMar>
              <w:top w:w="80" w:type="dxa"/>
              <w:start w:w="90" w:type="dxa"/>
              <w:bottom w:w="80" w:type="dxa"/>
              <w:end w:w="90" w:type="dxa"/>
            </w:tcMar>
            <w:vAlign w:val="top"/>
            <w:shd w:fill="F7FAFC"/>
          </w:tcPr>
          <w:p>
            <w:r>
              <w:rPr>
                <w:rFonts w:ascii="Aptos" w:hAnsi="Aptos"/>
                <w:b w:val="0"/>
                <w:sz w:val="16"/>
              </w:rPr>
              <w:t>First controlled enterprise procedure aligned to CDD-005 and CRR-033.</w:t>
            </w:r>
          </w:p>
        </w:tc>
        <w:tc>
          <w:tcPr>
            <w:tcW w:type="dxa" w:w="2160"/>
            <w:tcMar>
              <w:top w:w="80" w:type="dxa"/>
              <w:start w:w="90" w:type="dxa"/>
              <w:bottom w:w="80" w:type="dxa"/>
              <w:end w:w="90" w:type="dxa"/>
            </w:tcMar>
            <w:vAlign w:val="top"/>
            <w:shd w:fill="F7FAFC"/>
          </w:tcPr>
          <w:p>
            <w:r>
              <w:rPr>
                <w:rFonts w:ascii="Aptos" w:hAnsi="Aptos"/>
                <w:b w:val="0"/>
                <w:sz w:val="16"/>
              </w:rPr>
              <w:t>Farah Qureshi</w:t>
            </w:r>
          </w:p>
        </w:tc>
      </w:tr>
    </w:tbl>
    <w:p/>
    <w:p>
      <w:pPr>
        <w:pStyle w:val="SmallNote"/>
      </w:pPr>
      <w:r>
        <w:t>Controlled copies are maintained in the Northstar Financial internal policy repository. Printed, exported or locally saved copies may become superseded. Users shall confirm document status before applying a threshold, approval route or transitional provision.</w:t>
      </w:r>
    </w:p>
    <w:p>
      <w:r>
        <w:br w:type="page"/>
      </w:r>
    </w:p>
    <w:p>
      <w:pPr>
        <w:pStyle w:val="Heading1"/>
      </w:pPr>
      <w:r>
        <w:t>Contents</w:t>
      </w:r>
    </w:p>
    <w:p>
      <w:pPr>
        <w:spacing w:after="24"/>
      </w:pPr>
      <w:r>
        <w:rPr>
          <w:rFonts w:ascii="Aptos" w:hAnsi="Aptos"/>
          <w:sz w:val="18"/>
        </w:rPr>
        <w:t>1. Purpose and Operating Principle</w:t>
      </w:r>
    </w:p>
    <w:p>
      <w:pPr>
        <w:spacing w:after="24"/>
      </w:pPr>
      <w:r>
        <w:rPr>
          <w:rFonts w:ascii="Aptos" w:hAnsi="Aptos"/>
          <w:sz w:val="18"/>
        </w:rPr>
        <w:t>2. Scope and Case Initiation</w:t>
      </w:r>
    </w:p>
    <w:p>
      <w:pPr>
        <w:spacing w:after="24"/>
      </w:pPr>
      <w:r>
        <w:rPr>
          <w:rFonts w:ascii="Aptos" w:hAnsi="Aptos"/>
          <w:sz w:val="18"/>
        </w:rPr>
        <w:t>3. EDD Severity and Prioritisation</w:t>
      </w:r>
    </w:p>
    <w:p>
      <w:pPr>
        <w:spacing w:after="24"/>
      </w:pPr>
      <w:r>
        <w:rPr>
          <w:rFonts w:ascii="Aptos" w:hAnsi="Aptos"/>
          <w:sz w:val="18"/>
        </w:rPr>
        <w:t>4. Investigation Plan and Evidence Strategy</w:t>
      </w:r>
    </w:p>
    <w:p>
      <w:pPr>
        <w:spacing w:after="24"/>
      </w:pPr>
      <w:r>
        <w:rPr>
          <w:rFonts w:ascii="Aptos" w:hAnsi="Aptos"/>
          <w:sz w:val="18"/>
        </w:rPr>
        <w:t>5. Source of Funds Review</w:t>
      </w:r>
    </w:p>
    <w:p>
      <w:pPr>
        <w:spacing w:after="24"/>
      </w:pPr>
      <w:r>
        <w:rPr>
          <w:rFonts w:ascii="Aptos" w:hAnsi="Aptos"/>
          <w:sz w:val="18"/>
        </w:rPr>
        <w:t>6. Source of Wealth Review</w:t>
      </w:r>
    </w:p>
    <w:p>
      <w:pPr>
        <w:spacing w:after="24"/>
      </w:pPr>
      <w:r>
        <w:rPr>
          <w:rFonts w:ascii="Aptos" w:hAnsi="Aptos"/>
          <w:sz w:val="18"/>
        </w:rPr>
        <w:t>7. PEP and Close-Associate EDD</w:t>
      </w:r>
    </w:p>
    <w:p>
      <w:pPr>
        <w:spacing w:after="24"/>
      </w:pPr>
      <w:r>
        <w:rPr>
          <w:rFonts w:ascii="Aptos" w:hAnsi="Aptos"/>
          <w:sz w:val="18"/>
        </w:rPr>
        <w:t>8. Complex Ownership and Control</w:t>
      </w:r>
    </w:p>
    <w:p>
      <w:pPr>
        <w:spacing w:after="24"/>
      </w:pPr>
      <w:r>
        <w:rPr>
          <w:rFonts w:ascii="Aptos" w:hAnsi="Aptos"/>
          <w:sz w:val="18"/>
        </w:rPr>
        <w:t>9. High-Risk Geography and Cross-Border Activity</w:t>
      </w:r>
    </w:p>
    <w:p>
      <w:pPr>
        <w:spacing w:after="24"/>
      </w:pPr>
      <w:r>
        <w:rPr>
          <w:rFonts w:ascii="Aptos" w:hAnsi="Aptos"/>
          <w:sz w:val="18"/>
        </w:rPr>
        <w:t>10. Adverse Information and Integrity Assessment</w:t>
      </w:r>
    </w:p>
    <w:p>
      <w:pPr>
        <w:spacing w:after="24"/>
      </w:pPr>
      <w:r>
        <w:rPr>
          <w:rFonts w:ascii="Aptos" w:hAnsi="Aptos"/>
          <w:sz w:val="18"/>
        </w:rPr>
        <w:t>11. Unusual Activity and Third-Party Funding</w:t>
      </w:r>
    </w:p>
    <w:p>
      <w:pPr>
        <w:spacing w:after="24"/>
      </w:pPr>
      <w:r>
        <w:rPr>
          <w:rFonts w:ascii="Aptos" w:hAnsi="Aptos"/>
          <w:sz w:val="18"/>
        </w:rPr>
        <w:t>12. Customer Interview and Information Request</w:t>
      </w:r>
    </w:p>
    <w:p>
      <w:pPr>
        <w:spacing w:after="24"/>
      </w:pPr>
      <w:r>
        <w:rPr>
          <w:rFonts w:ascii="Aptos" w:hAnsi="Aptos"/>
          <w:sz w:val="18"/>
        </w:rPr>
        <w:t>13. Decision Framework and Approval</w:t>
      </w:r>
    </w:p>
    <w:p>
      <w:pPr>
        <w:spacing w:after="24"/>
      </w:pPr>
      <w:r>
        <w:rPr>
          <w:rFonts w:ascii="Aptos" w:hAnsi="Aptos"/>
          <w:sz w:val="18"/>
        </w:rPr>
        <w:t>14. Enhanced Monitoring and Review Conditions</w:t>
      </w:r>
    </w:p>
    <w:p>
      <w:pPr>
        <w:spacing w:after="24"/>
      </w:pPr>
      <w:r>
        <w:rPr>
          <w:rFonts w:ascii="Aptos" w:hAnsi="Aptos"/>
          <w:sz w:val="18"/>
        </w:rPr>
        <w:t>15. Case Closure, Reopening and Historical Versioning</w:t>
      </w:r>
    </w:p>
    <w:p>
      <w:pPr>
        <w:spacing w:after="24"/>
      </w:pPr>
      <w:r>
        <w:rPr>
          <w:rFonts w:ascii="Aptos" w:hAnsi="Aptos"/>
          <w:sz w:val="18"/>
        </w:rPr>
        <w:t>16. Quality Assurance, Escalation and Breach Treatment</w:t>
      </w:r>
    </w:p>
    <w:p>
      <w:pPr>
        <w:spacing w:after="24"/>
      </w:pPr>
      <w:r>
        <w:rPr>
          <w:rFonts w:ascii="Aptos" w:hAnsi="Aptos"/>
          <w:sz w:val="18"/>
        </w:rPr>
        <w:t>17. EDD Case Plan Template</w:t>
      </w:r>
    </w:p>
    <w:p>
      <w:pPr>
        <w:spacing w:after="24"/>
      </w:pPr>
      <w:r>
        <w:rPr>
          <w:rFonts w:ascii="Aptos" w:hAnsi="Aptos"/>
          <w:sz w:val="18"/>
        </w:rPr>
        <w:t>18. SoF / SoW Evidence Guide</w:t>
      </w:r>
    </w:p>
    <w:p>
      <w:pPr>
        <w:spacing w:after="24"/>
      </w:pPr>
      <w:r>
        <w:rPr>
          <w:rFonts w:ascii="Aptos" w:hAnsi="Aptos"/>
          <w:sz w:val="18"/>
        </w:rPr>
        <w:t>19. EDD Scenario Outcomes</w:t>
      </w:r>
      <w:r>
        <w:br/>
        <w:t>20. EDD Red-Flag and Evidence Response Catalogue</w:t>
      </w:r>
      <w:r>
        <w:br/>
        <w:t>21. Illustrative EDD Investigation Chronology</w:t>
      </w:r>
      <w:r>
        <w:br/>
        <w:t>22. EDD Quality Assurance Checklist</w:t>
      </w:r>
    </w:p>
    <w:p>
      <w:r>
        <w:br w:type="page"/>
      </w:r>
    </w:p>
    <w:p>
      <w:pPr>
        <w:pStyle w:val="Heading1"/>
        <w:keepNext/>
      </w:pPr>
      <w:r>
        <w:t>1. Purpose and Operating Principle</w:t>
      </w:r>
    </w:p>
    <w:p>
      <w:r>
        <w:t>This Procedure defines the investigation, evidence, approval and monitoring steps required when Standard Due Diligence does not adequately address customer or financial-crime risk. EDD is intended to explain material risk, not merely to accumulate documents.</w:t>
      </w:r>
    </w:p>
    <w:p>
      <w:pPr>
        <w:pStyle w:val="ControlBullet"/>
      </w:pPr>
      <w:r>
        <w:rPr>
          <w:b/>
        </w:rPr>
        <w:t xml:space="preserve">• </w:t>
      </w:r>
      <w:r>
        <w:t>EDD shall address the specific trigger and document what risk remains after review.</w:t>
      </w:r>
    </w:p>
    <w:p>
      <w:pPr>
        <w:pStyle w:val="ControlBullet"/>
      </w:pPr>
      <w:r>
        <w:rPr>
          <w:b/>
        </w:rPr>
        <w:t xml:space="preserve">• </w:t>
      </w:r>
      <w:r>
        <w:t>Investigators shall distinguish missing information from contradictory information.</w:t>
      </w:r>
    </w:p>
    <w:p>
      <w:pPr>
        <w:pStyle w:val="ControlBullet"/>
      </w:pPr>
      <w:r>
        <w:rPr>
          <w:b/>
        </w:rPr>
        <w:t xml:space="preserve">• </w:t>
      </w:r>
      <w:r>
        <w:t>Commercial urgency is not a reason to narrow EDD scope.</w:t>
      </w:r>
    </w:p>
    <w:p>
      <w:pPr>
        <w:pStyle w:val="ControlBullet"/>
      </w:pPr>
      <w:r>
        <w:rPr>
          <w:b/>
        </w:rPr>
        <w:t xml:space="preserve">• </w:t>
      </w:r>
      <w:r>
        <w:t>A case may be closed as acceptable, acceptable with conditions, restricted, declined or referred for exit/investigation.</w:t>
      </w:r>
    </w:p>
    <w:p>
      <w:pPr>
        <w:pStyle w:val="Heading1"/>
        <w:keepNext/>
      </w:pPr>
      <w:r>
        <w:t>2. Scope and Case Initiation</w:t>
      </w:r>
    </w:p>
    <w:p>
      <w:r>
        <w:t>EDD may be initiated at onboarding, periodic review, KYC escalation, transaction-monitoring case review, credit/fraud referral or other trigger event. The initiating function shall create a controlled EDD case and retain the trigger evidence.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304"/>
            <w:shd w:fill="17365D"/>
            <w:vAlign w:val="center"/>
            <w:tcMar>
              <w:top w:w="80" w:type="dxa"/>
              <w:start w:w="90" w:type="dxa"/>
              <w:bottom w:w="80" w:type="dxa"/>
              <w:end w:w="90" w:type="dxa"/>
            </w:tcMar>
          </w:tcPr>
          <w:p>
            <w:r>
              <w:rPr>
                <w:rFonts w:ascii="Aptos" w:hAnsi="Aptos"/>
                <w:b/>
                <w:color w:val="FFFFFF"/>
                <w:sz w:val="16"/>
              </w:rPr>
              <w:t>Trigger Source</w:t>
            </w:r>
          </w:p>
        </w:tc>
        <w:tc>
          <w:tcPr>
            <w:tcW w:type="dxa" w:w="5040"/>
            <w:shd w:fill="17365D"/>
            <w:vAlign w:val="center"/>
            <w:tcMar>
              <w:top w:w="80" w:type="dxa"/>
              <w:start w:w="90" w:type="dxa"/>
              <w:bottom w:w="80" w:type="dxa"/>
              <w:end w:w="90" w:type="dxa"/>
            </w:tcMar>
          </w:tcPr>
          <w:p>
            <w:r>
              <w:rPr>
                <w:rFonts w:ascii="Aptos" w:hAnsi="Aptos"/>
                <w:b/>
                <w:color w:val="FFFFFF"/>
                <w:sz w:val="16"/>
              </w:rPr>
              <w:t>Typical Trigger</w:t>
            </w:r>
          </w:p>
        </w:tc>
        <w:tc>
          <w:tcPr>
            <w:tcW w:type="dxa" w:w="3024"/>
            <w:shd w:fill="17365D"/>
            <w:vAlign w:val="center"/>
            <w:tcMar>
              <w:top w:w="80" w:type="dxa"/>
              <w:start w:w="90" w:type="dxa"/>
              <w:bottom w:w="80" w:type="dxa"/>
              <w:end w:w="90" w:type="dxa"/>
            </w:tcMar>
          </w:tcPr>
          <w:p>
            <w:r>
              <w:rPr>
                <w:rFonts w:ascii="Aptos" w:hAnsi="Aptos"/>
                <w:b/>
                <w:color w:val="FFFFFF"/>
                <w:sz w:val="16"/>
              </w:rPr>
              <w:t>Case Owner</w:t>
            </w:r>
          </w:p>
        </w:tc>
      </w:tr>
      <w:tr>
        <w:tc>
          <w:tcPr>
            <w:tcW w:type="dxa" w:w="2304"/>
            <w:tcMar>
              <w:top w:w="80" w:type="dxa"/>
              <w:start w:w="90" w:type="dxa"/>
              <w:bottom w:w="80" w:type="dxa"/>
              <w:end w:w="90" w:type="dxa"/>
            </w:tcMar>
            <w:vAlign w:val="top"/>
          </w:tcPr>
          <w:p>
            <w:r>
              <w:rPr>
                <w:rFonts w:ascii="Aptos" w:hAnsi="Aptos"/>
                <w:b w:val="0"/>
                <w:sz w:val="16"/>
              </w:rPr>
              <w:t>KYC / onboarding</w:t>
            </w:r>
          </w:p>
        </w:tc>
        <w:tc>
          <w:tcPr>
            <w:tcW w:type="dxa" w:w="5040"/>
            <w:tcMar>
              <w:top w:w="80" w:type="dxa"/>
              <w:start w:w="90" w:type="dxa"/>
              <w:bottom w:w="80" w:type="dxa"/>
              <w:end w:w="90" w:type="dxa"/>
            </w:tcMar>
            <w:vAlign w:val="top"/>
          </w:tcPr>
          <w:p>
            <w:r>
              <w:rPr>
                <w:rFonts w:ascii="Aptos" w:hAnsi="Aptos"/>
                <w:b w:val="0"/>
                <w:sz w:val="16"/>
              </w:rPr>
              <w:t>PEP, complex ownership, high-risk geography, unexplained discrepancy</w:t>
            </w:r>
          </w:p>
        </w:tc>
        <w:tc>
          <w:tcPr>
            <w:tcW w:type="dxa" w:w="3024"/>
            <w:tcMar>
              <w:top w:w="80" w:type="dxa"/>
              <w:start w:w="90" w:type="dxa"/>
              <w:bottom w:w="80" w:type="dxa"/>
              <w:end w:w="90" w:type="dxa"/>
            </w:tcMar>
            <w:vAlign w:val="top"/>
          </w:tcPr>
          <w:p>
            <w:r>
              <w:rPr>
                <w:rFonts w:ascii="Aptos" w:hAnsi="Aptos"/>
                <w:b w:val="0"/>
                <w:sz w:val="16"/>
              </w:rPr>
              <w:t>Senior KYC Analyst / AML</w:t>
            </w:r>
          </w:p>
        </w:tc>
      </w:tr>
      <w:tr>
        <w:tc>
          <w:tcPr>
            <w:tcW w:type="dxa" w:w="2304"/>
            <w:tcMar>
              <w:top w:w="80" w:type="dxa"/>
              <w:start w:w="90" w:type="dxa"/>
              <w:bottom w:w="80" w:type="dxa"/>
              <w:end w:w="90" w:type="dxa"/>
            </w:tcMar>
            <w:vAlign w:val="top"/>
            <w:shd w:fill="F7FAFC"/>
          </w:tcPr>
          <w:p>
            <w:r>
              <w:rPr>
                <w:rFonts w:ascii="Aptos" w:hAnsi="Aptos"/>
                <w:b w:val="0"/>
                <w:sz w:val="16"/>
              </w:rPr>
              <w:t>Transaction monitoring</w:t>
            </w:r>
          </w:p>
        </w:tc>
        <w:tc>
          <w:tcPr>
            <w:tcW w:type="dxa" w:w="5040"/>
            <w:tcMar>
              <w:top w:w="80" w:type="dxa"/>
              <w:start w:w="90" w:type="dxa"/>
              <w:bottom w:w="80" w:type="dxa"/>
              <w:end w:w="90" w:type="dxa"/>
            </w:tcMar>
            <w:vAlign w:val="top"/>
            <w:shd w:fill="F7FAFC"/>
          </w:tcPr>
          <w:p>
            <w:r>
              <w:rPr>
                <w:rFonts w:ascii="Aptos" w:hAnsi="Aptos"/>
                <w:b w:val="0"/>
                <w:sz w:val="16"/>
              </w:rPr>
              <w:t>Rapid movement, third-party funding, unusual cross-border behaviour</w:t>
            </w:r>
          </w:p>
        </w:tc>
        <w:tc>
          <w:tcPr>
            <w:tcW w:type="dxa" w:w="3024"/>
            <w:tcMar>
              <w:top w:w="80" w:type="dxa"/>
              <w:start w:w="90" w:type="dxa"/>
              <w:bottom w:w="80" w:type="dxa"/>
              <w:end w:w="90" w:type="dxa"/>
            </w:tcMar>
            <w:vAlign w:val="top"/>
            <w:shd w:fill="F7FAFC"/>
          </w:tcPr>
          <w:p>
            <w:r>
              <w:rPr>
                <w:rFonts w:ascii="Aptos" w:hAnsi="Aptos"/>
                <w:b w:val="0"/>
                <w:sz w:val="16"/>
              </w:rPr>
              <w:t>AML Investigator</w:t>
            </w:r>
          </w:p>
        </w:tc>
      </w:tr>
      <w:tr>
        <w:tc>
          <w:tcPr>
            <w:tcW w:type="dxa" w:w="2304"/>
            <w:tcMar>
              <w:top w:w="80" w:type="dxa"/>
              <w:start w:w="90" w:type="dxa"/>
              <w:bottom w:w="80" w:type="dxa"/>
              <w:end w:w="90" w:type="dxa"/>
            </w:tcMar>
            <w:vAlign w:val="top"/>
          </w:tcPr>
          <w:p>
            <w:r>
              <w:rPr>
                <w:rFonts w:ascii="Aptos" w:hAnsi="Aptos"/>
                <w:b w:val="0"/>
                <w:sz w:val="16"/>
              </w:rPr>
              <w:t>Credit / fraud</w:t>
            </w:r>
          </w:p>
        </w:tc>
        <w:tc>
          <w:tcPr>
            <w:tcW w:type="dxa" w:w="5040"/>
            <w:tcMar>
              <w:top w:w="80" w:type="dxa"/>
              <w:start w:w="90" w:type="dxa"/>
              <w:bottom w:w="80" w:type="dxa"/>
              <w:end w:w="90" w:type="dxa"/>
            </w:tcMar>
            <w:vAlign w:val="top"/>
          </w:tcPr>
          <w:p>
            <w:r>
              <w:rPr>
                <w:rFonts w:ascii="Aptos" w:hAnsi="Aptos"/>
                <w:b w:val="0"/>
                <w:sz w:val="16"/>
              </w:rPr>
              <w:t>Undeclared obligations, document manipulation, suspicious beneficiary change</w:t>
            </w:r>
          </w:p>
        </w:tc>
        <w:tc>
          <w:tcPr>
            <w:tcW w:type="dxa" w:w="3024"/>
            <w:tcMar>
              <w:top w:w="80" w:type="dxa"/>
              <w:start w:w="90" w:type="dxa"/>
              <w:bottom w:w="80" w:type="dxa"/>
              <w:end w:w="90" w:type="dxa"/>
            </w:tcMar>
            <w:vAlign w:val="top"/>
          </w:tcPr>
          <w:p>
            <w:r>
              <w:rPr>
                <w:rFonts w:ascii="Aptos" w:hAnsi="Aptos"/>
                <w:b w:val="0"/>
                <w:sz w:val="16"/>
              </w:rPr>
              <w:t>AML with referring function</w:t>
            </w:r>
          </w:p>
        </w:tc>
      </w:tr>
      <w:tr>
        <w:tc>
          <w:tcPr>
            <w:tcW w:type="dxa" w:w="2304"/>
            <w:tcMar>
              <w:top w:w="80" w:type="dxa"/>
              <w:start w:w="90" w:type="dxa"/>
              <w:bottom w:w="80" w:type="dxa"/>
              <w:end w:w="90" w:type="dxa"/>
            </w:tcMar>
            <w:vAlign w:val="top"/>
            <w:shd w:fill="F7FAFC"/>
          </w:tcPr>
          <w:p>
            <w:r>
              <w:rPr>
                <w:rFonts w:ascii="Aptos" w:hAnsi="Aptos"/>
                <w:b w:val="0"/>
                <w:sz w:val="16"/>
              </w:rPr>
              <w:t>Periodic review</w:t>
            </w:r>
          </w:p>
        </w:tc>
        <w:tc>
          <w:tcPr>
            <w:tcW w:type="dxa" w:w="5040"/>
            <w:tcMar>
              <w:top w:w="80" w:type="dxa"/>
              <w:start w:w="90" w:type="dxa"/>
              <w:bottom w:w="80" w:type="dxa"/>
              <w:end w:w="90" w:type="dxa"/>
            </w:tcMar>
            <w:vAlign w:val="top"/>
            <w:shd w:fill="F7FAFC"/>
          </w:tcPr>
          <w:p>
            <w:r>
              <w:rPr>
                <w:rFonts w:ascii="Aptos" w:hAnsi="Aptos"/>
                <w:b w:val="0"/>
                <w:sz w:val="16"/>
              </w:rPr>
              <w:t>Material change in business, ownership or adverse information</w:t>
            </w:r>
          </w:p>
        </w:tc>
        <w:tc>
          <w:tcPr>
            <w:tcW w:type="dxa" w:w="3024"/>
            <w:tcMar>
              <w:top w:w="80" w:type="dxa"/>
              <w:start w:w="90" w:type="dxa"/>
              <w:bottom w:w="80" w:type="dxa"/>
              <w:end w:w="90" w:type="dxa"/>
            </w:tcMar>
            <w:vAlign w:val="top"/>
            <w:shd w:fill="F7FAFC"/>
          </w:tcPr>
          <w:p>
            <w:r>
              <w:rPr>
                <w:rFonts w:ascii="Aptos" w:hAnsi="Aptos"/>
                <w:b w:val="0"/>
                <w:sz w:val="16"/>
              </w:rPr>
              <w:t>KYC / AML</w:t>
            </w:r>
          </w:p>
        </w:tc>
      </w:tr>
      <w:tr>
        <w:tc>
          <w:tcPr>
            <w:tcW w:type="dxa" w:w="2304"/>
            <w:tcMar>
              <w:top w:w="80" w:type="dxa"/>
              <w:start w:w="90" w:type="dxa"/>
              <w:bottom w:w="80" w:type="dxa"/>
              <w:end w:w="90" w:type="dxa"/>
            </w:tcMar>
            <w:vAlign w:val="top"/>
          </w:tcPr>
          <w:p>
            <w:r>
              <w:rPr>
                <w:rFonts w:ascii="Aptos" w:hAnsi="Aptos"/>
                <w:b w:val="0"/>
                <w:sz w:val="16"/>
              </w:rPr>
              <w:t>Management referral</w:t>
            </w:r>
          </w:p>
        </w:tc>
        <w:tc>
          <w:tcPr>
            <w:tcW w:type="dxa" w:w="5040"/>
            <w:tcMar>
              <w:top w:w="80" w:type="dxa"/>
              <w:start w:w="90" w:type="dxa"/>
              <w:bottom w:w="80" w:type="dxa"/>
              <w:end w:w="90" w:type="dxa"/>
            </w:tcMar>
            <w:vAlign w:val="top"/>
          </w:tcPr>
          <w:p>
            <w:r>
              <w:rPr>
                <w:rFonts w:ascii="Aptos" w:hAnsi="Aptos"/>
                <w:b w:val="0"/>
                <w:sz w:val="16"/>
              </w:rPr>
              <w:t>Reputational or integrity concern</w:t>
            </w:r>
          </w:p>
        </w:tc>
        <w:tc>
          <w:tcPr>
            <w:tcW w:type="dxa" w:w="3024"/>
            <w:tcMar>
              <w:top w:w="80" w:type="dxa"/>
              <w:start w:w="90" w:type="dxa"/>
              <w:bottom w:w="80" w:type="dxa"/>
              <w:end w:w="90" w:type="dxa"/>
            </w:tcMar>
            <w:vAlign w:val="top"/>
          </w:tcPr>
          <w:p>
            <w:r>
              <w:rPr>
                <w:rFonts w:ascii="Aptos" w:hAnsi="Aptos"/>
                <w:b w:val="0"/>
                <w:sz w:val="16"/>
              </w:rPr>
              <w:t>Financial Crime Compliance</w:t>
            </w:r>
          </w:p>
        </w:tc>
      </w:tr>
    </w:tbl>
    <w:p/>
    <w:p>
      <w:pPr>
        <w:pStyle w:val="Heading1"/>
        <w:keepNext/>
      </w:pPr>
      <w:r>
        <w:t>3. EDD Severity and Prioritisation</w:t>
      </w:r>
    </w:p>
    <w:p>
      <w:r>
        <w:t>Cases shall be prioritised using the seriousness of the trigger, potential sanctions exposure, customer risk, transactional urgency and control impact. Priority does not determine final risk classification.</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72"/>
            <w:shd w:fill="17365D"/>
            <w:vAlign w:val="center"/>
            <w:tcMar>
              <w:top w:w="80" w:type="dxa"/>
              <w:start w:w="90" w:type="dxa"/>
              <w:bottom w:w="80" w:type="dxa"/>
              <w:end w:w="90" w:type="dxa"/>
            </w:tcMar>
          </w:tcPr>
          <w:p>
            <w:r>
              <w:rPr>
                <w:rFonts w:ascii="Aptos" w:hAnsi="Aptos"/>
                <w:b/>
                <w:color w:val="FFFFFF"/>
                <w:sz w:val="16"/>
              </w:rPr>
              <w:t>Priority</w:t>
            </w:r>
          </w:p>
        </w:tc>
        <w:tc>
          <w:tcPr>
            <w:tcW w:type="dxa" w:w="5760"/>
            <w:shd w:fill="17365D"/>
            <w:vAlign w:val="center"/>
            <w:tcMar>
              <w:top w:w="80" w:type="dxa"/>
              <w:start w:w="90" w:type="dxa"/>
              <w:bottom w:w="80" w:type="dxa"/>
              <w:end w:w="90" w:type="dxa"/>
            </w:tcMar>
          </w:tcPr>
          <w:p>
            <w:r>
              <w:rPr>
                <w:rFonts w:ascii="Aptos" w:hAnsi="Aptos"/>
                <w:b/>
                <w:color w:val="FFFFFF"/>
                <w:sz w:val="16"/>
              </w:rPr>
              <w:t>Indicative Conditions</w:t>
            </w:r>
          </w:p>
        </w:tc>
        <w:tc>
          <w:tcPr>
            <w:tcW w:type="dxa" w:w="2880"/>
            <w:shd w:fill="17365D"/>
            <w:vAlign w:val="center"/>
            <w:tcMar>
              <w:top w:w="80" w:type="dxa"/>
              <w:start w:w="90" w:type="dxa"/>
              <w:bottom w:w="80" w:type="dxa"/>
              <w:end w:w="90" w:type="dxa"/>
            </w:tcMar>
          </w:tcPr>
          <w:p>
            <w:r>
              <w:rPr>
                <w:rFonts w:ascii="Aptos" w:hAnsi="Aptos"/>
                <w:b/>
                <w:color w:val="FFFFFF"/>
                <w:sz w:val="16"/>
              </w:rPr>
              <w:t>Target Internal Handling</w:t>
            </w:r>
          </w:p>
        </w:tc>
      </w:tr>
      <w:tr>
        <w:tc>
          <w:tcPr>
            <w:tcW w:type="dxa" w:w="1872"/>
            <w:tcMar>
              <w:top w:w="80" w:type="dxa"/>
              <w:start w:w="90" w:type="dxa"/>
              <w:bottom w:w="80" w:type="dxa"/>
              <w:end w:w="90" w:type="dxa"/>
            </w:tcMar>
            <w:vAlign w:val="top"/>
          </w:tcPr>
          <w:p>
            <w:r>
              <w:rPr>
                <w:rFonts w:ascii="Aptos" w:hAnsi="Aptos"/>
                <w:b w:val="0"/>
                <w:sz w:val="16"/>
              </w:rPr>
              <w:t>P1 — Immediate</w:t>
            </w:r>
          </w:p>
        </w:tc>
        <w:tc>
          <w:tcPr>
            <w:tcW w:type="dxa" w:w="5760"/>
            <w:tcMar>
              <w:top w:w="80" w:type="dxa"/>
              <w:start w:w="90" w:type="dxa"/>
              <w:bottom w:w="80" w:type="dxa"/>
              <w:end w:w="90" w:type="dxa"/>
            </w:tcMar>
            <w:vAlign w:val="top"/>
          </w:tcPr>
          <w:p>
            <w:r>
              <w:rPr>
                <w:rFonts w:ascii="Aptos" w:hAnsi="Aptos"/>
                <w:b w:val="0"/>
                <w:sz w:val="16"/>
              </w:rPr>
              <w:t>Sanctions potential match, identity misuse, active serious financial-crime concern</w:t>
            </w:r>
          </w:p>
        </w:tc>
        <w:tc>
          <w:tcPr>
            <w:tcW w:type="dxa" w:w="2880"/>
            <w:tcMar>
              <w:top w:w="80" w:type="dxa"/>
              <w:start w:w="90" w:type="dxa"/>
              <w:bottom w:w="80" w:type="dxa"/>
              <w:end w:w="90" w:type="dxa"/>
            </w:tcMar>
            <w:vAlign w:val="top"/>
          </w:tcPr>
          <w:p>
            <w:r>
              <w:rPr>
                <w:rFonts w:ascii="Aptos" w:hAnsi="Aptos"/>
                <w:b w:val="0"/>
                <w:sz w:val="16"/>
              </w:rPr>
              <w:t>Same business day restriction/escalation</w:t>
            </w:r>
          </w:p>
        </w:tc>
      </w:tr>
      <w:tr>
        <w:tc>
          <w:tcPr>
            <w:tcW w:type="dxa" w:w="1872"/>
            <w:tcMar>
              <w:top w:w="80" w:type="dxa"/>
              <w:start w:w="90" w:type="dxa"/>
              <w:bottom w:w="80" w:type="dxa"/>
              <w:end w:w="90" w:type="dxa"/>
            </w:tcMar>
            <w:vAlign w:val="top"/>
            <w:shd w:fill="F7FAFC"/>
          </w:tcPr>
          <w:p>
            <w:r>
              <w:rPr>
                <w:rFonts w:ascii="Aptos" w:hAnsi="Aptos"/>
                <w:b w:val="0"/>
                <w:sz w:val="16"/>
              </w:rPr>
              <w:t>P2 — Urgent</w:t>
            </w:r>
          </w:p>
        </w:tc>
        <w:tc>
          <w:tcPr>
            <w:tcW w:type="dxa" w:w="5760"/>
            <w:tcMar>
              <w:top w:w="80" w:type="dxa"/>
              <w:start w:w="90" w:type="dxa"/>
              <w:bottom w:w="80" w:type="dxa"/>
              <w:end w:w="90" w:type="dxa"/>
            </w:tcMar>
            <w:vAlign w:val="top"/>
            <w:shd w:fill="F7FAFC"/>
          </w:tcPr>
          <w:p>
            <w:r>
              <w:rPr>
                <w:rFonts w:ascii="Aptos" w:hAnsi="Aptos"/>
                <w:b w:val="0"/>
                <w:sz w:val="16"/>
              </w:rPr>
              <w:t>Confirmed PEP before activation, material opaque ownership, significant unexplained funds</w:t>
            </w:r>
          </w:p>
        </w:tc>
        <w:tc>
          <w:tcPr>
            <w:tcW w:type="dxa" w:w="2880"/>
            <w:tcMar>
              <w:top w:w="80" w:type="dxa"/>
              <w:start w:w="90" w:type="dxa"/>
              <w:bottom w:w="80" w:type="dxa"/>
              <w:end w:w="90" w:type="dxa"/>
            </w:tcMar>
            <w:vAlign w:val="top"/>
            <w:shd w:fill="F7FAFC"/>
          </w:tcPr>
          <w:p>
            <w:r>
              <w:rPr>
                <w:rFonts w:ascii="Aptos" w:hAnsi="Aptos"/>
                <w:b w:val="0"/>
                <w:sz w:val="16"/>
              </w:rPr>
              <w:t>2 business days to initial plan</w:t>
            </w:r>
          </w:p>
        </w:tc>
      </w:tr>
      <w:tr>
        <w:tc>
          <w:tcPr>
            <w:tcW w:type="dxa" w:w="1872"/>
            <w:tcMar>
              <w:top w:w="80" w:type="dxa"/>
              <w:start w:w="90" w:type="dxa"/>
              <w:bottom w:w="80" w:type="dxa"/>
              <w:end w:w="90" w:type="dxa"/>
            </w:tcMar>
            <w:vAlign w:val="top"/>
          </w:tcPr>
          <w:p>
            <w:r>
              <w:rPr>
                <w:rFonts w:ascii="Aptos" w:hAnsi="Aptos"/>
                <w:b w:val="0"/>
                <w:sz w:val="16"/>
              </w:rPr>
              <w:t>P3 — Standard High</w:t>
            </w:r>
          </w:p>
        </w:tc>
        <w:tc>
          <w:tcPr>
            <w:tcW w:type="dxa" w:w="5760"/>
            <w:tcMar>
              <w:top w:w="80" w:type="dxa"/>
              <w:start w:w="90" w:type="dxa"/>
              <w:bottom w:w="80" w:type="dxa"/>
              <w:end w:w="90" w:type="dxa"/>
            </w:tcMar>
            <w:vAlign w:val="top"/>
          </w:tcPr>
          <w:p>
            <w:r>
              <w:rPr>
                <w:rFonts w:ascii="Aptos" w:hAnsi="Aptos"/>
                <w:b w:val="0"/>
                <w:sz w:val="16"/>
              </w:rPr>
              <w:t>High-risk geography, complex structure, adverse information requiring corroboration</w:t>
            </w:r>
          </w:p>
        </w:tc>
        <w:tc>
          <w:tcPr>
            <w:tcW w:type="dxa" w:w="2880"/>
            <w:tcMar>
              <w:top w:w="80" w:type="dxa"/>
              <w:start w:w="90" w:type="dxa"/>
              <w:bottom w:w="80" w:type="dxa"/>
              <w:end w:w="90" w:type="dxa"/>
            </w:tcMar>
            <w:vAlign w:val="top"/>
          </w:tcPr>
          <w:p>
            <w:r>
              <w:rPr>
                <w:rFonts w:ascii="Aptos" w:hAnsi="Aptos"/>
                <w:b w:val="0"/>
                <w:sz w:val="16"/>
              </w:rPr>
              <w:t>5 business days to plan</w:t>
            </w:r>
          </w:p>
        </w:tc>
      </w:tr>
      <w:tr>
        <w:tc>
          <w:tcPr>
            <w:tcW w:type="dxa" w:w="1872"/>
            <w:tcMar>
              <w:top w:w="80" w:type="dxa"/>
              <w:start w:w="90" w:type="dxa"/>
              <w:bottom w:w="80" w:type="dxa"/>
              <w:end w:w="90" w:type="dxa"/>
            </w:tcMar>
            <w:vAlign w:val="top"/>
            <w:shd w:fill="F7FAFC"/>
          </w:tcPr>
          <w:p>
            <w:r>
              <w:rPr>
                <w:rFonts w:ascii="Aptos" w:hAnsi="Aptos"/>
                <w:b w:val="0"/>
                <w:sz w:val="16"/>
              </w:rPr>
              <w:t>P4 — Enhanced Review</w:t>
            </w:r>
          </w:p>
        </w:tc>
        <w:tc>
          <w:tcPr>
            <w:tcW w:type="dxa" w:w="5760"/>
            <w:tcMar>
              <w:top w:w="80" w:type="dxa"/>
              <w:start w:w="90" w:type="dxa"/>
              <w:bottom w:w="80" w:type="dxa"/>
              <w:end w:w="90" w:type="dxa"/>
            </w:tcMar>
            <w:vAlign w:val="top"/>
            <w:shd w:fill="F7FAFC"/>
          </w:tcPr>
          <w:p>
            <w:r>
              <w:rPr>
                <w:rFonts w:ascii="Aptos" w:hAnsi="Aptos"/>
                <w:b w:val="0"/>
                <w:sz w:val="16"/>
              </w:rPr>
              <w:t>Moderate uncertainty requiring supplementary evidence</w:t>
            </w:r>
          </w:p>
        </w:tc>
        <w:tc>
          <w:tcPr>
            <w:tcW w:type="dxa" w:w="2880"/>
            <w:tcMar>
              <w:top w:w="80" w:type="dxa"/>
              <w:start w:w="90" w:type="dxa"/>
              <w:bottom w:w="80" w:type="dxa"/>
              <w:end w:w="90" w:type="dxa"/>
            </w:tcMar>
            <w:vAlign w:val="top"/>
            <w:shd w:fill="F7FAFC"/>
          </w:tcPr>
          <w:p>
            <w:r>
              <w:rPr>
                <w:rFonts w:ascii="Aptos" w:hAnsi="Aptos"/>
                <w:b w:val="0"/>
                <w:sz w:val="16"/>
              </w:rPr>
              <w:t>10 business days to plan</w:t>
            </w:r>
          </w:p>
        </w:tc>
      </w:tr>
    </w:tbl>
    <w:p/>
    <w:p>
      <w:pPr>
        <w:pStyle w:val="Heading1"/>
        <w:keepNext/>
      </w:pPr>
      <w:r>
        <w:t>4. Investigation Plan and Evidence Strategy</w:t>
      </w:r>
    </w:p>
    <w:p>
      <w:r>
        <w:t>The case owner shall state the question to be answered before requesting documents. Evidence requests should be proportionate and should avoid asking for broad records that do not address the trigger.</w:t>
      </w:r>
    </w:p>
    <w:p>
      <w:pPr>
        <w:pStyle w:val="ControlBullet"/>
      </w:pPr>
      <w:r>
        <w:rPr>
          <w:b/>
        </w:rPr>
        <w:t xml:space="preserve">• </w:t>
      </w:r>
      <w:r>
        <w:t>Record trigger, known facts, information gaps, intended evidence sources, decision owner and due date.</w:t>
      </w:r>
    </w:p>
    <w:p>
      <w:pPr>
        <w:pStyle w:val="ControlBullet"/>
      </w:pPr>
      <w:r>
        <w:rPr>
          <w:b/>
        </w:rPr>
        <w:t xml:space="preserve">• </w:t>
      </w:r>
      <w:r>
        <w:t>Prioritize independent or transaction-trace evidence where customer statements alone cannot resolve the risk.</w:t>
      </w:r>
    </w:p>
    <w:p>
      <w:pPr>
        <w:pStyle w:val="ControlBullet"/>
      </w:pPr>
      <w:r>
        <w:rPr>
          <w:b/>
        </w:rPr>
        <w:t xml:space="preserve">• </w:t>
      </w:r>
      <w:r>
        <w:t>Where a document is unavailable, record why and consider reasonable alternatives rather than silently waiving the requirement.</w:t>
      </w:r>
    </w:p>
    <w:p>
      <w:pPr>
        <w:pStyle w:val="ControlBullet"/>
      </w:pPr>
      <w:r>
        <w:rPr>
          <w:b/>
        </w:rPr>
        <w:t xml:space="preserve">• </w:t>
      </w:r>
      <w:r>
        <w:t>Document contradictions and whether they are resolved, immaterial or still relevant to residual risk.</w:t>
      </w:r>
    </w:p>
    <w:p>
      <w:pPr>
        <w:pStyle w:val="Heading1"/>
        <w:keepNext/>
      </w:pPr>
      <w:r>
        <w:t>5. Source of Funds Review</w:t>
      </w:r>
    </w:p>
    <w:p>
      <w:r>
        <w:t>SoF review shall trace the origin of money relevant to the transaction or relationship. The investigator shall test whether the source is plausible, supported and consistent with the customer profile.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160"/>
            <w:shd w:fill="17365D"/>
            <w:vAlign w:val="center"/>
            <w:tcMar>
              <w:top w:w="80" w:type="dxa"/>
              <w:start w:w="90" w:type="dxa"/>
              <w:bottom w:w="80" w:type="dxa"/>
              <w:end w:w="90" w:type="dxa"/>
            </w:tcMar>
          </w:tcPr>
          <w:p>
            <w:r>
              <w:rPr>
                <w:rFonts w:ascii="Aptos" w:hAnsi="Aptos"/>
                <w:b/>
                <w:color w:val="FFFFFF"/>
                <w:sz w:val="16"/>
              </w:rPr>
              <w:t>SoF Type</w:t>
            </w:r>
          </w:p>
        </w:tc>
        <w:tc>
          <w:tcPr>
            <w:tcW w:type="dxa" w:w="4320"/>
            <w:shd w:fill="17365D"/>
            <w:vAlign w:val="center"/>
            <w:tcMar>
              <w:top w:w="80" w:type="dxa"/>
              <w:start w:w="90" w:type="dxa"/>
              <w:bottom w:w="80" w:type="dxa"/>
              <w:end w:w="90" w:type="dxa"/>
            </w:tcMar>
          </w:tcPr>
          <w:p>
            <w:r>
              <w:rPr>
                <w:rFonts w:ascii="Aptos" w:hAnsi="Aptos"/>
                <w:b/>
                <w:color w:val="FFFFFF"/>
                <w:sz w:val="16"/>
              </w:rPr>
              <w:t>Evidence Examples</w:t>
            </w:r>
          </w:p>
        </w:tc>
        <w:tc>
          <w:tcPr>
            <w:tcW w:type="dxa" w:w="3888"/>
            <w:shd w:fill="17365D"/>
            <w:vAlign w:val="center"/>
            <w:tcMar>
              <w:top w:w="80" w:type="dxa"/>
              <w:start w:w="90" w:type="dxa"/>
              <w:bottom w:w="80" w:type="dxa"/>
              <w:end w:w="90" w:type="dxa"/>
            </w:tcMar>
          </w:tcPr>
          <w:p>
            <w:r>
              <w:rPr>
                <w:rFonts w:ascii="Aptos" w:hAnsi="Aptos"/>
                <w:b/>
                <w:color w:val="FFFFFF"/>
                <w:sz w:val="16"/>
              </w:rPr>
              <w:t>Red Flags Requiring Expansion</w:t>
            </w:r>
          </w:p>
        </w:tc>
      </w:tr>
      <w:tr>
        <w:tc>
          <w:tcPr>
            <w:tcW w:type="dxa" w:w="2160"/>
            <w:tcMar>
              <w:top w:w="80" w:type="dxa"/>
              <w:start w:w="90" w:type="dxa"/>
              <w:bottom w:w="80" w:type="dxa"/>
              <w:end w:w="90" w:type="dxa"/>
            </w:tcMar>
            <w:vAlign w:val="top"/>
          </w:tcPr>
          <w:p>
            <w:r>
              <w:rPr>
                <w:rFonts w:ascii="Aptos" w:hAnsi="Aptos"/>
                <w:b w:val="0"/>
                <w:sz w:val="16"/>
              </w:rPr>
              <w:t>Salary/savings</w:t>
            </w:r>
          </w:p>
        </w:tc>
        <w:tc>
          <w:tcPr>
            <w:tcW w:type="dxa" w:w="4320"/>
            <w:tcMar>
              <w:top w:w="80" w:type="dxa"/>
              <w:start w:w="90" w:type="dxa"/>
              <w:bottom w:w="80" w:type="dxa"/>
              <w:end w:w="90" w:type="dxa"/>
            </w:tcMar>
            <w:vAlign w:val="top"/>
          </w:tcPr>
          <w:p>
            <w:r>
              <w:rPr>
                <w:rFonts w:ascii="Aptos" w:hAnsi="Aptos"/>
                <w:b w:val="0"/>
                <w:sz w:val="16"/>
              </w:rPr>
              <w:t>Bank statements, salary credits, employer evidence</w:t>
            </w:r>
          </w:p>
        </w:tc>
        <w:tc>
          <w:tcPr>
            <w:tcW w:type="dxa" w:w="3888"/>
            <w:tcMar>
              <w:top w:w="80" w:type="dxa"/>
              <w:start w:w="90" w:type="dxa"/>
              <w:bottom w:w="80" w:type="dxa"/>
              <w:end w:w="90" w:type="dxa"/>
            </w:tcMar>
            <w:vAlign w:val="top"/>
          </w:tcPr>
          <w:p>
            <w:r>
              <w:rPr>
                <w:rFonts w:ascii="Aptos" w:hAnsi="Aptos"/>
                <w:b w:val="0"/>
                <w:sz w:val="16"/>
              </w:rPr>
              <w:t>Recent unexplained lump-sum credits, circular transfers</w:t>
            </w:r>
          </w:p>
        </w:tc>
      </w:tr>
      <w:tr>
        <w:tc>
          <w:tcPr>
            <w:tcW w:type="dxa" w:w="2160"/>
            <w:tcMar>
              <w:top w:w="80" w:type="dxa"/>
              <w:start w:w="90" w:type="dxa"/>
              <w:bottom w:w="80" w:type="dxa"/>
              <w:end w:w="90" w:type="dxa"/>
            </w:tcMar>
            <w:vAlign w:val="top"/>
            <w:shd w:fill="F7FAFC"/>
          </w:tcPr>
          <w:p>
            <w:r>
              <w:rPr>
                <w:rFonts w:ascii="Aptos" w:hAnsi="Aptos"/>
                <w:b w:val="0"/>
                <w:sz w:val="16"/>
              </w:rPr>
              <w:t>Business revenue</w:t>
            </w:r>
          </w:p>
        </w:tc>
        <w:tc>
          <w:tcPr>
            <w:tcW w:type="dxa" w:w="4320"/>
            <w:tcMar>
              <w:top w:w="80" w:type="dxa"/>
              <w:start w:w="90" w:type="dxa"/>
              <w:bottom w:w="80" w:type="dxa"/>
              <w:end w:w="90" w:type="dxa"/>
            </w:tcMar>
            <w:vAlign w:val="top"/>
            <w:shd w:fill="F7FAFC"/>
          </w:tcPr>
          <w:p>
            <w:r>
              <w:rPr>
                <w:rFonts w:ascii="Aptos" w:hAnsi="Aptos"/>
                <w:b w:val="0"/>
                <w:sz w:val="16"/>
              </w:rPr>
              <w:t>Business bank statements, invoices, contracts</w:t>
            </w:r>
          </w:p>
        </w:tc>
        <w:tc>
          <w:tcPr>
            <w:tcW w:type="dxa" w:w="3888"/>
            <w:tcMar>
              <w:top w:w="80" w:type="dxa"/>
              <w:start w:w="90" w:type="dxa"/>
              <w:bottom w:w="80" w:type="dxa"/>
              <w:end w:w="90" w:type="dxa"/>
            </w:tcMar>
            <w:vAlign w:val="top"/>
            <w:shd w:fill="F7FAFC"/>
          </w:tcPr>
          <w:p>
            <w:r>
              <w:rPr>
                <w:rFonts w:ascii="Aptos" w:hAnsi="Aptos"/>
                <w:b w:val="0"/>
                <w:sz w:val="16"/>
              </w:rPr>
              <w:t>Receipts inconsistent with stated business or counterparties</w:t>
            </w:r>
          </w:p>
        </w:tc>
      </w:tr>
      <w:tr>
        <w:tc>
          <w:tcPr>
            <w:tcW w:type="dxa" w:w="2160"/>
            <w:tcMar>
              <w:top w:w="80" w:type="dxa"/>
              <w:start w:w="90" w:type="dxa"/>
              <w:bottom w:w="80" w:type="dxa"/>
              <w:end w:w="90" w:type="dxa"/>
            </w:tcMar>
            <w:vAlign w:val="top"/>
          </w:tcPr>
          <w:p>
            <w:r>
              <w:rPr>
                <w:rFonts w:ascii="Aptos" w:hAnsi="Aptos"/>
                <w:b w:val="0"/>
                <w:sz w:val="16"/>
              </w:rPr>
              <w:t>Asset sale</w:t>
            </w:r>
          </w:p>
        </w:tc>
        <w:tc>
          <w:tcPr>
            <w:tcW w:type="dxa" w:w="4320"/>
            <w:tcMar>
              <w:top w:w="80" w:type="dxa"/>
              <w:start w:w="90" w:type="dxa"/>
              <w:bottom w:w="80" w:type="dxa"/>
              <w:end w:w="90" w:type="dxa"/>
            </w:tcMar>
            <w:vAlign w:val="top"/>
          </w:tcPr>
          <w:p>
            <w:r>
              <w:rPr>
                <w:rFonts w:ascii="Aptos" w:hAnsi="Aptos"/>
                <w:b w:val="0"/>
                <w:sz w:val="16"/>
              </w:rPr>
              <w:t>Sale agreement, ownership evidence, bank settlement</w:t>
            </w:r>
          </w:p>
        </w:tc>
        <w:tc>
          <w:tcPr>
            <w:tcW w:type="dxa" w:w="3888"/>
            <w:tcMar>
              <w:top w:w="80" w:type="dxa"/>
              <w:start w:w="90" w:type="dxa"/>
              <w:bottom w:w="80" w:type="dxa"/>
              <w:end w:w="90" w:type="dxa"/>
            </w:tcMar>
            <w:vAlign w:val="top"/>
          </w:tcPr>
          <w:p>
            <w:r>
              <w:rPr>
                <w:rFonts w:ascii="Aptos" w:hAnsi="Aptos"/>
                <w:b w:val="0"/>
                <w:sz w:val="16"/>
              </w:rPr>
              <w:t>Payment from unrelated party; unusual value difference</w:t>
            </w:r>
          </w:p>
        </w:tc>
      </w:tr>
      <w:tr>
        <w:tc>
          <w:tcPr>
            <w:tcW w:type="dxa" w:w="2160"/>
            <w:tcMar>
              <w:top w:w="80" w:type="dxa"/>
              <w:start w:w="90" w:type="dxa"/>
              <w:bottom w:w="80" w:type="dxa"/>
              <w:end w:w="90" w:type="dxa"/>
            </w:tcMar>
            <w:vAlign w:val="top"/>
            <w:shd w:fill="F7FAFC"/>
          </w:tcPr>
          <w:p>
            <w:r>
              <w:rPr>
                <w:rFonts w:ascii="Aptos" w:hAnsi="Aptos"/>
                <w:b w:val="0"/>
                <w:sz w:val="16"/>
              </w:rPr>
              <w:t>Loan/borrowing</w:t>
            </w:r>
          </w:p>
        </w:tc>
        <w:tc>
          <w:tcPr>
            <w:tcW w:type="dxa" w:w="4320"/>
            <w:tcMar>
              <w:top w:w="80" w:type="dxa"/>
              <w:start w:w="90" w:type="dxa"/>
              <w:bottom w:w="80" w:type="dxa"/>
              <w:end w:w="90" w:type="dxa"/>
            </w:tcMar>
            <w:vAlign w:val="top"/>
            <w:shd w:fill="F7FAFC"/>
          </w:tcPr>
          <w:p>
            <w:r>
              <w:rPr>
                <w:rFonts w:ascii="Aptos" w:hAnsi="Aptos"/>
                <w:b w:val="0"/>
                <w:sz w:val="16"/>
              </w:rPr>
              <w:t>Loan agreement, lender identity, disbursement trail</w:t>
            </w:r>
          </w:p>
        </w:tc>
        <w:tc>
          <w:tcPr>
            <w:tcW w:type="dxa" w:w="3888"/>
            <w:tcMar>
              <w:top w:w="80" w:type="dxa"/>
              <w:start w:w="90" w:type="dxa"/>
              <w:bottom w:w="80" w:type="dxa"/>
              <w:end w:w="90" w:type="dxa"/>
            </w:tcMar>
            <w:vAlign w:val="top"/>
            <w:shd w:fill="F7FAFC"/>
          </w:tcPr>
          <w:p>
            <w:r>
              <w:rPr>
                <w:rFonts w:ascii="Aptos" w:hAnsi="Aptos"/>
                <w:b w:val="0"/>
                <w:sz w:val="16"/>
              </w:rPr>
              <w:t>Unlicensed/unexplained lender, rapid layering</w:t>
            </w:r>
          </w:p>
        </w:tc>
      </w:tr>
      <w:tr>
        <w:tc>
          <w:tcPr>
            <w:tcW w:type="dxa" w:w="2160"/>
            <w:tcMar>
              <w:top w:w="80" w:type="dxa"/>
              <w:start w:w="90" w:type="dxa"/>
              <w:bottom w:w="80" w:type="dxa"/>
              <w:end w:w="90" w:type="dxa"/>
            </w:tcMar>
            <w:vAlign w:val="top"/>
          </w:tcPr>
          <w:p>
            <w:r>
              <w:rPr>
                <w:rFonts w:ascii="Aptos" w:hAnsi="Aptos"/>
                <w:b w:val="0"/>
                <w:sz w:val="16"/>
              </w:rPr>
              <w:t>Gift/inheritance</w:t>
            </w:r>
          </w:p>
        </w:tc>
        <w:tc>
          <w:tcPr>
            <w:tcW w:type="dxa" w:w="4320"/>
            <w:tcMar>
              <w:top w:w="80" w:type="dxa"/>
              <w:start w:w="90" w:type="dxa"/>
              <w:bottom w:w="80" w:type="dxa"/>
              <w:end w:w="90" w:type="dxa"/>
            </w:tcMar>
            <w:vAlign w:val="top"/>
          </w:tcPr>
          <w:p>
            <w:r>
              <w:rPr>
                <w:rFonts w:ascii="Aptos" w:hAnsi="Aptos"/>
                <w:b w:val="0"/>
                <w:sz w:val="16"/>
              </w:rPr>
              <w:t>Donor/estate evidence, relationship, transfer trail</w:t>
            </w:r>
          </w:p>
        </w:tc>
        <w:tc>
          <w:tcPr>
            <w:tcW w:type="dxa" w:w="3888"/>
            <w:tcMar>
              <w:top w:w="80" w:type="dxa"/>
              <w:start w:w="90" w:type="dxa"/>
              <w:bottom w:w="80" w:type="dxa"/>
              <w:end w:w="90" w:type="dxa"/>
            </w:tcMar>
            <w:vAlign w:val="top"/>
          </w:tcPr>
          <w:p>
            <w:r>
              <w:rPr>
                <w:rFonts w:ascii="Aptos" w:hAnsi="Aptos"/>
                <w:b w:val="0"/>
                <w:sz w:val="16"/>
              </w:rPr>
              <w:t>Donor capacity unclear or source not evidenced</w:t>
            </w:r>
          </w:p>
        </w:tc>
      </w:tr>
    </w:tbl>
    <w:p/>
    <w:p>
      <w:pPr>
        <w:pStyle w:val="Heading1"/>
        <w:keepNext/>
      </w:pPr>
      <w:r>
        <w:t>6. Source of Wealth Review</w:t>
      </w:r>
    </w:p>
    <w:p>
      <w:r>
        <w:t>SoW review is required where overall wealth is material to the risk decision, including high-risk PEP cases, unusually wealthy customers, complex ownership or where transaction values are disproportionate to known income.</w:t>
      </w:r>
    </w:p>
    <w:p>
      <w:pPr>
        <w:pStyle w:val="ControlBullet"/>
      </w:pPr>
      <w:r>
        <w:rPr>
          <w:b/>
        </w:rPr>
        <w:t xml:space="preserve">• </w:t>
      </w:r>
      <w:r>
        <w:t>Assess the principal wealth-generating activities over time, not only the current account balance.</w:t>
      </w:r>
    </w:p>
    <w:p>
      <w:pPr>
        <w:pStyle w:val="ControlBullet"/>
      </w:pPr>
      <w:r>
        <w:rPr>
          <w:b/>
        </w:rPr>
        <w:t xml:space="preserve">• </w:t>
      </w:r>
      <w:r>
        <w:t>Use a combination of business ownership, employment history, asset records, investment evidence and credible public information as appropriate.</w:t>
      </w:r>
    </w:p>
    <w:p>
      <w:pPr>
        <w:pStyle w:val="ControlBullet"/>
      </w:pPr>
      <w:r>
        <w:rPr>
          <w:b/>
        </w:rPr>
        <w:t xml:space="preserve">• </w:t>
      </w:r>
      <w:r>
        <w:t>Large stated wealth unsupported by observable economic activity requires explanation and may require independent corroboration.</w:t>
      </w:r>
    </w:p>
    <w:p>
      <w:pPr>
        <w:pStyle w:val="ControlBullet"/>
      </w:pPr>
      <w:r>
        <w:rPr>
          <w:b/>
        </w:rPr>
        <w:t xml:space="preserve">• </w:t>
      </w:r>
      <w:r>
        <w:t>The investigator shall record a reasoned plausibility conclusion rather than a binary “verified/not verified” label where evidence is mixed.</w:t>
      </w:r>
    </w:p>
    <w:p>
      <w:pPr>
        <w:pStyle w:val="Heading1"/>
        <w:keepNext/>
      </w:pPr>
      <w:r>
        <w:t>7. PEP and Close-Associate EDD</w:t>
      </w:r>
    </w:p>
    <w:p>
      <w:r>
        <w:t>Confirmed PEPs and materially connected persons require assessment of role, seniority, country/context, source of wealth, source of funds where relevant, adverse information, expected activity and control measures.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4032"/>
            <w:shd w:fill="17365D"/>
            <w:vAlign w:val="center"/>
            <w:tcMar>
              <w:top w:w="80" w:type="dxa"/>
              <w:start w:w="90" w:type="dxa"/>
              <w:bottom w:w="80" w:type="dxa"/>
              <w:end w:w="90" w:type="dxa"/>
            </w:tcMar>
          </w:tcPr>
          <w:p>
            <w:r>
              <w:rPr>
                <w:rFonts w:ascii="Aptos" w:hAnsi="Aptos"/>
                <w:b/>
                <w:color w:val="FFFFFF"/>
                <w:sz w:val="16"/>
              </w:rPr>
              <w:t>Risk Feature</w:t>
            </w:r>
          </w:p>
        </w:tc>
        <w:tc>
          <w:tcPr>
            <w:tcW w:type="dxa" w:w="6336"/>
            <w:shd w:fill="17365D"/>
            <w:vAlign w:val="center"/>
            <w:tcMar>
              <w:top w:w="80" w:type="dxa"/>
              <w:start w:w="90" w:type="dxa"/>
              <w:bottom w:w="80" w:type="dxa"/>
              <w:end w:w="90" w:type="dxa"/>
            </w:tcMar>
          </w:tcPr>
          <w:p>
            <w:r>
              <w:rPr>
                <w:rFonts w:ascii="Aptos" w:hAnsi="Aptos"/>
                <w:b/>
                <w:color w:val="FFFFFF"/>
                <w:sz w:val="16"/>
              </w:rPr>
              <w:t>Response</w:t>
            </w:r>
          </w:p>
        </w:tc>
      </w:tr>
      <w:tr>
        <w:tc>
          <w:tcPr>
            <w:tcW w:type="dxa" w:w="4032"/>
            <w:tcMar>
              <w:top w:w="80" w:type="dxa"/>
              <w:start w:w="90" w:type="dxa"/>
              <w:bottom w:w="80" w:type="dxa"/>
              <w:end w:w="90" w:type="dxa"/>
            </w:tcMar>
            <w:vAlign w:val="top"/>
          </w:tcPr>
          <w:p>
            <w:r>
              <w:rPr>
                <w:rFonts w:ascii="Aptos" w:hAnsi="Aptos"/>
                <w:b w:val="0"/>
                <w:sz w:val="16"/>
              </w:rPr>
              <w:t>Domestic / lower-risk role with transparent wealth</w:t>
            </w:r>
          </w:p>
        </w:tc>
        <w:tc>
          <w:tcPr>
            <w:tcW w:type="dxa" w:w="6336"/>
            <w:tcMar>
              <w:top w:w="80" w:type="dxa"/>
              <w:start w:w="90" w:type="dxa"/>
              <w:bottom w:w="80" w:type="dxa"/>
              <w:end w:w="90" w:type="dxa"/>
            </w:tcMar>
            <w:vAlign w:val="top"/>
          </w:tcPr>
          <w:p>
            <w:r>
              <w:rPr>
                <w:rFonts w:ascii="Aptos" w:hAnsi="Aptos"/>
                <w:b w:val="0"/>
                <w:sz w:val="16"/>
              </w:rPr>
              <w:t>EDD; risk scoring; senior approval per AML-003</w:t>
            </w:r>
          </w:p>
        </w:tc>
      </w:tr>
      <w:tr>
        <w:tc>
          <w:tcPr>
            <w:tcW w:type="dxa" w:w="4032"/>
            <w:tcMar>
              <w:top w:w="80" w:type="dxa"/>
              <w:start w:w="90" w:type="dxa"/>
              <w:bottom w:w="80" w:type="dxa"/>
              <w:end w:w="90" w:type="dxa"/>
            </w:tcMar>
            <w:vAlign w:val="top"/>
            <w:shd w:fill="F7FAFC"/>
          </w:tcPr>
          <w:p>
            <w:r>
              <w:rPr>
                <w:rFonts w:ascii="Aptos" w:hAnsi="Aptos"/>
                <w:b w:val="0"/>
                <w:sz w:val="16"/>
              </w:rPr>
              <w:t>Foreign or high-influence role</w:t>
            </w:r>
          </w:p>
        </w:tc>
        <w:tc>
          <w:tcPr>
            <w:tcW w:type="dxa" w:w="6336"/>
            <w:tcMar>
              <w:top w:w="80" w:type="dxa"/>
              <w:start w:w="90" w:type="dxa"/>
              <w:bottom w:w="80" w:type="dxa"/>
              <w:end w:w="90" w:type="dxa"/>
            </w:tcMar>
            <w:vAlign w:val="top"/>
            <w:shd w:fill="F7FAFC"/>
          </w:tcPr>
          <w:p>
            <w:r>
              <w:rPr>
                <w:rFonts w:ascii="Aptos" w:hAnsi="Aptos"/>
                <w:b w:val="0"/>
                <w:sz w:val="16"/>
              </w:rPr>
              <w:t>Expanded SoW/SoF; adverse-information review; enhanced monitoring</w:t>
            </w:r>
          </w:p>
        </w:tc>
      </w:tr>
      <w:tr>
        <w:tc>
          <w:tcPr>
            <w:tcW w:type="dxa" w:w="4032"/>
            <w:tcMar>
              <w:top w:w="80" w:type="dxa"/>
              <w:start w:w="90" w:type="dxa"/>
              <w:bottom w:w="80" w:type="dxa"/>
              <w:end w:w="90" w:type="dxa"/>
            </w:tcMar>
            <w:vAlign w:val="top"/>
          </w:tcPr>
          <w:p>
            <w:r>
              <w:rPr>
                <w:rFonts w:ascii="Aptos" w:hAnsi="Aptos"/>
                <w:b w:val="0"/>
                <w:sz w:val="16"/>
              </w:rPr>
              <w:t>Family/close associate with unexplained third-party activity</w:t>
            </w:r>
          </w:p>
        </w:tc>
        <w:tc>
          <w:tcPr>
            <w:tcW w:type="dxa" w:w="6336"/>
            <w:tcMar>
              <w:top w:w="80" w:type="dxa"/>
              <w:start w:w="90" w:type="dxa"/>
              <w:bottom w:w="80" w:type="dxa"/>
              <w:end w:w="90" w:type="dxa"/>
            </w:tcMar>
            <w:vAlign w:val="top"/>
          </w:tcPr>
          <w:p>
            <w:r>
              <w:rPr>
                <w:rFonts w:ascii="Aptos" w:hAnsi="Aptos"/>
                <w:b w:val="0"/>
                <w:sz w:val="16"/>
              </w:rPr>
              <w:t>Relationship analysis; funding purpose; ownership links</w:t>
            </w:r>
          </w:p>
        </w:tc>
      </w:tr>
      <w:tr>
        <w:tc>
          <w:tcPr>
            <w:tcW w:type="dxa" w:w="4032"/>
            <w:tcMar>
              <w:top w:w="80" w:type="dxa"/>
              <w:start w:w="90" w:type="dxa"/>
              <w:bottom w:w="80" w:type="dxa"/>
              <w:end w:w="90" w:type="dxa"/>
            </w:tcMar>
            <w:vAlign w:val="top"/>
            <w:shd w:fill="F7FAFC"/>
          </w:tcPr>
          <w:p>
            <w:r>
              <w:rPr>
                <w:rFonts w:ascii="Aptos" w:hAnsi="Aptos"/>
                <w:b w:val="0"/>
                <w:sz w:val="16"/>
              </w:rPr>
              <w:t>Recent departure from public function</w:t>
            </w:r>
          </w:p>
        </w:tc>
        <w:tc>
          <w:tcPr>
            <w:tcW w:type="dxa" w:w="6336"/>
            <w:tcMar>
              <w:top w:w="80" w:type="dxa"/>
              <w:start w:w="90" w:type="dxa"/>
              <w:bottom w:w="80" w:type="dxa"/>
              <w:end w:w="90" w:type="dxa"/>
            </w:tcMar>
            <w:vAlign w:val="top"/>
            <w:shd w:fill="F7FAFC"/>
          </w:tcPr>
          <w:p>
            <w:r>
              <w:rPr>
                <w:rFonts w:ascii="Aptos" w:hAnsi="Aptos"/>
                <w:b w:val="0"/>
                <w:sz w:val="16"/>
              </w:rPr>
              <w:t>Assess residual influence and recency; do not auto-downgrade</w:t>
            </w:r>
          </w:p>
        </w:tc>
      </w:tr>
      <w:tr>
        <w:tc>
          <w:tcPr>
            <w:tcW w:type="dxa" w:w="4032"/>
            <w:tcMar>
              <w:top w:w="80" w:type="dxa"/>
              <w:start w:w="90" w:type="dxa"/>
              <w:bottom w:w="80" w:type="dxa"/>
              <w:end w:w="90" w:type="dxa"/>
            </w:tcMar>
            <w:vAlign w:val="top"/>
          </w:tcPr>
          <w:p>
            <w:r>
              <w:rPr>
                <w:rFonts w:ascii="Aptos" w:hAnsi="Aptos"/>
                <w:b w:val="0"/>
                <w:sz w:val="16"/>
              </w:rPr>
              <w:t>Credible corruption/proceeds allegation</w:t>
            </w:r>
          </w:p>
        </w:tc>
        <w:tc>
          <w:tcPr>
            <w:tcW w:type="dxa" w:w="6336"/>
            <w:tcMar>
              <w:top w:w="80" w:type="dxa"/>
              <w:start w:w="90" w:type="dxa"/>
              <w:bottom w:w="80" w:type="dxa"/>
              <w:end w:w="90" w:type="dxa"/>
            </w:tcMar>
            <w:vAlign w:val="top"/>
          </w:tcPr>
          <w:p>
            <w:r>
              <w:rPr>
                <w:rFonts w:ascii="Aptos" w:hAnsi="Aptos"/>
                <w:b w:val="0"/>
                <w:sz w:val="16"/>
              </w:rPr>
              <w:t>Chief AML Officer / Legal escalation; consider decline/exit</w:t>
            </w:r>
          </w:p>
        </w:tc>
      </w:tr>
    </w:tbl>
    <w:p/>
    <w:p>
      <w:pPr>
        <w:pStyle w:val="Heading1"/>
        <w:keepNext/>
      </w:pPr>
      <w:r>
        <w:t>8. Complex Ownership and Control</w:t>
      </w:r>
    </w:p>
    <w:p>
      <w:r>
        <w:t>The investigator shall map the ownership and control chain to natural persons and explain the commercial purpose of intermediate entities. Corporate complexity alone is not adverse; unexplained or unnecessary complexity is a risk factor.</w:t>
      </w:r>
    </w:p>
    <w:p>
      <w:pPr>
        <w:pStyle w:val="ControlBullet"/>
      </w:pPr>
      <w:r>
        <w:rPr>
          <w:b/>
        </w:rPr>
        <w:t xml:space="preserve">• </w:t>
      </w:r>
      <w:r>
        <w:t>Obtain an ownership chart identifying percentages, control rights and jurisdictions.</w:t>
      </w:r>
    </w:p>
    <w:p>
      <w:pPr>
        <w:pStyle w:val="ControlBullet"/>
      </w:pPr>
      <w:r>
        <w:rPr>
          <w:b/>
        </w:rPr>
        <w:t xml:space="preserve">• </w:t>
      </w:r>
      <w:r>
        <w:t>For High-risk or materially layered structures, collect information down to 10% ownership/control where meaningful.</w:t>
      </w:r>
    </w:p>
    <w:p>
      <w:pPr>
        <w:pStyle w:val="ControlBullet"/>
      </w:pPr>
      <w:r>
        <w:rPr>
          <w:b/>
        </w:rPr>
        <w:t xml:space="preserve">• </w:t>
      </w:r>
      <w:r>
        <w:t>Verify key intermediate entities where reliance on customer-supplied structure would be insufficient.</w:t>
      </w:r>
    </w:p>
    <w:p>
      <w:pPr>
        <w:pStyle w:val="ControlBullet"/>
      </w:pPr>
      <w:r>
        <w:rPr>
          <w:b/>
        </w:rPr>
        <w:t xml:space="preserve">• </w:t>
      </w:r>
      <w:r>
        <w:t>Identify nominee, fiduciary, trust, protector, voting arrangement or management-control features.</w:t>
      </w:r>
    </w:p>
    <w:p>
      <w:pPr>
        <w:pStyle w:val="ControlBullet"/>
      </w:pPr>
      <w:r>
        <w:rPr>
          <w:b/>
        </w:rPr>
        <w:t xml:space="preserve">• </w:t>
      </w:r>
      <w:r>
        <w:t>Escalate if the ultimate controlling natural person cannot be reasonably established.</w:t>
      </w:r>
    </w:p>
    <w:p>
      <w:pPr>
        <w:pStyle w:val="Heading1"/>
        <w:keepNext/>
      </w:pPr>
      <w:r>
        <w:t>9. High-Risk Geography and Cross-Border Activity</w:t>
      </w:r>
    </w:p>
    <w:p>
      <w:r>
        <w:t>Geographic EDD shall evaluate why the customer, owner, counterparty or funds are linked to the geography and whether the activity is consistent with the stated business. Internal country-risk lists are control tools and shall not be presented as external legal requirements.</w:t>
      </w:r>
    </w:p>
    <w:p>
      <w:pPr>
        <w:pStyle w:val="ControlBullet"/>
      </w:pPr>
      <w:r>
        <w:rPr>
          <w:b/>
        </w:rPr>
        <w:t xml:space="preserve">• </w:t>
      </w:r>
      <w:r>
        <w:t>Document customer nexus, transaction nexus, counterparties and expected frequency/value.</w:t>
      </w:r>
    </w:p>
    <w:p>
      <w:pPr>
        <w:pStyle w:val="ControlBullet"/>
      </w:pPr>
      <w:r>
        <w:rPr>
          <w:b/>
        </w:rPr>
        <w:t xml:space="preserve">• </w:t>
      </w:r>
      <w:r>
        <w:t>Assess whether the product or channel enables rapid movement or obscures counterparties.</w:t>
      </w:r>
    </w:p>
    <w:p>
      <w:pPr>
        <w:pStyle w:val="ControlBullet"/>
      </w:pPr>
      <w:r>
        <w:rPr>
          <w:b/>
        </w:rPr>
        <w:t xml:space="preserve">• </w:t>
      </w:r>
      <w:r>
        <w:t>Obtain trade, contract or payment evidence where cross-border business activity is central to the rationale.</w:t>
      </w:r>
    </w:p>
    <w:p>
      <w:pPr>
        <w:pStyle w:val="ControlBullet"/>
      </w:pPr>
      <w:r>
        <w:rPr>
          <w:b/>
        </w:rPr>
        <w:t xml:space="preserve">• </w:t>
      </w:r>
      <w:r>
        <w:t>Use enhanced monitoring conditions where the relationship is accepted despite material geography risk.</w:t>
      </w:r>
    </w:p>
    <w:p>
      <w:pPr>
        <w:pStyle w:val="Heading1"/>
        <w:keepNext/>
      </w:pPr>
      <w:r>
        <w:t>10. Adverse Information and Integrity Assessment</w:t>
      </w:r>
    </w:p>
    <w:p>
      <w:r>
        <w:t>Adverse-information review shall distinguish allegation from fact and consider source reliability, subject identity, recency, seriousness, pattern and outcome. Duplicate articles or low-quality reposts shall not be counted as independent corroboration.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880"/>
            <w:shd w:fill="17365D"/>
            <w:vAlign w:val="center"/>
            <w:tcMar>
              <w:top w:w="80" w:type="dxa"/>
              <w:start w:w="90" w:type="dxa"/>
              <w:bottom w:w="80" w:type="dxa"/>
              <w:end w:w="90" w:type="dxa"/>
            </w:tcMar>
          </w:tcPr>
          <w:p>
            <w:r>
              <w:rPr>
                <w:rFonts w:ascii="Aptos" w:hAnsi="Aptos"/>
                <w:b/>
                <w:color w:val="FFFFFF"/>
                <w:sz w:val="16"/>
              </w:rPr>
              <w:t>Assessment Factor</w:t>
            </w:r>
          </w:p>
        </w:tc>
        <w:tc>
          <w:tcPr>
            <w:tcW w:type="dxa" w:w="7488"/>
            <w:shd w:fill="17365D"/>
            <w:vAlign w:val="center"/>
            <w:tcMar>
              <w:top w:w="80" w:type="dxa"/>
              <w:start w:w="90" w:type="dxa"/>
              <w:bottom w:w="80" w:type="dxa"/>
              <w:end w:w="90" w:type="dxa"/>
            </w:tcMar>
          </w:tcPr>
          <w:p>
            <w:r>
              <w:rPr>
                <w:rFonts w:ascii="Aptos" w:hAnsi="Aptos"/>
                <w:b/>
                <w:color w:val="FFFFFF"/>
                <w:sz w:val="16"/>
              </w:rPr>
              <w:t>Questions</w:t>
            </w:r>
          </w:p>
        </w:tc>
      </w:tr>
      <w:tr>
        <w:tc>
          <w:tcPr>
            <w:tcW w:type="dxa" w:w="2880"/>
            <w:tcMar>
              <w:top w:w="80" w:type="dxa"/>
              <w:start w:w="90" w:type="dxa"/>
              <w:bottom w:w="80" w:type="dxa"/>
              <w:end w:w="90" w:type="dxa"/>
            </w:tcMar>
            <w:vAlign w:val="top"/>
          </w:tcPr>
          <w:p>
            <w:r>
              <w:rPr>
                <w:rFonts w:ascii="Aptos" w:hAnsi="Aptos"/>
                <w:b w:val="0"/>
                <w:sz w:val="16"/>
              </w:rPr>
              <w:t>Identity match</w:t>
            </w:r>
          </w:p>
        </w:tc>
        <w:tc>
          <w:tcPr>
            <w:tcW w:type="dxa" w:w="7488"/>
            <w:tcMar>
              <w:top w:w="80" w:type="dxa"/>
              <w:start w:w="90" w:type="dxa"/>
              <w:bottom w:w="80" w:type="dxa"/>
              <w:end w:w="90" w:type="dxa"/>
            </w:tcMar>
            <w:vAlign w:val="top"/>
          </w:tcPr>
          <w:p>
            <w:r>
              <w:rPr>
                <w:rFonts w:ascii="Aptos" w:hAnsi="Aptos"/>
                <w:b w:val="0"/>
                <w:sz w:val="16"/>
              </w:rPr>
              <w:t>Is the subject actually the customer/owner/controller?</w:t>
            </w:r>
          </w:p>
        </w:tc>
      </w:tr>
      <w:tr>
        <w:tc>
          <w:tcPr>
            <w:tcW w:type="dxa" w:w="2880"/>
            <w:tcMar>
              <w:top w:w="80" w:type="dxa"/>
              <w:start w:w="90" w:type="dxa"/>
              <w:bottom w:w="80" w:type="dxa"/>
              <w:end w:w="90" w:type="dxa"/>
            </w:tcMar>
            <w:vAlign w:val="top"/>
            <w:shd w:fill="F7FAFC"/>
          </w:tcPr>
          <w:p>
            <w:r>
              <w:rPr>
                <w:rFonts w:ascii="Aptos" w:hAnsi="Aptos"/>
                <w:b w:val="0"/>
                <w:sz w:val="16"/>
              </w:rPr>
              <w:t>Reliability</w:t>
            </w:r>
          </w:p>
        </w:tc>
        <w:tc>
          <w:tcPr>
            <w:tcW w:type="dxa" w:w="7488"/>
            <w:tcMar>
              <w:top w:w="80" w:type="dxa"/>
              <w:start w:w="90" w:type="dxa"/>
              <w:bottom w:w="80" w:type="dxa"/>
              <w:end w:w="90" w:type="dxa"/>
            </w:tcMar>
            <w:vAlign w:val="top"/>
            <w:shd w:fill="F7FAFC"/>
          </w:tcPr>
          <w:p>
            <w:r>
              <w:rPr>
                <w:rFonts w:ascii="Aptos" w:hAnsi="Aptos"/>
                <w:b w:val="0"/>
                <w:sz w:val="16"/>
              </w:rPr>
              <w:t>Is the source credible, attributable and sufficiently specific?</w:t>
            </w:r>
          </w:p>
        </w:tc>
      </w:tr>
      <w:tr>
        <w:tc>
          <w:tcPr>
            <w:tcW w:type="dxa" w:w="2880"/>
            <w:tcMar>
              <w:top w:w="80" w:type="dxa"/>
              <w:start w:w="90" w:type="dxa"/>
              <w:bottom w:w="80" w:type="dxa"/>
              <w:end w:w="90" w:type="dxa"/>
            </w:tcMar>
            <w:vAlign w:val="top"/>
          </w:tcPr>
          <w:p>
            <w:r>
              <w:rPr>
                <w:rFonts w:ascii="Aptos" w:hAnsi="Aptos"/>
                <w:b w:val="0"/>
                <w:sz w:val="16"/>
              </w:rPr>
              <w:t>Recency</w:t>
            </w:r>
          </w:p>
        </w:tc>
        <w:tc>
          <w:tcPr>
            <w:tcW w:type="dxa" w:w="7488"/>
            <w:tcMar>
              <w:top w:w="80" w:type="dxa"/>
              <w:start w:w="90" w:type="dxa"/>
              <w:bottom w:w="80" w:type="dxa"/>
              <w:end w:w="90" w:type="dxa"/>
            </w:tcMar>
            <w:vAlign w:val="top"/>
          </w:tcPr>
          <w:p>
            <w:r>
              <w:rPr>
                <w:rFonts w:ascii="Aptos" w:hAnsi="Aptos"/>
                <w:b w:val="0"/>
                <w:sz w:val="16"/>
              </w:rPr>
              <w:t>Is the issue ongoing, recent or remote?</w:t>
            </w:r>
          </w:p>
        </w:tc>
      </w:tr>
      <w:tr>
        <w:tc>
          <w:tcPr>
            <w:tcW w:type="dxa" w:w="2880"/>
            <w:tcMar>
              <w:top w:w="80" w:type="dxa"/>
              <w:start w:w="90" w:type="dxa"/>
              <w:bottom w:w="80" w:type="dxa"/>
              <w:end w:w="90" w:type="dxa"/>
            </w:tcMar>
            <w:vAlign w:val="top"/>
            <w:shd w:fill="F7FAFC"/>
          </w:tcPr>
          <w:p>
            <w:r>
              <w:rPr>
                <w:rFonts w:ascii="Aptos" w:hAnsi="Aptos"/>
                <w:b w:val="0"/>
                <w:sz w:val="16"/>
              </w:rPr>
              <w:t>Severity</w:t>
            </w:r>
          </w:p>
        </w:tc>
        <w:tc>
          <w:tcPr>
            <w:tcW w:type="dxa" w:w="7488"/>
            <w:tcMar>
              <w:top w:w="80" w:type="dxa"/>
              <w:start w:w="90" w:type="dxa"/>
              <w:bottom w:w="80" w:type="dxa"/>
              <w:end w:w="90" w:type="dxa"/>
            </w:tcMar>
            <w:vAlign w:val="top"/>
            <w:shd w:fill="F7FAFC"/>
          </w:tcPr>
          <w:p>
            <w:r>
              <w:rPr>
                <w:rFonts w:ascii="Aptos" w:hAnsi="Aptos"/>
                <w:b w:val="0"/>
                <w:sz w:val="16"/>
              </w:rPr>
              <w:t>Does it concern fraud, corruption, money laundering, sanctions, serious misconduct or other integrity risk?</w:t>
            </w:r>
          </w:p>
        </w:tc>
      </w:tr>
      <w:tr>
        <w:tc>
          <w:tcPr>
            <w:tcW w:type="dxa" w:w="2880"/>
            <w:tcMar>
              <w:top w:w="80" w:type="dxa"/>
              <w:start w:w="90" w:type="dxa"/>
              <w:bottom w:w="80" w:type="dxa"/>
              <w:end w:w="90" w:type="dxa"/>
            </w:tcMar>
            <w:vAlign w:val="top"/>
          </w:tcPr>
          <w:p>
            <w:r>
              <w:rPr>
                <w:rFonts w:ascii="Aptos" w:hAnsi="Aptos"/>
                <w:b w:val="0"/>
                <w:sz w:val="16"/>
              </w:rPr>
              <w:t>Outcome</w:t>
            </w:r>
          </w:p>
        </w:tc>
        <w:tc>
          <w:tcPr>
            <w:tcW w:type="dxa" w:w="7488"/>
            <w:tcMar>
              <w:top w:w="80" w:type="dxa"/>
              <w:start w:w="90" w:type="dxa"/>
              <w:bottom w:w="80" w:type="dxa"/>
              <w:end w:w="90" w:type="dxa"/>
            </w:tcMar>
            <w:vAlign w:val="top"/>
          </w:tcPr>
          <w:p>
            <w:r>
              <w:rPr>
                <w:rFonts w:ascii="Aptos" w:hAnsi="Aptos"/>
                <w:b w:val="0"/>
                <w:sz w:val="16"/>
              </w:rPr>
              <w:t>Was the matter dismissed, resolved, prosecuted, remediated or still uncertain?</w:t>
            </w:r>
          </w:p>
        </w:tc>
      </w:tr>
      <w:tr>
        <w:tc>
          <w:tcPr>
            <w:tcW w:type="dxa" w:w="2880"/>
            <w:tcMar>
              <w:top w:w="80" w:type="dxa"/>
              <w:start w:w="90" w:type="dxa"/>
              <w:bottom w:w="80" w:type="dxa"/>
              <w:end w:w="90" w:type="dxa"/>
            </w:tcMar>
            <w:vAlign w:val="top"/>
            <w:shd w:fill="F7FAFC"/>
          </w:tcPr>
          <w:p>
            <w:r>
              <w:rPr>
                <w:rFonts w:ascii="Aptos" w:hAnsi="Aptos"/>
                <w:b w:val="0"/>
                <w:sz w:val="16"/>
              </w:rPr>
              <w:t>Relevance</w:t>
            </w:r>
          </w:p>
        </w:tc>
        <w:tc>
          <w:tcPr>
            <w:tcW w:type="dxa" w:w="7488"/>
            <w:tcMar>
              <w:top w:w="80" w:type="dxa"/>
              <w:start w:w="90" w:type="dxa"/>
              <w:bottom w:w="80" w:type="dxa"/>
              <w:end w:w="90" w:type="dxa"/>
            </w:tcMar>
            <w:vAlign w:val="top"/>
            <w:shd w:fill="F7FAFC"/>
          </w:tcPr>
          <w:p>
            <w:r>
              <w:rPr>
                <w:rFonts w:ascii="Aptos" w:hAnsi="Aptos"/>
                <w:b w:val="0"/>
                <w:sz w:val="16"/>
              </w:rPr>
              <w:t>Does it affect the proposed relationship, source of funds/wealth or expected activity?</w:t>
            </w:r>
          </w:p>
        </w:tc>
      </w:tr>
    </w:tbl>
    <w:p/>
    <w:p>
      <w:pPr>
        <w:pStyle w:val="Heading1"/>
        <w:keepNext/>
      </w:pPr>
      <w:r>
        <w:t>11. Unusual Activity and Third-Party Funding</w:t>
      </w:r>
    </w:p>
    <w:p>
      <w:r>
        <w:t>Where EDD arises from unusual activity, the investigator shall connect transactional facts to the customer profile and determine whether the explanation is reasonable and evidenced. Legitimate unusual activity may be closed with an updated profile when supported.</w:t>
      </w:r>
    </w:p>
    <w:p>
      <w:pPr>
        <w:pStyle w:val="ControlBullet"/>
      </w:pPr>
      <w:r>
        <w:rPr>
          <w:b/>
        </w:rPr>
        <w:t xml:space="preserve">• </w:t>
      </w:r>
      <w:r>
        <w:t>Identify originator, beneficiary, relationship to customer, purpose and economic rationale for material third-party flows.</w:t>
      </w:r>
    </w:p>
    <w:p>
      <w:pPr>
        <w:pStyle w:val="ControlBullet"/>
      </w:pPr>
      <w:r>
        <w:rPr>
          <w:b/>
        </w:rPr>
        <w:t xml:space="preserve">• </w:t>
      </w:r>
      <w:r>
        <w:t>Test rapid movement of incoming funds against stated business purpose and account history.</w:t>
      </w:r>
    </w:p>
    <w:p>
      <w:pPr>
        <w:pStyle w:val="ControlBullet"/>
      </w:pPr>
      <w:r>
        <w:rPr>
          <w:b/>
        </w:rPr>
        <w:t xml:space="preserve">• </w:t>
      </w:r>
      <w:r>
        <w:t>Escalate repeated explanations that are generic, inconsistent or unsupported by documents.</w:t>
      </w:r>
    </w:p>
    <w:p>
      <w:pPr>
        <w:pStyle w:val="ControlBullet"/>
      </w:pPr>
      <w:r>
        <w:rPr>
          <w:b/>
        </w:rPr>
        <w:t xml:space="preserve">• </w:t>
      </w:r>
      <w:r>
        <w:t>Do not disclose monitoring thresholds or investigation logic to the customer beyond what is necessary to request evidence.</w:t>
      </w:r>
    </w:p>
    <w:p>
      <w:pPr>
        <w:pStyle w:val="Heading1"/>
        <w:keepNext/>
      </w:pPr>
      <w:r>
        <w:t>12. Customer Interview and Information Request</w:t>
      </w:r>
    </w:p>
    <w:p>
      <w:r>
        <w:t>A customer interview may be used where written evidence alone cannot explain the risk. Questions shall be tailored, non-leading and recorded accurately. The interviewer should test chronology, relationships and economic purpose without revealing sensitive internal monitoring criteria.</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592"/>
            <w:shd w:fill="17365D"/>
            <w:vAlign w:val="center"/>
            <w:tcMar>
              <w:top w:w="80" w:type="dxa"/>
              <w:start w:w="90" w:type="dxa"/>
              <w:bottom w:w="80" w:type="dxa"/>
              <w:end w:w="90" w:type="dxa"/>
            </w:tcMar>
          </w:tcPr>
          <w:p>
            <w:r>
              <w:rPr>
                <w:rFonts w:ascii="Aptos" w:hAnsi="Aptos"/>
                <w:b/>
                <w:color w:val="FFFFFF"/>
                <w:sz w:val="16"/>
              </w:rPr>
              <w:t>Topic</w:t>
            </w:r>
          </w:p>
        </w:tc>
        <w:tc>
          <w:tcPr>
            <w:tcW w:type="dxa" w:w="7776"/>
            <w:shd w:fill="17365D"/>
            <w:vAlign w:val="center"/>
            <w:tcMar>
              <w:top w:w="80" w:type="dxa"/>
              <w:start w:w="90" w:type="dxa"/>
              <w:bottom w:w="80" w:type="dxa"/>
              <w:end w:w="90" w:type="dxa"/>
            </w:tcMar>
          </w:tcPr>
          <w:p>
            <w:r>
              <w:rPr>
                <w:rFonts w:ascii="Aptos" w:hAnsi="Aptos"/>
                <w:b/>
                <w:color w:val="FFFFFF"/>
                <w:sz w:val="16"/>
              </w:rPr>
              <w:t>Example Questions / Evidence Direction</w:t>
            </w:r>
          </w:p>
        </w:tc>
      </w:tr>
      <w:tr>
        <w:tc>
          <w:tcPr>
            <w:tcW w:type="dxa" w:w="2592"/>
            <w:tcMar>
              <w:top w:w="80" w:type="dxa"/>
              <w:start w:w="90" w:type="dxa"/>
              <w:bottom w:w="80" w:type="dxa"/>
              <w:end w:w="90" w:type="dxa"/>
            </w:tcMar>
            <w:vAlign w:val="top"/>
          </w:tcPr>
          <w:p>
            <w:r>
              <w:rPr>
                <w:rFonts w:ascii="Aptos" w:hAnsi="Aptos"/>
                <w:b w:val="0"/>
                <w:sz w:val="16"/>
              </w:rPr>
              <w:t>Business model</w:t>
            </w:r>
          </w:p>
        </w:tc>
        <w:tc>
          <w:tcPr>
            <w:tcW w:type="dxa" w:w="7776"/>
            <w:tcMar>
              <w:top w:w="80" w:type="dxa"/>
              <w:start w:w="90" w:type="dxa"/>
              <w:bottom w:w="80" w:type="dxa"/>
              <w:end w:w="90" w:type="dxa"/>
            </w:tcMar>
            <w:vAlign w:val="top"/>
          </w:tcPr>
          <w:p>
            <w:r>
              <w:rPr>
                <w:rFonts w:ascii="Aptos" w:hAnsi="Aptos"/>
                <w:b w:val="0"/>
                <w:sz w:val="16"/>
              </w:rPr>
              <w:t>Who are the main customer/supplier types? Why these geographies?</w:t>
            </w:r>
          </w:p>
        </w:tc>
      </w:tr>
      <w:tr>
        <w:tc>
          <w:tcPr>
            <w:tcW w:type="dxa" w:w="2592"/>
            <w:tcMar>
              <w:top w:w="80" w:type="dxa"/>
              <w:start w:w="90" w:type="dxa"/>
              <w:bottom w:w="80" w:type="dxa"/>
              <w:end w:w="90" w:type="dxa"/>
            </w:tcMar>
            <w:vAlign w:val="top"/>
            <w:shd w:fill="F7FAFC"/>
          </w:tcPr>
          <w:p>
            <w:r>
              <w:rPr>
                <w:rFonts w:ascii="Aptos" w:hAnsi="Aptos"/>
                <w:b w:val="0"/>
                <w:sz w:val="16"/>
              </w:rPr>
              <w:t>Funds</w:t>
            </w:r>
          </w:p>
        </w:tc>
        <w:tc>
          <w:tcPr>
            <w:tcW w:type="dxa" w:w="7776"/>
            <w:tcMar>
              <w:top w:w="80" w:type="dxa"/>
              <w:start w:w="90" w:type="dxa"/>
              <w:bottom w:w="80" w:type="dxa"/>
              <w:end w:w="90" w:type="dxa"/>
            </w:tcMar>
            <w:vAlign w:val="top"/>
            <w:shd w:fill="F7FAFC"/>
          </w:tcPr>
          <w:p>
            <w:r>
              <w:rPr>
                <w:rFonts w:ascii="Aptos" w:hAnsi="Aptos"/>
                <w:b w:val="0"/>
                <w:sz w:val="16"/>
              </w:rPr>
              <w:t>What generated this amount? Why did it arrive from this third party?</w:t>
            </w:r>
          </w:p>
        </w:tc>
      </w:tr>
      <w:tr>
        <w:tc>
          <w:tcPr>
            <w:tcW w:type="dxa" w:w="2592"/>
            <w:tcMar>
              <w:top w:w="80" w:type="dxa"/>
              <w:start w:w="90" w:type="dxa"/>
              <w:bottom w:w="80" w:type="dxa"/>
              <w:end w:w="90" w:type="dxa"/>
            </w:tcMar>
            <w:vAlign w:val="top"/>
          </w:tcPr>
          <w:p>
            <w:r>
              <w:rPr>
                <w:rFonts w:ascii="Aptos" w:hAnsi="Aptos"/>
                <w:b w:val="0"/>
                <w:sz w:val="16"/>
              </w:rPr>
              <w:t>Ownership</w:t>
            </w:r>
          </w:p>
        </w:tc>
        <w:tc>
          <w:tcPr>
            <w:tcW w:type="dxa" w:w="7776"/>
            <w:tcMar>
              <w:top w:w="80" w:type="dxa"/>
              <w:start w:w="90" w:type="dxa"/>
              <w:bottom w:w="80" w:type="dxa"/>
              <w:end w:w="90" w:type="dxa"/>
            </w:tcMar>
            <w:vAlign w:val="top"/>
          </w:tcPr>
          <w:p>
            <w:r>
              <w:rPr>
                <w:rFonts w:ascii="Aptos" w:hAnsi="Aptos"/>
                <w:b w:val="0"/>
                <w:sz w:val="16"/>
              </w:rPr>
              <w:t>Why is the holding structure arranged this way? Who makes strategic decisions?</w:t>
            </w:r>
          </w:p>
        </w:tc>
      </w:tr>
      <w:tr>
        <w:tc>
          <w:tcPr>
            <w:tcW w:type="dxa" w:w="2592"/>
            <w:tcMar>
              <w:top w:w="80" w:type="dxa"/>
              <w:start w:w="90" w:type="dxa"/>
              <w:bottom w:w="80" w:type="dxa"/>
              <w:end w:w="90" w:type="dxa"/>
            </w:tcMar>
            <w:vAlign w:val="top"/>
            <w:shd w:fill="F7FAFC"/>
          </w:tcPr>
          <w:p>
            <w:r>
              <w:rPr>
                <w:rFonts w:ascii="Aptos" w:hAnsi="Aptos"/>
                <w:b w:val="0"/>
                <w:sz w:val="16"/>
              </w:rPr>
              <w:t>PEP relationship</w:t>
            </w:r>
          </w:p>
        </w:tc>
        <w:tc>
          <w:tcPr>
            <w:tcW w:type="dxa" w:w="7776"/>
            <w:tcMar>
              <w:top w:w="80" w:type="dxa"/>
              <w:start w:w="90" w:type="dxa"/>
              <w:bottom w:w="80" w:type="dxa"/>
              <w:end w:w="90" w:type="dxa"/>
            </w:tcMar>
            <w:vAlign w:val="top"/>
            <w:shd w:fill="F7FAFC"/>
          </w:tcPr>
          <w:p>
            <w:r>
              <w:rPr>
                <w:rFonts w:ascii="Aptos" w:hAnsi="Aptos"/>
                <w:b w:val="0"/>
                <w:sz w:val="16"/>
              </w:rPr>
              <w:t>Nature and recency of public role; relationship to public bodies; wealth sources</w:t>
            </w:r>
          </w:p>
        </w:tc>
      </w:tr>
      <w:tr>
        <w:tc>
          <w:tcPr>
            <w:tcW w:type="dxa" w:w="2592"/>
            <w:tcMar>
              <w:top w:w="80" w:type="dxa"/>
              <w:start w:w="90" w:type="dxa"/>
              <w:bottom w:w="80" w:type="dxa"/>
              <w:end w:w="90" w:type="dxa"/>
            </w:tcMar>
            <w:vAlign w:val="top"/>
          </w:tcPr>
          <w:p>
            <w:r>
              <w:rPr>
                <w:rFonts w:ascii="Aptos" w:hAnsi="Aptos"/>
                <w:b w:val="0"/>
                <w:sz w:val="16"/>
              </w:rPr>
              <w:t>Expected activity</w:t>
            </w:r>
          </w:p>
        </w:tc>
        <w:tc>
          <w:tcPr>
            <w:tcW w:type="dxa" w:w="7776"/>
            <w:tcMar>
              <w:top w:w="80" w:type="dxa"/>
              <w:start w:w="90" w:type="dxa"/>
              <w:bottom w:w="80" w:type="dxa"/>
              <w:end w:w="90" w:type="dxa"/>
            </w:tcMar>
            <w:vAlign w:val="top"/>
          </w:tcPr>
          <w:p>
            <w:r>
              <w:rPr>
                <w:rFonts w:ascii="Aptos" w:hAnsi="Aptos"/>
                <w:b w:val="0"/>
                <w:sz w:val="16"/>
              </w:rPr>
              <w:t>Typical monthly values/frequency and reasons for recent change</w:t>
            </w:r>
          </w:p>
        </w:tc>
      </w:tr>
    </w:tbl>
    <w:p/>
    <w:p>
      <w:pPr>
        <w:pStyle w:val="Heading1"/>
        <w:keepNext/>
      </w:pPr>
      <w:r>
        <w:t>13. Decision Framework and Approval</w:t>
      </w:r>
    </w:p>
    <w:p>
      <w:r>
        <w:t>EDD decisions shall be evidence-based and state residual risk, conditions, monitoring and next review. Approval authority depends on the risk outcome and any PEP or sanctions considerations.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92"/>
            <w:shd w:fill="17365D"/>
            <w:vAlign w:val="center"/>
            <w:tcMar>
              <w:top w:w="80" w:type="dxa"/>
              <w:start w:w="90" w:type="dxa"/>
              <w:bottom w:w="80" w:type="dxa"/>
              <w:end w:w="90" w:type="dxa"/>
            </w:tcMar>
          </w:tcPr>
          <w:p>
            <w:r>
              <w:rPr>
                <w:rFonts w:ascii="Aptos" w:hAnsi="Aptos"/>
                <w:b/>
                <w:color w:val="FFFFFF"/>
                <w:sz w:val="16"/>
              </w:rPr>
              <w:t>Outcome</w:t>
            </w:r>
          </w:p>
        </w:tc>
        <w:tc>
          <w:tcPr>
            <w:tcW w:type="dxa" w:w="3600"/>
            <w:shd w:fill="17365D"/>
            <w:vAlign w:val="center"/>
            <w:tcMar>
              <w:top w:w="80" w:type="dxa"/>
              <w:start w:w="90" w:type="dxa"/>
              <w:bottom w:w="80" w:type="dxa"/>
              <w:end w:w="90" w:type="dxa"/>
            </w:tcMar>
          </w:tcPr>
          <w:p>
            <w:r>
              <w:rPr>
                <w:rFonts w:ascii="Aptos" w:hAnsi="Aptos"/>
                <w:b/>
                <w:color w:val="FFFFFF"/>
                <w:sz w:val="16"/>
              </w:rPr>
              <w:t>Minimum Approval</w:t>
            </w:r>
          </w:p>
        </w:tc>
        <w:tc>
          <w:tcPr>
            <w:tcW w:type="dxa" w:w="4176"/>
            <w:shd w:fill="17365D"/>
            <w:vAlign w:val="center"/>
            <w:tcMar>
              <w:top w:w="80" w:type="dxa"/>
              <w:start w:w="90" w:type="dxa"/>
              <w:bottom w:w="80" w:type="dxa"/>
              <w:end w:w="90" w:type="dxa"/>
            </w:tcMar>
          </w:tcPr>
          <w:p>
            <w:r>
              <w:rPr>
                <w:rFonts w:ascii="Aptos" w:hAnsi="Aptos"/>
                <w:b/>
                <w:color w:val="FFFFFF"/>
                <w:sz w:val="16"/>
              </w:rPr>
              <w:t>Typical Conditions</w:t>
            </w:r>
          </w:p>
        </w:tc>
      </w:tr>
      <w:tr>
        <w:tc>
          <w:tcPr>
            <w:tcW w:type="dxa" w:w="2592"/>
            <w:tcMar>
              <w:top w:w="80" w:type="dxa"/>
              <w:start w:w="90" w:type="dxa"/>
              <w:bottom w:w="80" w:type="dxa"/>
              <w:end w:w="90" w:type="dxa"/>
            </w:tcMar>
            <w:vAlign w:val="top"/>
          </w:tcPr>
          <w:p>
            <w:r>
              <w:rPr>
                <w:rFonts w:ascii="Aptos" w:hAnsi="Aptos"/>
                <w:b w:val="0"/>
                <w:sz w:val="16"/>
              </w:rPr>
              <w:t>Accept — Medium</w:t>
            </w:r>
          </w:p>
        </w:tc>
        <w:tc>
          <w:tcPr>
            <w:tcW w:type="dxa" w:w="3600"/>
            <w:tcMar>
              <w:top w:w="80" w:type="dxa"/>
              <w:start w:w="90" w:type="dxa"/>
              <w:bottom w:w="80" w:type="dxa"/>
              <w:end w:w="90" w:type="dxa"/>
            </w:tcMar>
            <w:vAlign w:val="top"/>
          </w:tcPr>
          <w:p>
            <w:r>
              <w:rPr>
                <w:rFonts w:ascii="Aptos" w:hAnsi="Aptos"/>
                <w:b w:val="0"/>
                <w:sz w:val="16"/>
              </w:rPr>
              <w:t>Senior KYC/AML officer within delegation</w:t>
            </w:r>
          </w:p>
        </w:tc>
        <w:tc>
          <w:tcPr>
            <w:tcW w:type="dxa" w:w="4176"/>
            <w:tcMar>
              <w:top w:w="80" w:type="dxa"/>
              <w:start w:w="90" w:type="dxa"/>
              <w:bottom w:w="80" w:type="dxa"/>
              <w:end w:w="90" w:type="dxa"/>
            </w:tcMar>
            <w:vAlign w:val="top"/>
          </w:tcPr>
          <w:p>
            <w:r>
              <w:rPr>
                <w:rFonts w:ascii="Aptos" w:hAnsi="Aptos"/>
                <w:b w:val="0"/>
                <w:sz w:val="16"/>
              </w:rPr>
              <w:t>Profile update; standard/accelerated review</w:t>
            </w:r>
          </w:p>
        </w:tc>
      </w:tr>
      <w:tr>
        <w:tc>
          <w:tcPr>
            <w:tcW w:type="dxa" w:w="2592"/>
            <w:tcMar>
              <w:top w:w="80" w:type="dxa"/>
              <w:start w:w="90" w:type="dxa"/>
              <w:bottom w:w="80" w:type="dxa"/>
              <w:end w:w="90" w:type="dxa"/>
            </w:tcMar>
            <w:vAlign w:val="top"/>
            <w:shd w:fill="F7FAFC"/>
          </w:tcPr>
          <w:p>
            <w:r>
              <w:rPr>
                <w:rFonts w:ascii="Aptos" w:hAnsi="Aptos"/>
                <w:b w:val="0"/>
                <w:sz w:val="16"/>
              </w:rPr>
              <w:t>Accept — High</w:t>
            </w:r>
          </w:p>
        </w:tc>
        <w:tc>
          <w:tcPr>
            <w:tcW w:type="dxa" w:w="3600"/>
            <w:tcMar>
              <w:top w:w="80" w:type="dxa"/>
              <w:start w:w="90" w:type="dxa"/>
              <w:bottom w:w="80" w:type="dxa"/>
              <w:end w:w="90" w:type="dxa"/>
            </w:tcMar>
            <w:vAlign w:val="top"/>
            <w:shd w:fill="F7FAFC"/>
          </w:tcPr>
          <w:p>
            <w:r>
              <w:rPr>
                <w:rFonts w:ascii="Aptos" w:hAnsi="Aptos"/>
                <w:b w:val="0"/>
                <w:sz w:val="16"/>
              </w:rPr>
              <w:t>Head of AML Monitoring / delegated AML senior officer</w:t>
            </w:r>
          </w:p>
        </w:tc>
        <w:tc>
          <w:tcPr>
            <w:tcW w:type="dxa" w:w="4176"/>
            <w:tcMar>
              <w:top w:w="80" w:type="dxa"/>
              <w:start w:w="90" w:type="dxa"/>
              <w:bottom w:w="80" w:type="dxa"/>
              <w:end w:w="90" w:type="dxa"/>
            </w:tcMar>
            <w:vAlign w:val="top"/>
            <w:shd w:fill="F7FAFC"/>
          </w:tcPr>
          <w:p>
            <w:r>
              <w:rPr>
                <w:rFonts w:ascii="Aptos" w:hAnsi="Aptos"/>
                <w:b w:val="0"/>
                <w:sz w:val="16"/>
              </w:rPr>
              <w:t>Enhanced monitoring; 12-month or shorter review</w:t>
            </w:r>
          </w:p>
        </w:tc>
      </w:tr>
      <w:tr>
        <w:tc>
          <w:tcPr>
            <w:tcW w:type="dxa" w:w="2592"/>
            <w:tcMar>
              <w:top w:w="80" w:type="dxa"/>
              <w:start w:w="90" w:type="dxa"/>
              <w:bottom w:w="80" w:type="dxa"/>
              <w:end w:w="90" w:type="dxa"/>
            </w:tcMar>
            <w:vAlign w:val="top"/>
          </w:tcPr>
          <w:p>
            <w:r>
              <w:rPr>
                <w:rFonts w:ascii="Aptos" w:hAnsi="Aptos"/>
                <w:b w:val="0"/>
                <w:sz w:val="16"/>
              </w:rPr>
              <w:t>High-risk confirmed PEP</w:t>
            </w:r>
          </w:p>
        </w:tc>
        <w:tc>
          <w:tcPr>
            <w:tcW w:type="dxa" w:w="3600"/>
            <w:tcMar>
              <w:top w:w="80" w:type="dxa"/>
              <w:start w:w="90" w:type="dxa"/>
              <w:bottom w:w="80" w:type="dxa"/>
              <w:end w:w="90" w:type="dxa"/>
            </w:tcMar>
            <w:vAlign w:val="top"/>
          </w:tcPr>
          <w:p>
            <w:r>
              <w:rPr>
                <w:rFonts w:ascii="Aptos" w:hAnsi="Aptos"/>
                <w:b w:val="0"/>
                <w:sz w:val="16"/>
              </w:rPr>
              <w:t>Chief AML Officer</w:t>
            </w:r>
          </w:p>
        </w:tc>
        <w:tc>
          <w:tcPr>
            <w:tcW w:type="dxa" w:w="4176"/>
            <w:tcMar>
              <w:top w:w="80" w:type="dxa"/>
              <w:start w:w="90" w:type="dxa"/>
              <w:bottom w:w="80" w:type="dxa"/>
              <w:end w:w="90" w:type="dxa"/>
            </w:tcMar>
            <w:vAlign w:val="top"/>
          </w:tcPr>
          <w:p>
            <w:r>
              <w:rPr>
                <w:rFonts w:ascii="Aptos" w:hAnsi="Aptos"/>
                <w:b w:val="0"/>
                <w:sz w:val="16"/>
              </w:rPr>
              <w:t>Business acknowledgement; SoW/SoF satisfactory</w:t>
            </w:r>
          </w:p>
        </w:tc>
      </w:tr>
      <w:tr>
        <w:tc>
          <w:tcPr>
            <w:tcW w:type="dxa" w:w="2592"/>
            <w:tcMar>
              <w:top w:w="80" w:type="dxa"/>
              <w:start w:w="90" w:type="dxa"/>
              <w:bottom w:w="80" w:type="dxa"/>
              <w:end w:w="90" w:type="dxa"/>
            </w:tcMar>
            <w:vAlign w:val="top"/>
            <w:shd w:fill="F7FAFC"/>
          </w:tcPr>
          <w:p>
            <w:r>
              <w:rPr>
                <w:rFonts w:ascii="Aptos" w:hAnsi="Aptos"/>
                <w:b w:val="0"/>
                <w:sz w:val="16"/>
              </w:rPr>
              <w:t>Accept with remediation</w:t>
            </w:r>
          </w:p>
        </w:tc>
        <w:tc>
          <w:tcPr>
            <w:tcW w:type="dxa" w:w="3600"/>
            <w:tcMar>
              <w:top w:w="80" w:type="dxa"/>
              <w:start w:w="90" w:type="dxa"/>
              <w:bottom w:w="80" w:type="dxa"/>
              <w:end w:w="90" w:type="dxa"/>
            </w:tcMar>
            <w:vAlign w:val="top"/>
            <w:shd w:fill="F7FAFC"/>
          </w:tcPr>
          <w:p>
            <w:r>
              <w:rPr>
                <w:rFonts w:ascii="Aptos" w:hAnsi="Aptos"/>
                <w:b w:val="0"/>
                <w:sz w:val="16"/>
              </w:rPr>
              <w:t>Senior AML + accountable business owner</w:t>
            </w:r>
          </w:p>
        </w:tc>
        <w:tc>
          <w:tcPr>
            <w:tcW w:type="dxa" w:w="4176"/>
            <w:tcMar>
              <w:top w:w="80" w:type="dxa"/>
              <w:start w:w="90" w:type="dxa"/>
              <w:bottom w:w="80" w:type="dxa"/>
              <w:end w:w="90" w:type="dxa"/>
            </w:tcMar>
            <w:vAlign w:val="top"/>
            <w:shd w:fill="F7FAFC"/>
          </w:tcPr>
          <w:p>
            <w:r>
              <w:rPr>
                <w:rFonts w:ascii="Aptos" w:hAnsi="Aptos"/>
                <w:b w:val="0"/>
                <w:sz w:val="16"/>
              </w:rPr>
              <w:t>Specific evidence due date; restriction until complete where needed</w:t>
            </w:r>
          </w:p>
        </w:tc>
      </w:tr>
      <w:tr>
        <w:tc>
          <w:tcPr>
            <w:tcW w:type="dxa" w:w="2592"/>
            <w:tcMar>
              <w:top w:w="80" w:type="dxa"/>
              <w:start w:w="90" w:type="dxa"/>
              <w:bottom w:w="80" w:type="dxa"/>
              <w:end w:w="90" w:type="dxa"/>
            </w:tcMar>
            <w:vAlign w:val="top"/>
          </w:tcPr>
          <w:p>
            <w:r>
              <w:rPr>
                <w:rFonts w:ascii="Aptos" w:hAnsi="Aptos"/>
                <w:b w:val="0"/>
                <w:sz w:val="16"/>
              </w:rPr>
              <w:t>Decline / exit</w:t>
            </w:r>
          </w:p>
        </w:tc>
        <w:tc>
          <w:tcPr>
            <w:tcW w:type="dxa" w:w="3600"/>
            <w:tcMar>
              <w:top w:w="80" w:type="dxa"/>
              <w:start w:w="90" w:type="dxa"/>
              <w:bottom w:w="80" w:type="dxa"/>
              <w:end w:w="90" w:type="dxa"/>
            </w:tcMar>
            <w:vAlign w:val="top"/>
          </w:tcPr>
          <w:p>
            <w:r>
              <w:rPr>
                <w:rFonts w:ascii="Aptos" w:hAnsi="Aptos"/>
                <w:b w:val="0"/>
                <w:sz w:val="16"/>
              </w:rPr>
              <w:t>Chief AML Officer or committee per materiality</w:t>
            </w:r>
          </w:p>
        </w:tc>
        <w:tc>
          <w:tcPr>
            <w:tcW w:type="dxa" w:w="4176"/>
            <w:tcMar>
              <w:top w:w="80" w:type="dxa"/>
              <w:start w:w="90" w:type="dxa"/>
              <w:bottom w:w="80" w:type="dxa"/>
              <w:end w:w="90" w:type="dxa"/>
            </w:tcMar>
            <w:vAlign w:val="top"/>
          </w:tcPr>
          <w:p>
            <w:r>
              <w:rPr>
                <w:rFonts w:ascii="Aptos" w:hAnsi="Aptos"/>
                <w:b w:val="0"/>
                <w:sz w:val="16"/>
              </w:rPr>
              <w:t>Legal/operations coordination; investigation confidentiality</w:t>
            </w:r>
          </w:p>
        </w:tc>
      </w:tr>
    </w:tbl>
    <w:p/>
    <w:p>
      <w:pPr>
        <w:pStyle w:val="Heading1"/>
        <w:keepNext/>
      </w:pPr>
      <w:r>
        <w:t>14. Enhanced Monitoring and Review Conditions</w:t>
      </w:r>
    </w:p>
    <w:p>
      <w:r>
        <w:t>Accepted High-risk customers shall have documented enhanced-monitoring conditions. Conditions should address the identified risk rather than simply increasing review volume.</w:t>
      </w:r>
    </w:p>
    <w:p>
      <w:pPr>
        <w:pStyle w:val="ControlBullet"/>
      </w:pPr>
      <w:r>
        <w:rPr>
          <w:b/>
        </w:rPr>
        <w:t xml:space="preserve">• </w:t>
      </w:r>
      <w:r>
        <w:t>Shorter CDD/AML review cycle, normally no more than 12 months for High risk.</w:t>
      </w:r>
    </w:p>
    <w:p>
      <w:pPr>
        <w:pStyle w:val="ControlBullet"/>
      </w:pPr>
      <w:r>
        <w:rPr>
          <w:b/>
        </w:rPr>
        <w:t xml:space="preserve">• </w:t>
      </w:r>
      <w:r>
        <w:t>Targeted transaction-monitoring sensitivity or manual review for identified risk typologies.</w:t>
      </w:r>
    </w:p>
    <w:p>
      <w:pPr>
        <w:pStyle w:val="ControlBullet"/>
      </w:pPr>
      <w:r>
        <w:rPr>
          <w:b/>
        </w:rPr>
        <w:t xml:space="preserve">• </w:t>
      </w:r>
      <w:r>
        <w:t>Limits or restrictions on channels, third-party funding, cash use or geographies where proportionate.</w:t>
      </w:r>
    </w:p>
    <w:p>
      <w:pPr>
        <w:pStyle w:val="ControlBullet"/>
      </w:pPr>
      <w:r>
        <w:rPr>
          <w:b/>
        </w:rPr>
        <w:t xml:space="preserve">• </w:t>
      </w:r>
      <w:r>
        <w:t>Trigger-based evidence refresh for SoF/SoW or ownership changes.</w:t>
      </w:r>
    </w:p>
    <w:p>
      <w:pPr>
        <w:pStyle w:val="ControlBullet"/>
      </w:pPr>
      <w:r>
        <w:rPr>
          <w:b/>
        </w:rPr>
        <w:t xml:space="preserve">• </w:t>
      </w:r>
      <w:r>
        <w:t>Named case owner and escalation path for condition breaches.</w:t>
      </w:r>
    </w:p>
    <w:p>
      <w:pPr>
        <w:pStyle w:val="Heading1"/>
        <w:keepNext/>
      </w:pPr>
      <w:r>
        <w:t>15. Case Closure, Reopening and Historical Versioning</w:t>
      </w:r>
    </w:p>
    <w:p>
      <w:r>
        <w:t>The closure note shall state the trigger, evidence reviewed, unresolved issues, risk score, decision, approvals and conditions. Historical alerts and cases shall retain the policy, procedure and scenario version in force when the decision was made.</w:t>
      </w:r>
    </w:p>
    <w:p>
      <w:pPr>
        <w:pStyle w:val="ControlBullet"/>
      </w:pPr>
      <w:r>
        <w:rPr>
          <w:b/>
        </w:rPr>
        <w:t xml:space="preserve">• </w:t>
      </w:r>
      <w:r>
        <w:t>A closed case may be reopened when new facts materially affect the prior conclusion.</w:t>
      </w:r>
    </w:p>
    <w:p>
      <w:pPr>
        <w:pStyle w:val="ControlBullet"/>
      </w:pPr>
      <w:r>
        <w:rPr>
          <w:b/>
        </w:rPr>
        <w:t xml:space="preserve">• </w:t>
      </w:r>
      <w:r>
        <w:t>Reopening does not rewrite the original decision record; a new assessment is linked to it.</w:t>
      </w:r>
    </w:p>
    <w:p>
      <w:pPr>
        <w:pStyle w:val="ControlBullet"/>
      </w:pPr>
      <w:r>
        <w:rPr>
          <w:b/>
        </w:rPr>
        <w:t xml:space="preserve">• </w:t>
      </w:r>
      <w:r>
        <w:t>Cases generated under pre-15 September 2025 transaction-monitoring parameters retain the generation-time scenario values unless formally back-tested.</w:t>
      </w:r>
    </w:p>
    <w:p>
      <w:pPr>
        <w:pStyle w:val="ControlBullet"/>
      </w:pPr>
      <w:r>
        <w:rPr>
          <w:b/>
        </w:rPr>
        <w:t xml:space="preserve">• </w:t>
      </w:r>
      <w:r>
        <w:t>Historical KYC/AML labels may be mapped for current handling but shall not be overwritten in the archive.</w:t>
      </w:r>
    </w:p>
    <w:p>
      <w:pPr>
        <w:pStyle w:val="Heading1"/>
        <w:keepNext/>
      </w:pPr>
      <w:r>
        <w:t>16. Quality Assurance, Escalation and Breach Treatment</w:t>
      </w:r>
    </w:p>
    <w:p>
      <w:r>
        <w:t>EDD Quality Assurance shall test whether the trigger was addressed, evidence was sufficient, contradictions were resolved or acknowledged, risk scoring was updated and approval authority was correct. A procedural defect that did not affect the decision may be remediated; a material control failure shall be escalated as a breach.</w:t>
      </w:r>
    </w:p>
    <w:p>
      <w:pPr>
        <w:pStyle w:val="ControlBullet"/>
      </w:pPr>
      <w:r>
        <w:rPr>
          <w:b/>
        </w:rPr>
        <w:t xml:space="preserve">• </w:t>
      </w:r>
      <w:r>
        <w:t>Retrospective approval does not convert a missed required approval into a timely approval.</w:t>
      </w:r>
    </w:p>
    <w:p>
      <w:pPr>
        <w:pStyle w:val="ControlBullet"/>
      </w:pPr>
      <w:r>
        <w:rPr>
          <w:b/>
        </w:rPr>
        <w:t xml:space="preserve">• </w:t>
      </w:r>
      <w:r>
        <w:t>Repeated EDD defects by channel, branch, analyst or sourcing partner shall be analyzed for systemic cause.</w:t>
      </w:r>
    </w:p>
    <w:p>
      <w:pPr>
        <w:pStyle w:val="ControlBullet"/>
      </w:pPr>
      <w:r>
        <w:rPr>
          <w:b/>
        </w:rPr>
        <w:t xml:space="preserve">• </w:t>
      </w:r>
      <w:r>
        <w:t>Material sanctions, identity or ownership failures shall be escalated immediately rather than waiting for periodic QA reporting.</w:t>
      </w:r>
    </w:p>
    <w:p>
      <w:pPr>
        <w:pStyle w:val="ControlBullet"/>
      </w:pPr>
      <w:r>
        <w:rPr>
          <w:b/>
        </w:rPr>
        <w:t xml:space="preserve">• </w:t>
      </w:r>
      <w:r>
        <w:t>Management information shall include ageing, outcomes, PEP cases, ownership cases, overdue remediation and repeat defects.</w:t>
      </w:r>
    </w:p>
    <w:p>
      <w:r>
        <w:br w:type="page"/>
      </w:r>
    </w:p>
    <w:p>
      <w:pPr>
        <w:pStyle w:val="Heading1"/>
      </w:pPr>
      <w:r>
        <w:t>Appendix A — EDD Case Plan Template</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592"/>
            <w:shd w:fill="17365D"/>
            <w:vAlign w:val="center"/>
            <w:tcMar>
              <w:top w:w="80" w:type="dxa"/>
              <w:start w:w="90" w:type="dxa"/>
              <w:bottom w:w="80" w:type="dxa"/>
              <w:end w:w="90" w:type="dxa"/>
            </w:tcMar>
          </w:tcPr>
          <w:p>
            <w:r>
              <w:rPr>
                <w:rFonts w:ascii="Aptos" w:hAnsi="Aptos"/>
                <w:b/>
                <w:color w:val="FFFFFF"/>
                <w:sz w:val="16"/>
              </w:rPr>
              <w:t>Field</w:t>
            </w:r>
          </w:p>
        </w:tc>
        <w:tc>
          <w:tcPr>
            <w:tcW w:type="dxa" w:w="7776"/>
            <w:shd w:fill="17365D"/>
            <w:vAlign w:val="center"/>
            <w:tcMar>
              <w:top w:w="80" w:type="dxa"/>
              <w:start w:w="90" w:type="dxa"/>
              <w:bottom w:w="80" w:type="dxa"/>
              <w:end w:w="90" w:type="dxa"/>
            </w:tcMar>
          </w:tcPr>
          <w:p>
            <w:r>
              <w:rPr>
                <w:rFonts w:ascii="Aptos" w:hAnsi="Aptos"/>
                <w:b/>
                <w:color w:val="FFFFFF"/>
                <w:sz w:val="16"/>
              </w:rPr>
              <w:t>Required Entry</w:t>
            </w:r>
          </w:p>
        </w:tc>
      </w:tr>
      <w:tr>
        <w:tc>
          <w:tcPr>
            <w:tcW w:type="dxa" w:w="2592"/>
            <w:tcMar>
              <w:top w:w="80" w:type="dxa"/>
              <w:start w:w="90" w:type="dxa"/>
              <w:bottom w:w="80" w:type="dxa"/>
              <w:end w:w="90" w:type="dxa"/>
            </w:tcMar>
            <w:vAlign w:val="top"/>
          </w:tcPr>
          <w:p>
            <w:r>
              <w:rPr>
                <w:rFonts w:ascii="Aptos" w:hAnsi="Aptos"/>
                <w:b w:val="0"/>
                <w:sz w:val="16"/>
              </w:rPr>
              <w:t>Trigger</w:t>
            </w:r>
          </w:p>
        </w:tc>
        <w:tc>
          <w:tcPr>
            <w:tcW w:type="dxa" w:w="7776"/>
            <w:tcMar>
              <w:top w:w="80" w:type="dxa"/>
              <w:start w:w="90" w:type="dxa"/>
              <w:bottom w:w="80" w:type="dxa"/>
              <w:end w:w="90" w:type="dxa"/>
            </w:tcMar>
            <w:vAlign w:val="top"/>
          </w:tcPr>
          <w:p>
            <w:r>
              <w:rPr>
                <w:rFonts w:ascii="Aptos" w:hAnsi="Aptos"/>
                <w:b w:val="0"/>
                <w:sz w:val="16"/>
              </w:rPr>
              <w:t>Specific reason EDD was initiated</w:t>
            </w:r>
          </w:p>
        </w:tc>
      </w:tr>
      <w:tr>
        <w:tc>
          <w:tcPr>
            <w:tcW w:type="dxa" w:w="2592"/>
            <w:tcMar>
              <w:top w:w="80" w:type="dxa"/>
              <w:start w:w="90" w:type="dxa"/>
              <w:bottom w:w="80" w:type="dxa"/>
              <w:end w:w="90" w:type="dxa"/>
            </w:tcMar>
            <w:vAlign w:val="top"/>
            <w:shd w:fill="F7FAFC"/>
          </w:tcPr>
          <w:p>
            <w:r>
              <w:rPr>
                <w:rFonts w:ascii="Aptos" w:hAnsi="Aptos"/>
                <w:b w:val="0"/>
                <w:sz w:val="16"/>
              </w:rPr>
              <w:t>Key questions</w:t>
            </w:r>
          </w:p>
        </w:tc>
        <w:tc>
          <w:tcPr>
            <w:tcW w:type="dxa" w:w="7776"/>
            <w:tcMar>
              <w:top w:w="80" w:type="dxa"/>
              <w:start w:w="90" w:type="dxa"/>
              <w:bottom w:w="80" w:type="dxa"/>
              <w:end w:w="90" w:type="dxa"/>
            </w:tcMar>
            <w:vAlign w:val="top"/>
            <w:shd w:fill="F7FAFC"/>
          </w:tcPr>
          <w:p>
            <w:r>
              <w:rPr>
                <w:rFonts w:ascii="Aptos" w:hAnsi="Aptos"/>
                <w:b w:val="0"/>
                <w:sz w:val="16"/>
              </w:rPr>
              <w:t>Risk questions the review must answer</w:t>
            </w:r>
          </w:p>
        </w:tc>
      </w:tr>
      <w:tr>
        <w:tc>
          <w:tcPr>
            <w:tcW w:type="dxa" w:w="2592"/>
            <w:tcMar>
              <w:top w:w="80" w:type="dxa"/>
              <w:start w:w="90" w:type="dxa"/>
              <w:bottom w:w="80" w:type="dxa"/>
              <w:end w:w="90" w:type="dxa"/>
            </w:tcMar>
            <w:vAlign w:val="top"/>
          </w:tcPr>
          <w:p>
            <w:r>
              <w:rPr>
                <w:rFonts w:ascii="Aptos" w:hAnsi="Aptos"/>
                <w:b w:val="0"/>
                <w:sz w:val="16"/>
              </w:rPr>
              <w:t>Evidence plan</w:t>
            </w:r>
          </w:p>
        </w:tc>
        <w:tc>
          <w:tcPr>
            <w:tcW w:type="dxa" w:w="7776"/>
            <w:tcMar>
              <w:top w:w="80" w:type="dxa"/>
              <w:start w:w="90" w:type="dxa"/>
              <w:bottom w:w="80" w:type="dxa"/>
              <w:end w:w="90" w:type="dxa"/>
            </w:tcMar>
            <w:vAlign w:val="top"/>
          </w:tcPr>
          <w:p>
            <w:r>
              <w:rPr>
                <w:rFonts w:ascii="Aptos" w:hAnsi="Aptos"/>
                <w:b w:val="0"/>
                <w:sz w:val="16"/>
              </w:rPr>
              <w:t>Documents/data/public sources and responsible person</w:t>
            </w:r>
          </w:p>
        </w:tc>
      </w:tr>
      <w:tr>
        <w:tc>
          <w:tcPr>
            <w:tcW w:type="dxa" w:w="2592"/>
            <w:tcMar>
              <w:top w:w="80" w:type="dxa"/>
              <w:start w:w="90" w:type="dxa"/>
              <w:bottom w:w="80" w:type="dxa"/>
              <w:end w:w="90" w:type="dxa"/>
            </w:tcMar>
            <w:vAlign w:val="top"/>
            <w:shd w:fill="F7FAFC"/>
          </w:tcPr>
          <w:p>
            <w:r>
              <w:rPr>
                <w:rFonts w:ascii="Aptos" w:hAnsi="Aptos"/>
                <w:b w:val="0"/>
                <w:sz w:val="16"/>
              </w:rPr>
              <w:t>Restrictions</w:t>
            </w:r>
          </w:p>
        </w:tc>
        <w:tc>
          <w:tcPr>
            <w:tcW w:type="dxa" w:w="7776"/>
            <w:tcMar>
              <w:top w:w="80" w:type="dxa"/>
              <w:start w:w="90" w:type="dxa"/>
              <w:bottom w:w="80" w:type="dxa"/>
              <w:end w:w="90" w:type="dxa"/>
            </w:tcMar>
            <w:vAlign w:val="top"/>
            <w:shd w:fill="F7FAFC"/>
          </w:tcPr>
          <w:p>
            <w:r>
              <w:rPr>
                <w:rFonts w:ascii="Aptos" w:hAnsi="Aptos"/>
                <w:b w:val="0"/>
                <w:sz w:val="16"/>
              </w:rPr>
              <w:t>Controls in place pending decision</w:t>
            </w:r>
          </w:p>
        </w:tc>
      </w:tr>
      <w:tr>
        <w:tc>
          <w:tcPr>
            <w:tcW w:type="dxa" w:w="2592"/>
            <w:tcMar>
              <w:top w:w="80" w:type="dxa"/>
              <w:start w:w="90" w:type="dxa"/>
              <w:bottom w:w="80" w:type="dxa"/>
              <w:end w:w="90" w:type="dxa"/>
            </w:tcMar>
            <w:vAlign w:val="top"/>
          </w:tcPr>
          <w:p>
            <w:r>
              <w:rPr>
                <w:rFonts w:ascii="Aptos" w:hAnsi="Aptos"/>
                <w:b w:val="0"/>
                <w:sz w:val="16"/>
              </w:rPr>
              <w:t>Risk score</w:t>
            </w:r>
          </w:p>
        </w:tc>
        <w:tc>
          <w:tcPr>
            <w:tcW w:type="dxa" w:w="7776"/>
            <w:tcMar>
              <w:top w:w="80" w:type="dxa"/>
              <w:start w:w="90" w:type="dxa"/>
              <w:bottom w:w="80" w:type="dxa"/>
              <w:end w:w="90" w:type="dxa"/>
            </w:tcMar>
            <w:vAlign w:val="top"/>
          </w:tcPr>
          <w:p>
            <w:r>
              <w:rPr>
                <w:rFonts w:ascii="Aptos" w:hAnsi="Aptos"/>
                <w:b w:val="0"/>
                <w:sz w:val="16"/>
              </w:rPr>
              <w:t>Current AML score and expected change</w:t>
            </w:r>
          </w:p>
        </w:tc>
      </w:tr>
      <w:tr>
        <w:tc>
          <w:tcPr>
            <w:tcW w:type="dxa" w:w="2592"/>
            <w:tcMar>
              <w:top w:w="80" w:type="dxa"/>
              <w:start w:w="90" w:type="dxa"/>
              <w:bottom w:w="80" w:type="dxa"/>
              <w:end w:w="90" w:type="dxa"/>
            </w:tcMar>
            <w:vAlign w:val="top"/>
            <w:shd w:fill="F7FAFC"/>
          </w:tcPr>
          <w:p>
            <w:r>
              <w:rPr>
                <w:rFonts w:ascii="Aptos" w:hAnsi="Aptos"/>
                <w:b w:val="0"/>
                <w:sz w:val="16"/>
              </w:rPr>
              <w:t>Decision authority</w:t>
            </w:r>
          </w:p>
        </w:tc>
        <w:tc>
          <w:tcPr>
            <w:tcW w:type="dxa" w:w="7776"/>
            <w:tcMar>
              <w:top w:w="80" w:type="dxa"/>
              <w:start w:w="90" w:type="dxa"/>
              <w:bottom w:w="80" w:type="dxa"/>
              <w:end w:w="90" w:type="dxa"/>
            </w:tcMar>
            <w:vAlign w:val="top"/>
            <w:shd w:fill="F7FAFC"/>
          </w:tcPr>
          <w:p>
            <w:r>
              <w:rPr>
                <w:rFonts w:ascii="Aptos" w:hAnsi="Aptos"/>
                <w:b w:val="0"/>
                <w:sz w:val="16"/>
              </w:rPr>
              <w:t>Role required for final disposition</w:t>
            </w:r>
          </w:p>
        </w:tc>
      </w:tr>
      <w:tr>
        <w:tc>
          <w:tcPr>
            <w:tcW w:type="dxa" w:w="2592"/>
            <w:tcMar>
              <w:top w:w="80" w:type="dxa"/>
              <w:start w:w="90" w:type="dxa"/>
              <w:bottom w:w="80" w:type="dxa"/>
              <w:end w:w="90" w:type="dxa"/>
            </w:tcMar>
            <w:vAlign w:val="top"/>
          </w:tcPr>
          <w:p>
            <w:r>
              <w:rPr>
                <w:rFonts w:ascii="Aptos" w:hAnsi="Aptos"/>
                <w:b w:val="0"/>
                <w:sz w:val="16"/>
              </w:rPr>
              <w:t>Due date</w:t>
            </w:r>
          </w:p>
        </w:tc>
        <w:tc>
          <w:tcPr>
            <w:tcW w:type="dxa" w:w="7776"/>
            <w:tcMar>
              <w:top w:w="80" w:type="dxa"/>
              <w:start w:w="90" w:type="dxa"/>
              <w:bottom w:w="80" w:type="dxa"/>
              <w:end w:w="90" w:type="dxa"/>
            </w:tcMar>
            <w:vAlign w:val="top"/>
          </w:tcPr>
          <w:p>
            <w:r>
              <w:rPr>
                <w:rFonts w:ascii="Aptos" w:hAnsi="Aptos"/>
                <w:b w:val="0"/>
                <w:sz w:val="16"/>
              </w:rPr>
              <w:t>Internal target and escalation date</w:t>
            </w:r>
          </w:p>
        </w:tc>
      </w:tr>
    </w:tbl>
    <w:p/>
    <w:p>
      <w:r>
        <w:br w:type="page"/>
      </w:r>
    </w:p>
    <w:p>
      <w:pPr>
        <w:pStyle w:val="Heading1"/>
      </w:pPr>
      <w:r>
        <w:t>Appendix B — SoF / SoW Evidence Guide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448"/>
            <w:shd w:fill="17365D"/>
            <w:vAlign w:val="center"/>
            <w:tcMar>
              <w:top w:w="80" w:type="dxa"/>
              <w:start w:w="90" w:type="dxa"/>
              <w:bottom w:w="80" w:type="dxa"/>
              <w:end w:w="90" w:type="dxa"/>
            </w:tcMar>
          </w:tcPr>
          <w:p>
            <w:r>
              <w:rPr>
                <w:rFonts w:ascii="Aptos" w:hAnsi="Aptos"/>
                <w:b/>
                <w:color w:val="FFFFFF"/>
                <w:sz w:val="16"/>
              </w:rPr>
              <w:t>Claim</w:t>
            </w:r>
          </w:p>
        </w:tc>
        <w:tc>
          <w:tcPr>
            <w:tcW w:type="dxa" w:w="4608"/>
            <w:shd w:fill="17365D"/>
            <w:vAlign w:val="center"/>
            <w:tcMar>
              <w:top w:w="80" w:type="dxa"/>
              <w:start w:w="90" w:type="dxa"/>
              <w:bottom w:w="80" w:type="dxa"/>
              <w:end w:w="90" w:type="dxa"/>
            </w:tcMar>
          </w:tcPr>
          <w:p>
            <w:r>
              <w:rPr>
                <w:rFonts w:ascii="Aptos" w:hAnsi="Aptos"/>
                <w:b/>
                <w:color w:val="FFFFFF"/>
                <w:sz w:val="16"/>
              </w:rPr>
              <w:t>Stronger Evidence</w:t>
            </w:r>
          </w:p>
        </w:tc>
        <w:tc>
          <w:tcPr>
            <w:tcW w:type="dxa" w:w="3312"/>
            <w:shd w:fill="17365D"/>
            <w:vAlign w:val="center"/>
            <w:tcMar>
              <w:top w:w="80" w:type="dxa"/>
              <w:start w:w="90" w:type="dxa"/>
              <w:bottom w:w="80" w:type="dxa"/>
              <w:end w:w="90" w:type="dxa"/>
            </w:tcMar>
          </w:tcPr>
          <w:p>
            <w:r>
              <w:rPr>
                <w:rFonts w:ascii="Aptos" w:hAnsi="Aptos"/>
                <w:b/>
                <w:color w:val="FFFFFF"/>
                <w:sz w:val="16"/>
              </w:rPr>
              <w:t>Weaker / Supplementary Evidence</w:t>
            </w:r>
          </w:p>
        </w:tc>
      </w:tr>
      <w:tr>
        <w:tc>
          <w:tcPr>
            <w:tcW w:type="dxa" w:w="2448"/>
            <w:tcMar>
              <w:top w:w="80" w:type="dxa"/>
              <w:start w:w="90" w:type="dxa"/>
              <w:bottom w:w="80" w:type="dxa"/>
              <w:end w:w="90" w:type="dxa"/>
            </w:tcMar>
            <w:vAlign w:val="top"/>
          </w:tcPr>
          <w:p>
            <w:r>
              <w:rPr>
                <w:rFonts w:ascii="Aptos" w:hAnsi="Aptos"/>
                <w:b w:val="0"/>
                <w:sz w:val="16"/>
              </w:rPr>
              <w:t>Salary and savings</w:t>
            </w:r>
          </w:p>
        </w:tc>
        <w:tc>
          <w:tcPr>
            <w:tcW w:type="dxa" w:w="4608"/>
            <w:tcMar>
              <w:top w:w="80" w:type="dxa"/>
              <w:start w:w="90" w:type="dxa"/>
              <w:bottom w:w="80" w:type="dxa"/>
              <w:end w:w="90" w:type="dxa"/>
            </w:tcMar>
            <w:vAlign w:val="top"/>
          </w:tcPr>
          <w:p>
            <w:r>
              <w:rPr>
                <w:rFonts w:ascii="Aptos" w:hAnsi="Aptos"/>
                <w:b w:val="0"/>
                <w:sz w:val="16"/>
              </w:rPr>
              <w:t>Bank salary history, employer confirmation, tax/financial records where appropriate</w:t>
            </w:r>
          </w:p>
        </w:tc>
        <w:tc>
          <w:tcPr>
            <w:tcW w:type="dxa" w:w="3312"/>
            <w:tcMar>
              <w:top w:w="80" w:type="dxa"/>
              <w:start w:w="90" w:type="dxa"/>
              <w:bottom w:w="80" w:type="dxa"/>
              <w:end w:w="90" w:type="dxa"/>
            </w:tcMar>
            <w:vAlign w:val="top"/>
          </w:tcPr>
          <w:p>
            <w:r>
              <w:rPr>
                <w:rFonts w:ascii="Aptos" w:hAnsi="Aptos"/>
                <w:b w:val="0"/>
                <w:sz w:val="16"/>
              </w:rPr>
              <w:t>Customer statement alone</w:t>
            </w:r>
          </w:p>
        </w:tc>
      </w:tr>
      <w:tr>
        <w:tc>
          <w:tcPr>
            <w:tcW w:type="dxa" w:w="2448"/>
            <w:tcMar>
              <w:top w:w="80" w:type="dxa"/>
              <w:start w:w="90" w:type="dxa"/>
              <w:bottom w:w="80" w:type="dxa"/>
              <w:end w:w="90" w:type="dxa"/>
            </w:tcMar>
            <w:vAlign w:val="top"/>
            <w:shd w:fill="F7FAFC"/>
          </w:tcPr>
          <w:p>
            <w:r>
              <w:rPr>
                <w:rFonts w:ascii="Aptos" w:hAnsi="Aptos"/>
                <w:b w:val="0"/>
                <w:sz w:val="16"/>
              </w:rPr>
              <w:t>Business wealth</w:t>
            </w:r>
          </w:p>
        </w:tc>
        <w:tc>
          <w:tcPr>
            <w:tcW w:type="dxa" w:w="4608"/>
            <w:tcMar>
              <w:top w:w="80" w:type="dxa"/>
              <w:start w:w="90" w:type="dxa"/>
              <w:bottom w:w="80" w:type="dxa"/>
              <w:end w:w="90" w:type="dxa"/>
            </w:tcMar>
            <w:vAlign w:val="top"/>
            <w:shd w:fill="F7FAFC"/>
          </w:tcPr>
          <w:p>
            <w:r>
              <w:rPr>
                <w:rFonts w:ascii="Aptos" w:hAnsi="Aptos"/>
                <w:b w:val="0"/>
                <w:sz w:val="16"/>
              </w:rPr>
              <w:t>Audited/management accounts, ownership evidence, bank history, sale/dividend records</w:t>
            </w:r>
          </w:p>
        </w:tc>
        <w:tc>
          <w:tcPr>
            <w:tcW w:type="dxa" w:w="3312"/>
            <w:tcMar>
              <w:top w:w="80" w:type="dxa"/>
              <w:start w:w="90" w:type="dxa"/>
              <w:bottom w:w="80" w:type="dxa"/>
              <w:end w:w="90" w:type="dxa"/>
            </w:tcMar>
            <w:vAlign w:val="top"/>
            <w:shd w:fill="F7FAFC"/>
          </w:tcPr>
          <w:p>
            <w:r>
              <w:rPr>
                <w:rFonts w:ascii="Aptos" w:hAnsi="Aptos"/>
                <w:b w:val="0"/>
                <w:sz w:val="16"/>
              </w:rPr>
              <w:t>Generic website or valuation claim</w:t>
            </w:r>
          </w:p>
        </w:tc>
      </w:tr>
      <w:tr>
        <w:tc>
          <w:tcPr>
            <w:tcW w:type="dxa" w:w="2448"/>
            <w:tcMar>
              <w:top w:w="80" w:type="dxa"/>
              <w:start w:w="90" w:type="dxa"/>
              <w:bottom w:w="80" w:type="dxa"/>
              <w:end w:w="90" w:type="dxa"/>
            </w:tcMar>
            <w:vAlign w:val="top"/>
          </w:tcPr>
          <w:p>
            <w:r>
              <w:rPr>
                <w:rFonts w:ascii="Aptos" w:hAnsi="Aptos"/>
                <w:b w:val="0"/>
                <w:sz w:val="16"/>
              </w:rPr>
              <w:t>Property wealth</w:t>
            </w:r>
          </w:p>
        </w:tc>
        <w:tc>
          <w:tcPr>
            <w:tcW w:type="dxa" w:w="4608"/>
            <w:tcMar>
              <w:top w:w="80" w:type="dxa"/>
              <w:start w:w="90" w:type="dxa"/>
              <w:bottom w:w="80" w:type="dxa"/>
              <w:end w:w="90" w:type="dxa"/>
            </w:tcMar>
            <w:vAlign w:val="top"/>
          </w:tcPr>
          <w:p>
            <w:r>
              <w:rPr>
                <w:rFonts w:ascii="Aptos" w:hAnsi="Aptos"/>
                <w:b w:val="0"/>
                <w:sz w:val="16"/>
              </w:rPr>
              <w:t>Title/ownership evidence, sale/purchase documents, settlement trail</w:t>
            </w:r>
          </w:p>
        </w:tc>
        <w:tc>
          <w:tcPr>
            <w:tcW w:type="dxa" w:w="3312"/>
            <w:tcMar>
              <w:top w:w="80" w:type="dxa"/>
              <w:start w:w="90" w:type="dxa"/>
              <w:bottom w:w="80" w:type="dxa"/>
              <w:end w:w="90" w:type="dxa"/>
            </w:tcMar>
            <w:vAlign w:val="top"/>
          </w:tcPr>
          <w:p>
            <w:r>
              <w:rPr>
                <w:rFonts w:ascii="Aptos" w:hAnsi="Aptos"/>
                <w:b w:val="0"/>
                <w:sz w:val="16"/>
              </w:rPr>
              <w:t>Broker estimate alone</w:t>
            </w:r>
          </w:p>
        </w:tc>
      </w:tr>
      <w:tr>
        <w:tc>
          <w:tcPr>
            <w:tcW w:type="dxa" w:w="2448"/>
            <w:tcMar>
              <w:top w:w="80" w:type="dxa"/>
              <w:start w:w="90" w:type="dxa"/>
              <w:bottom w:w="80" w:type="dxa"/>
              <w:end w:w="90" w:type="dxa"/>
            </w:tcMar>
            <w:vAlign w:val="top"/>
            <w:shd w:fill="F7FAFC"/>
          </w:tcPr>
          <w:p>
            <w:r>
              <w:rPr>
                <w:rFonts w:ascii="Aptos" w:hAnsi="Aptos"/>
                <w:b w:val="0"/>
                <w:sz w:val="16"/>
              </w:rPr>
              <w:t>Inheritance</w:t>
            </w:r>
          </w:p>
        </w:tc>
        <w:tc>
          <w:tcPr>
            <w:tcW w:type="dxa" w:w="4608"/>
            <w:tcMar>
              <w:top w:w="80" w:type="dxa"/>
              <w:start w:w="90" w:type="dxa"/>
              <w:bottom w:w="80" w:type="dxa"/>
              <w:end w:w="90" w:type="dxa"/>
            </w:tcMar>
            <w:vAlign w:val="top"/>
            <w:shd w:fill="F7FAFC"/>
          </w:tcPr>
          <w:p>
            <w:r>
              <w:rPr>
                <w:rFonts w:ascii="Aptos" w:hAnsi="Aptos"/>
                <w:b w:val="0"/>
                <w:sz w:val="16"/>
              </w:rPr>
              <w:t>Estate/probate evidence, transfer trail</w:t>
            </w:r>
          </w:p>
        </w:tc>
        <w:tc>
          <w:tcPr>
            <w:tcW w:type="dxa" w:w="3312"/>
            <w:tcMar>
              <w:top w:w="80" w:type="dxa"/>
              <w:start w:w="90" w:type="dxa"/>
              <w:bottom w:w="80" w:type="dxa"/>
              <w:end w:w="90" w:type="dxa"/>
            </w:tcMar>
            <w:vAlign w:val="top"/>
            <w:shd w:fill="F7FAFC"/>
          </w:tcPr>
          <w:p>
            <w:r>
              <w:rPr>
                <w:rFonts w:ascii="Aptos" w:hAnsi="Aptos"/>
                <w:b w:val="0"/>
                <w:sz w:val="16"/>
              </w:rPr>
              <w:t>Family statement without corroboration</w:t>
            </w:r>
          </w:p>
        </w:tc>
      </w:tr>
      <w:tr>
        <w:tc>
          <w:tcPr>
            <w:tcW w:type="dxa" w:w="2448"/>
            <w:tcMar>
              <w:top w:w="80" w:type="dxa"/>
              <w:start w:w="90" w:type="dxa"/>
              <w:bottom w:w="80" w:type="dxa"/>
              <w:end w:w="90" w:type="dxa"/>
            </w:tcMar>
            <w:vAlign w:val="top"/>
          </w:tcPr>
          <w:p>
            <w:r>
              <w:rPr>
                <w:rFonts w:ascii="Aptos" w:hAnsi="Aptos"/>
                <w:b w:val="0"/>
                <w:sz w:val="16"/>
              </w:rPr>
              <w:t>Investment gains</w:t>
            </w:r>
          </w:p>
        </w:tc>
        <w:tc>
          <w:tcPr>
            <w:tcW w:type="dxa" w:w="4608"/>
            <w:tcMar>
              <w:top w:w="80" w:type="dxa"/>
              <w:start w:w="90" w:type="dxa"/>
              <w:bottom w:w="80" w:type="dxa"/>
              <w:end w:w="90" w:type="dxa"/>
            </w:tcMar>
            <w:vAlign w:val="top"/>
          </w:tcPr>
          <w:p>
            <w:r>
              <w:rPr>
                <w:rFonts w:ascii="Aptos" w:hAnsi="Aptos"/>
                <w:b w:val="0"/>
                <w:sz w:val="16"/>
              </w:rPr>
              <w:t>Custodian/broker statements and funding trail</w:t>
            </w:r>
          </w:p>
        </w:tc>
        <w:tc>
          <w:tcPr>
            <w:tcW w:type="dxa" w:w="3312"/>
            <w:tcMar>
              <w:top w:w="80" w:type="dxa"/>
              <w:start w:w="90" w:type="dxa"/>
              <w:bottom w:w="80" w:type="dxa"/>
              <w:end w:w="90" w:type="dxa"/>
            </w:tcMar>
            <w:vAlign w:val="top"/>
          </w:tcPr>
          <w:p>
            <w:r>
              <w:rPr>
                <w:rFonts w:ascii="Aptos" w:hAnsi="Aptos"/>
                <w:b w:val="0"/>
                <w:sz w:val="16"/>
              </w:rPr>
              <w:t>Screenshot without account ownership evidence</w:t>
            </w:r>
          </w:p>
        </w:tc>
      </w:tr>
    </w:tbl>
    <w:p/>
    <w:p>
      <w:r>
        <w:br w:type="page"/>
      </w:r>
    </w:p>
    <w:p>
      <w:pPr>
        <w:pStyle w:val="Heading1"/>
      </w:pPr>
      <w:r>
        <w:t>Appendix C — EDD Scenario Outcomes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880"/>
            <w:shd w:fill="17365D"/>
            <w:vAlign w:val="center"/>
            <w:tcMar>
              <w:top w:w="80" w:type="dxa"/>
              <w:start w:w="90" w:type="dxa"/>
              <w:bottom w:w="80" w:type="dxa"/>
              <w:end w:w="90" w:type="dxa"/>
            </w:tcMar>
          </w:tcPr>
          <w:p>
            <w:r>
              <w:rPr>
                <w:rFonts w:ascii="Aptos" w:hAnsi="Aptos"/>
                <w:b/>
                <w:color w:val="FFFFFF"/>
                <w:sz w:val="16"/>
              </w:rPr>
              <w:t>Scenario</w:t>
            </w:r>
          </w:p>
        </w:tc>
        <w:tc>
          <w:tcPr>
            <w:tcW w:type="dxa" w:w="4608"/>
            <w:shd w:fill="17365D"/>
            <w:vAlign w:val="center"/>
            <w:tcMar>
              <w:top w:w="80" w:type="dxa"/>
              <w:start w:w="90" w:type="dxa"/>
              <w:bottom w:w="80" w:type="dxa"/>
              <w:end w:w="90" w:type="dxa"/>
            </w:tcMar>
          </w:tcPr>
          <w:p>
            <w:r>
              <w:rPr>
                <w:rFonts w:ascii="Aptos" w:hAnsi="Aptos"/>
                <w:b/>
                <w:color w:val="FFFFFF"/>
                <w:sz w:val="16"/>
              </w:rPr>
              <w:t>Investigation Focus</w:t>
            </w:r>
          </w:p>
        </w:tc>
        <w:tc>
          <w:tcPr>
            <w:tcW w:type="dxa" w:w="2880"/>
            <w:shd w:fill="17365D"/>
            <w:vAlign w:val="center"/>
            <w:tcMar>
              <w:top w:w="80" w:type="dxa"/>
              <w:start w:w="90" w:type="dxa"/>
              <w:bottom w:w="80" w:type="dxa"/>
              <w:end w:w="90" w:type="dxa"/>
            </w:tcMar>
          </w:tcPr>
          <w:p>
            <w:r>
              <w:rPr>
                <w:rFonts w:ascii="Aptos" w:hAnsi="Aptos"/>
                <w:b/>
                <w:color w:val="FFFFFF"/>
                <w:sz w:val="16"/>
              </w:rPr>
              <w:t>Possible Outcome</w:t>
            </w:r>
          </w:p>
        </w:tc>
      </w:tr>
      <w:tr>
        <w:tc>
          <w:tcPr>
            <w:tcW w:type="dxa" w:w="2880"/>
            <w:tcMar>
              <w:top w:w="80" w:type="dxa"/>
              <w:start w:w="90" w:type="dxa"/>
              <w:bottom w:w="80" w:type="dxa"/>
              <w:end w:w="90" w:type="dxa"/>
            </w:tcMar>
            <w:vAlign w:val="top"/>
          </w:tcPr>
          <w:p>
            <w:r>
              <w:rPr>
                <w:rFonts w:ascii="Aptos" w:hAnsi="Aptos"/>
                <w:b w:val="0"/>
                <w:sz w:val="16"/>
              </w:rPr>
              <w:t>PEP potential false positive</w:t>
            </w:r>
          </w:p>
        </w:tc>
        <w:tc>
          <w:tcPr>
            <w:tcW w:type="dxa" w:w="4608"/>
            <w:tcMar>
              <w:top w:w="80" w:type="dxa"/>
              <w:start w:w="90" w:type="dxa"/>
              <w:bottom w:w="80" w:type="dxa"/>
              <w:end w:w="90" w:type="dxa"/>
            </w:tcMar>
            <w:vAlign w:val="top"/>
          </w:tcPr>
          <w:p>
            <w:r>
              <w:rPr>
                <w:rFonts w:ascii="Aptos" w:hAnsi="Aptos"/>
                <w:b w:val="0"/>
                <w:sz w:val="16"/>
              </w:rPr>
              <w:t>Identity attributes and public-role match</w:t>
            </w:r>
          </w:p>
        </w:tc>
        <w:tc>
          <w:tcPr>
            <w:tcW w:type="dxa" w:w="2880"/>
            <w:tcMar>
              <w:top w:w="80" w:type="dxa"/>
              <w:start w:w="90" w:type="dxa"/>
              <w:bottom w:w="80" w:type="dxa"/>
              <w:end w:w="90" w:type="dxa"/>
            </w:tcMar>
            <w:vAlign w:val="top"/>
          </w:tcPr>
          <w:p>
            <w:r>
              <w:rPr>
                <w:rFonts w:ascii="Aptos" w:hAnsi="Aptos"/>
                <w:b w:val="0"/>
                <w:sz w:val="16"/>
              </w:rPr>
              <w:t>Clear false positive or confirmed PEP EDD</w:t>
            </w:r>
          </w:p>
        </w:tc>
      </w:tr>
      <w:tr>
        <w:tc>
          <w:tcPr>
            <w:tcW w:type="dxa" w:w="2880"/>
            <w:tcMar>
              <w:top w:w="80" w:type="dxa"/>
              <w:start w:w="90" w:type="dxa"/>
              <w:bottom w:w="80" w:type="dxa"/>
              <w:end w:w="90" w:type="dxa"/>
            </w:tcMar>
            <w:vAlign w:val="top"/>
            <w:shd w:fill="F7FAFC"/>
          </w:tcPr>
          <w:p>
            <w:r>
              <w:rPr>
                <w:rFonts w:ascii="Aptos" w:hAnsi="Aptos"/>
                <w:b w:val="0"/>
                <w:sz w:val="16"/>
              </w:rPr>
              <w:t>Opaque three-layer company</w:t>
            </w:r>
          </w:p>
        </w:tc>
        <w:tc>
          <w:tcPr>
            <w:tcW w:type="dxa" w:w="4608"/>
            <w:tcMar>
              <w:top w:w="80" w:type="dxa"/>
              <w:start w:w="90" w:type="dxa"/>
              <w:bottom w:w="80" w:type="dxa"/>
              <w:end w:w="90" w:type="dxa"/>
            </w:tcMar>
            <w:vAlign w:val="top"/>
            <w:shd w:fill="F7FAFC"/>
          </w:tcPr>
          <w:p>
            <w:r>
              <w:rPr>
                <w:rFonts w:ascii="Aptos" w:hAnsi="Aptos"/>
                <w:b w:val="0"/>
                <w:sz w:val="16"/>
              </w:rPr>
              <w:t>Ownership chart, intermediate entities, control rationale</w:t>
            </w:r>
          </w:p>
        </w:tc>
        <w:tc>
          <w:tcPr>
            <w:tcW w:type="dxa" w:w="2880"/>
            <w:tcMar>
              <w:top w:w="80" w:type="dxa"/>
              <w:start w:w="90" w:type="dxa"/>
              <w:bottom w:w="80" w:type="dxa"/>
              <w:end w:w="90" w:type="dxa"/>
            </w:tcMar>
            <w:vAlign w:val="top"/>
            <w:shd w:fill="F7FAFC"/>
          </w:tcPr>
          <w:p>
            <w:r>
              <w:rPr>
                <w:rFonts w:ascii="Aptos" w:hAnsi="Aptos"/>
                <w:b w:val="0"/>
                <w:sz w:val="16"/>
              </w:rPr>
              <w:t>High risk; accept with monitoring or decline</w:t>
            </w:r>
          </w:p>
        </w:tc>
      </w:tr>
      <w:tr>
        <w:tc>
          <w:tcPr>
            <w:tcW w:type="dxa" w:w="2880"/>
            <w:tcMar>
              <w:top w:w="80" w:type="dxa"/>
              <w:start w:w="90" w:type="dxa"/>
              <w:bottom w:w="80" w:type="dxa"/>
              <w:end w:w="90" w:type="dxa"/>
            </w:tcMar>
            <w:vAlign w:val="top"/>
          </w:tcPr>
          <w:p>
            <w:r>
              <w:rPr>
                <w:rFonts w:ascii="Aptos" w:hAnsi="Aptos"/>
                <w:b w:val="0"/>
                <w:sz w:val="16"/>
              </w:rPr>
              <w:t>Large third-party credit then onward transfer</w:t>
            </w:r>
          </w:p>
        </w:tc>
        <w:tc>
          <w:tcPr>
            <w:tcW w:type="dxa" w:w="4608"/>
            <w:tcMar>
              <w:top w:w="80" w:type="dxa"/>
              <w:start w:w="90" w:type="dxa"/>
              <w:bottom w:w="80" w:type="dxa"/>
              <w:end w:w="90" w:type="dxa"/>
            </w:tcMar>
            <w:vAlign w:val="top"/>
          </w:tcPr>
          <w:p>
            <w:r>
              <w:rPr>
                <w:rFonts w:ascii="Aptos" w:hAnsi="Aptos"/>
                <w:b w:val="0"/>
                <w:sz w:val="16"/>
              </w:rPr>
              <w:t>Relationship, purpose, source, beneficiary</w:t>
            </w:r>
          </w:p>
        </w:tc>
        <w:tc>
          <w:tcPr>
            <w:tcW w:type="dxa" w:w="2880"/>
            <w:tcMar>
              <w:top w:w="80" w:type="dxa"/>
              <w:start w:w="90" w:type="dxa"/>
              <w:bottom w:w="80" w:type="dxa"/>
              <w:end w:w="90" w:type="dxa"/>
            </w:tcMar>
            <w:vAlign w:val="top"/>
          </w:tcPr>
          <w:p>
            <w:r>
              <w:rPr>
                <w:rFonts w:ascii="Aptos" w:hAnsi="Aptos"/>
                <w:b w:val="0"/>
                <w:sz w:val="16"/>
              </w:rPr>
              <w:t>Legitimate one-off, profile update, or AML escalation</w:t>
            </w:r>
          </w:p>
        </w:tc>
      </w:tr>
      <w:tr>
        <w:tc>
          <w:tcPr>
            <w:tcW w:type="dxa" w:w="2880"/>
            <w:tcMar>
              <w:top w:w="80" w:type="dxa"/>
              <w:start w:w="90" w:type="dxa"/>
              <w:bottom w:w="80" w:type="dxa"/>
              <w:end w:w="90" w:type="dxa"/>
            </w:tcMar>
            <w:vAlign w:val="top"/>
            <w:shd w:fill="F7FAFC"/>
          </w:tcPr>
          <w:p>
            <w:r>
              <w:rPr>
                <w:rFonts w:ascii="Aptos" w:hAnsi="Aptos"/>
                <w:b w:val="0"/>
                <w:sz w:val="16"/>
              </w:rPr>
              <w:t>High-risk geography trade payments</w:t>
            </w:r>
          </w:p>
        </w:tc>
        <w:tc>
          <w:tcPr>
            <w:tcW w:type="dxa" w:w="4608"/>
            <w:tcMar>
              <w:top w:w="80" w:type="dxa"/>
              <w:start w:w="90" w:type="dxa"/>
              <w:bottom w:w="80" w:type="dxa"/>
              <w:end w:w="90" w:type="dxa"/>
            </w:tcMar>
            <w:vAlign w:val="top"/>
            <w:shd w:fill="F7FAFC"/>
          </w:tcPr>
          <w:p>
            <w:r>
              <w:rPr>
                <w:rFonts w:ascii="Aptos" w:hAnsi="Aptos"/>
                <w:b w:val="0"/>
                <w:sz w:val="16"/>
              </w:rPr>
              <w:t>Contracts, counterparties, goods/services, route</w:t>
            </w:r>
          </w:p>
        </w:tc>
        <w:tc>
          <w:tcPr>
            <w:tcW w:type="dxa" w:w="2880"/>
            <w:tcMar>
              <w:top w:w="80" w:type="dxa"/>
              <w:start w:w="90" w:type="dxa"/>
              <w:bottom w:w="80" w:type="dxa"/>
              <w:end w:w="90" w:type="dxa"/>
            </w:tcMar>
            <w:vAlign w:val="top"/>
            <w:shd w:fill="F7FAFC"/>
          </w:tcPr>
          <w:p>
            <w:r>
              <w:rPr>
                <w:rFonts w:ascii="Aptos" w:hAnsi="Aptos"/>
                <w:b w:val="0"/>
                <w:sz w:val="16"/>
              </w:rPr>
              <w:t>Accept with targeted monitoring if credible</w:t>
            </w:r>
          </w:p>
        </w:tc>
      </w:tr>
      <w:tr>
        <w:tc>
          <w:tcPr>
            <w:tcW w:type="dxa" w:w="2880"/>
            <w:tcMar>
              <w:top w:w="80" w:type="dxa"/>
              <w:start w:w="90" w:type="dxa"/>
              <w:bottom w:w="80" w:type="dxa"/>
              <w:end w:w="90" w:type="dxa"/>
            </w:tcMar>
            <w:vAlign w:val="top"/>
          </w:tcPr>
          <w:p>
            <w:r>
              <w:rPr>
                <w:rFonts w:ascii="Aptos" w:hAnsi="Aptos"/>
                <w:b w:val="0"/>
                <w:sz w:val="16"/>
              </w:rPr>
              <w:t>Adverse media for historical fraud</w:t>
            </w:r>
          </w:p>
        </w:tc>
        <w:tc>
          <w:tcPr>
            <w:tcW w:type="dxa" w:w="4608"/>
            <w:tcMar>
              <w:top w:w="80" w:type="dxa"/>
              <w:start w:w="90" w:type="dxa"/>
              <w:bottom w:w="80" w:type="dxa"/>
              <w:end w:w="90" w:type="dxa"/>
            </w:tcMar>
            <w:vAlign w:val="top"/>
          </w:tcPr>
          <w:p>
            <w:r>
              <w:rPr>
                <w:rFonts w:ascii="Aptos" w:hAnsi="Aptos"/>
                <w:b w:val="0"/>
                <w:sz w:val="16"/>
              </w:rPr>
              <w:t>Identity, recency, case outcome, remediation</w:t>
            </w:r>
          </w:p>
        </w:tc>
        <w:tc>
          <w:tcPr>
            <w:tcW w:type="dxa" w:w="2880"/>
            <w:tcMar>
              <w:top w:w="80" w:type="dxa"/>
              <w:start w:w="90" w:type="dxa"/>
              <w:bottom w:w="80" w:type="dxa"/>
              <w:end w:w="90" w:type="dxa"/>
            </w:tcMar>
            <w:vAlign w:val="top"/>
          </w:tcPr>
          <w:p>
            <w:r>
              <w:rPr>
                <w:rFonts w:ascii="Aptos" w:hAnsi="Aptos"/>
                <w:b w:val="0"/>
                <w:sz w:val="16"/>
              </w:rPr>
              <w:t>Medium/High with conditions or decline</w:t>
            </w:r>
          </w:p>
        </w:tc>
      </w:tr>
    </w:tbl>
    <w:p/>
    <w:p>
      <w:r>
        <w:br w:type="page"/>
      </w:r>
    </w:p>
    <w:p>
      <w:pPr>
        <w:pStyle w:val="Heading1"/>
      </w:pPr>
      <w:r>
        <w:t>Appendix D — EDD Red-Flag and Evidence Response Catalogue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880"/>
            <w:shd w:fill="17365D"/>
            <w:tcMar>
              <w:top w:w="70" w:type="dxa"/>
              <w:start w:w="80" w:type="dxa"/>
              <w:bottom w:w="70" w:type="dxa"/>
              <w:end w:w="80" w:type="dxa"/>
            </w:tcMar>
          </w:tcPr>
          <w:p>
            <w:r>
              <w:rPr>
                <w:rFonts w:ascii="Aptos" w:hAnsi="Aptos"/>
                <w:b/>
                <w:color w:val="FFFFFF"/>
                <w:sz w:val="16"/>
              </w:rPr>
              <w:t>Pattern</w:t>
            </w:r>
          </w:p>
        </w:tc>
        <w:tc>
          <w:tcPr>
            <w:tcW w:type="dxa" w:w="3168"/>
            <w:shd w:fill="17365D"/>
            <w:tcMar>
              <w:top w:w="70" w:type="dxa"/>
              <w:start w:w="80" w:type="dxa"/>
              <w:bottom w:w="70" w:type="dxa"/>
              <w:end w:w="80" w:type="dxa"/>
            </w:tcMar>
          </w:tcPr>
          <w:p>
            <w:r>
              <w:rPr>
                <w:rFonts w:ascii="Aptos" w:hAnsi="Aptos"/>
                <w:b/>
                <w:color w:val="FFFFFF"/>
                <w:sz w:val="16"/>
              </w:rPr>
              <w:t>Risk Question</w:t>
            </w:r>
          </w:p>
        </w:tc>
        <w:tc>
          <w:tcPr>
            <w:tcW w:type="dxa" w:w="4320"/>
            <w:shd w:fill="17365D"/>
            <w:tcMar>
              <w:top w:w="70" w:type="dxa"/>
              <w:start w:w="80" w:type="dxa"/>
              <w:bottom w:w="70" w:type="dxa"/>
              <w:end w:w="80" w:type="dxa"/>
            </w:tcMar>
          </w:tcPr>
          <w:p>
            <w:r>
              <w:rPr>
                <w:rFonts w:ascii="Aptos" w:hAnsi="Aptos"/>
                <w:b/>
                <w:color w:val="FFFFFF"/>
                <w:sz w:val="16"/>
              </w:rPr>
              <w:t>Evidence / Investigation Response</w:t>
            </w:r>
          </w:p>
        </w:tc>
      </w:tr>
      <w:tr>
        <w:tc>
          <w:tcPr>
            <w:tcW w:type="dxa" w:w="2880"/>
            <w:tcMar>
              <w:top w:w="70" w:type="dxa"/>
              <w:start w:w="80" w:type="dxa"/>
              <w:bottom w:w="70" w:type="dxa"/>
              <w:end w:w="80" w:type="dxa"/>
            </w:tcMar>
            <w:vAlign w:val="top"/>
          </w:tcPr>
          <w:p>
            <w:r>
              <w:rPr>
                <w:rFonts w:ascii="Aptos" w:hAnsi="Aptos"/>
                <w:b w:val="0"/>
                <w:sz w:val="16"/>
              </w:rPr>
              <w:t>Large incoming funds from unrelated third party</w:t>
            </w:r>
          </w:p>
        </w:tc>
        <w:tc>
          <w:tcPr>
            <w:tcW w:type="dxa" w:w="3168"/>
            <w:tcMar>
              <w:top w:w="70" w:type="dxa"/>
              <w:start w:w="80" w:type="dxa"/>
              <w:bottom w:w="70" w:type="dxa"/>
              <w:end w:w="80" w:type="dxa"/>
            </w:tcMar>
            <w:vAlign w:val="top"/>
          </w:tcPr>
          <w:p>
            <w:r>
              <w:rPr>
                <w:rFonts w:ascii="Aptos" w:hAnsi="Aptos"/>
                <w:b w:val="0"/>
                <w:sz w:val="16"/>
              </w:rPr>
              <w:t>Source and relationship unclear</w:t>
            </w:r>
          </w:p>
        </w:tc>
        <w:tc>
          <w:tcPr>
            <w:tcW w:type="dxa" w:w="4320"/>
            <w:tcMar>
              <w:top w:w="70" w:type="dxa"/>
              <w:start w:w="80" w:type="dxa"/>
              <w:bottom w:w="70" w:type="dxa"/>
              <w:end w:w="80" w:type="dxa"/>
            </w:tcMar>
            <w:vAlign w:val="top"/>
          </w:tcPr>
          <w:p>
            <w:r>
              <w:rPr>
                <w:rFonts w:ascii="Aptos" w:hAnsi="Aptos"/>
                <w:b w:val="0"/>
                <w:sz w:val="16"/>
              </w:rPr>
              <w:t>Trace originator, relationship, purpose, supporting agreement and onward movement.</w:t>
            </w:r>
          </w:p>
        </w:tc>
      </w:tr>
      <w:tr>
        <w:tc>
          <w:tcPr>
            <w:tcW w:type="dxa" w:w="2880"/>
            <w:tcMar>
              <w:top w:w="70" w:type="dxa"/>
              <w:start w:w="80" w:type="dxa"/>
              <w:bottom w:w="70" w:type="dxa"/>
              <w:end w:w="80" w:type="dxa"/>
            </w:tcMar>
            <w:vAlign w:val="top"/>
            <w:shd w:fill="F7FAFC"/>
          </w:tcPr>
          <w:p>
            <w:r>
              <w:rPr>
                <w:rFonts w:ascii="Aptos" w:hAnsi="Aptos"/>
                <w:b w:val="0"/>
                <w:sz w:val="16"/>
              </w:rPr>
              <w:t>Rapid pass-through of funds</w:t>
            </w:r>
          </w:p>
        </w:tc>
        <w:tc>
          <w:tcPr>
            <w:tcW w:type="dxa" w:w="3168"/>
            <w:tcMar>
              <w:top w:w="70" w:type="dxa"/>
              <w:start w:w="80" w:type="dxa"/>
              <w:bottom w:w="70" w:type="dxa"/>
              <w:end w:w="80" w:type="dxa"/>
            </w:tcMar>
            <w:vAlign w:val="top"/>
            <w:shd w:fill="F7FAFC"/>
          </w:tcPr>
          <w:p>
            <w:r>
              <w:rPr>
                <w:rFonts w:ascii="Aptos" w:hAnsi="Aptos"/>
                <w:b w:val="0"/>
                <w:sz w:val="16"/>
              </w:rPr>
              <w:t>Account used mainly as conduit</w:t>
            </w:r>
          </w:p>
        </w:tc>
        <w:tc>
          <w:tcPr>
            <w:tcW w:type="dxa" w:w="4320"/>
            <w:tcMar>
              <w:top w:w="70" w:type="dxa"/>
              <w:start w:w="80" w:type="dxa"/>
              <w:bottom w:w="70" w:type="dxa"/>
              <w:end w:w="80" w:type="dxa"/>
            </w:tcMar>
            <w:vAlign w:val="top"/>
            <w:shd w:fill="F7FAFC"/>
          </w:tcPr>
          <w:p>
            <w:r>
              <w:rPr>
                <w:rFonts w:ascii="Aptos" w:hAnsi="Aptos"/>
                <w:b w:val="0"/>
                <w:sz w:val="16"/>
              </w:rPr>
              <w:t>Review timing, counterparties, economic purpose and customer business model.</w:t>
            </w:r>
          </w:p>
        </w:tc>
      </w:tr>
      <w:tr>
        <w:tc>
          <w:tcPr>
            <w:tcW w:type="dxa" w:w="2880"/>
            <w:tcMar>
              <w:top w:w="70" w:type="dxa"/>
              <w:start w:w="80" w:type="dxa"/>
              <w:bottom w:w="70" w:type="dxa"/>
              <w:end w:w="80" w:type="dxa"/>
            </w:tcMar>
            <w:vAlign w:val="top"/>
          </w:tcPr>
          <w:p>
            <w:r>
              <w:rPr>
                <w:rFonts w:ascii="Aptos" w:hAnsi="Aptos"/>
                <w:b w:val="0"/>
                <w:sz w:val="16"/>
              </w:rPr>
              <w:t>Newly formed company with high turnover</w:t>
            </w:r>
          </w:p>
        </w:tc>
        <w:tc>
          <w:tcPr>
            <w:tcW w:type="dxa" w:w="3168"/>
            <w:tcMar>
              <w:top w:w="70" w:type="dxa"/>
              <w:start w:w="80" w:type="dxa"/>
              <w:bottom w:w="70" w:type="dxa"/>
              <w:end w:w="80" w:type="dxa"/>
            </w:tcMar>
            <w:vAlign w:val="top"/>
          </w:tcPr>
          <w:p>
            <w:r>
              <w:rPr>
                <w:rFonts w:ascii="Aptos" w:hAnsi="Aptos"/>
                <w:b w:val="0"/>
                <w:sz w:val="16"/>
              </w:rPr>
              <w:t>Scale inconsistent with operating history</w:t>
            </w:r>
          </w:p>
        </w:tc>
        <w:tc>
          <w:tcPr>
            <w:tcW w:type="dxa" w:w="4320"/>
            <w:tcMar>
              <w:top w:w="70" w:type="dxa"/>
              <w:start w:w="80" w:type="dxa"/>
              <w:bottom w:w="70" w:type="dxa"/>
              <w:end w:w="80" w:type="dxa"/>
            </w:tcMar>
            <w:vAlign w:val="top"/>
          </w:tcPr>
          <w:p>
            <w:r>
              <w:rPr>
                <w:rFonts w:ascii="Aptos" w:hAnsi="Aptos"/>
                <w:b w:val="0"/>
                <w:sz w:val="16"/>
              </w:rPr>
              <w:t>Contracts, counterparties, bank activity, owners’ background and source of working capital.</w:t>
            </w:r>
          </w:p>
        </w:tc>
      </w:tr>
      <w:tr>
        <w:tc>
          <w:tcPr>
            <w:tcW w:type="dxa" w:w="2880"/>
            <w:tcMar>
              <w:top w:w="70" w:type="dxa"/>
              <w:start w:w="80" w:type="dxa"/>
              <w:bottom w:w="70" w:type="dxa"/>
              <w:end w:w="80" w:type="dxa"/>
            </w:tcMar>
            <w:vAlign w:val="top"/>
            <w:shd w:fill="F7FAFC"/>
          </w:tcPr>
          <w:p>
            <w:r>
              <w:rPr>
                <w:rFonts w:ascii="Aptos" w:hAnsi="Aptos"/>
                <w:b w:val="0"/>
                <w:sz w:val="16"/>
              </w:rPr>
              <w:t>Multiple small transactions below normal customer pattern</w:t>
            </w:r>
          </w:p>
        </w:tc>
        <w:tc>
          <w:tcPr>
            <w:tcW w:type="dxa" w:w="3168"/>
            <w:tcMar>
              <w:top w:w="70" w:type="dxa"/>
              <w:start w:w="80" w:type="dxa"/>
              <w:bottom w:w="70" w:type="dxa"/>
              <w:end w:w="80" w:type="dxa"/>
            </w:tcMar>
            <w:vAlign w:val="top"/>
            <w:shd w:fill="F7FAFC"/>
          </w:tcPr>
          <w:p>
            <w:r>
              <w:rPr>
                <w:rFonts w:ascii="Aptos" w:hAnsi="Aptos"/>
                <w:b w:val="0"/>
                <w:sz w:val="16"/>
              </w:rPr>
              <w:t>Possible structuring or operational reason</w:t>
            </w:r>
          </w:p>
        </w:tc>
        <w:tc>
          <w:tcPr>
            <w:tcW w:type="dxa" w:w="4320"/>
            <w:tcMar>
              <w:top w:w="70" w:type="dxa"/>
              <w:start w:w="80" w:type="dxa"/>
              <w:bottom w:w="70" w:type="dxa"/>
              <w:end w:w="80" w:type="dxa"/>
            </w:tcMar>
            <w:vAlign w:val="top"/>
            <w:shd w:fill="F7FAFC"/>
          </w:tcPr>
          <w:p>
            <w:r>
              <w:rPr>
                <w:rFonts w:ascii="Aptos" w:hAnsi="Aptos"/>
                <w:b w:val="0"/>
                <w:sz w:val="16"/>
              </w:rPr>
              <w:t>Review aggregation, counterparties, time pattern and explanation.</w:t>
            </w:r>
          </w:p>
        </w:tc>
      </w:tr>
      <w:tr>
        <w:tc>
          <w:tcPr>
            <w:tcW w:type="dxa" w:w="2880"/>
            <w:tcMar>
              <w:top w:w="70" w:type="dxa"/>
              <w:start w:w="80" w:type="dxa"/>
              <w:bottom w:w="70" w:type="dxa"/>
              <w:end w:w="80" w:type="dxa"/>
            </w:tcMar>
            <w:vAlign w:val="top"/>
          </w:tcPr>
          <w:p>
            <w:r>
              <w:rPr>
                <w:rFonts w:ascii="Aptos" w:hAnsi="Aptos"/>
                <w:b w:val="0"/>
                <w:sz w:val="16"/>
              </w:rPr>
              <w:t>Frequent cash deposits for non-cash business</w:t>
            </w:r>
          </w:p>
        </w:tc>
        <w:tc>
          <w:tcPr>
            <w:tcW w:type="dxa" w:w="3168"/>
            <w:tcMar>
              <w:top w:w="70" w:type="dxa"/>
              <w:start w:w="80" w:type="dxa"/>
              <w:bottom w:w="70" w:type="dxa"/>
              <w:end w:w="80" w:type="dxa"/>
            </w:tcMar>
            <w:vAlign w:val="top"/>
          </w:tcPr>
          <w:p>
            <w:r>
              <w:rPr>
                <w:rFonts w:ascii="Aptos" w:hAnsi="Aptos"/>
                <w:b w:val="0"/>
                <w:sz w:val="16"/>
              </w:rPr>
              <w:t>Activity inconsistent with profile</w:t>
            </w:r>
          </w:p>
        </w:tc>
        <w:tc>
          <w:tcPr>
            <w:tcW w:type="dxa" w:w="4320"/>
            <w:tcMar>
              <w:top w:w="70" w:type="dxa"/>
              <w:start w:w="80" w:type="dxa"/>
              <w:bottom w:w="70" w:type="dxa"/>
              <w:end w:w="80" w:type="dxa"/>
            </w:tcMar>
            <w:vAlign w:val="top"/>
          </w:tcPr>
          <w:p>
            <w:r>
              <w:rPr>
                <w:rFonts w:ascii="Aptos" w:hAnsi="Aptos"/>
                <w:b w:val="0"/>
                <w:sz w:val="16"/>
              </w:rPr>
              <w:t>Obtain business rationale and cash source evidence.</w:t>
            </w:r>
          </w:p>
        </w:tc>
      </w:tr>
      <w:tr>
        <w:tc>
          <w:tcPr>
            <w:tcW w:type="dxa" w:w="2880"/>
            <w:tcMar>
              <w:top w:w="70" w:type="dxa"/>
              <w:start w:w="80" w:type="dxa"/>
              <w:bottom w:w="70" w:type="dxa"/>
              <w:end w:w="80" w:type="dxa"/>
            </w:tcMar>
            <w:vAlign w:val="top"/>
            <w:shd w:fill="F7FAFC"/>
          </w:tcPr>
          <w:p>
            <w:r>
              <w:rPr>
                <w:rFonts w:ascii="Aptos" w:hAnsi="Aptos"/>
                <w:b w:val="0"/>
                <w:sz w:val="16"/>
              </w:rPr>
              <w:t>Cross-border payments to new geography</w:t>
            </w:r>
          </w:p>
        </w:tc>
        <w:tc>
          <w:tcPr>
            <w:tcW w:type="dxa" w:w="3168"/>
            <w:tcMar>
              <w:top w:w="70" w:type="dxa"/>
              <w:start w:w="80" w:type="dxa"/>
              <w:bottom w:w="70" w:type="dxa"/>
              <w:end w:w="80" w:type="dxa"/>
            </w:tcMar>
            <w:vAlign w:val="top"/>
            <w:shd w:fill="F7FAFC"/>
          </w:tcPr>
          <w:p>
            <w:r>
              <w:rPr>
                <w:rFonts w:ascii="Aptos" w:hAnsi="Aptos"/>
                <w:b w:val="0"/>
                <w:sz w:val="16"/>
              </w:rPr>
              <w:t>New geographic exposure</w:t>
            </w:r>
          </w:p>
        </w:tc>
        <w:tc>
          <w:tcPr>
            <w:tcW w:type="dxa" w:w="4320"/>
            <w:tcMar>
              <w:top w:w="70" w:type="dxa"/>
              <w:start w:w="80" w:type="dxa"/>
              <w:bottom w:w="70" w:type="dxa"/>
              <w:end w:w="80" w:type="dxa"/>
            </w:tcMar>
            <w:vAlign w:val="top"/>
            <w:shd w:fill="F7FAFC"/>
          </w:tcPr>
          <w:p>
            <w:r>
              <w:rPr>
                <w:rFonts w:ascii="Aptos" w:hAnsi="Aptos"/>
                <w:b w:val="0"/>
                <w:sz w:val="16"/>
              </w:rPr>
              <w:t>Contracts/invoices, counterparties, goods/services and source/destination rationale.</w:t>
            </w:r>
          </w:p>
        </w:tc>
      </w:tr>
      <w:tr>
        <w:tc>
          <w:tcPr>
            <w:tcW w:type="dxa" w:w="2880"/>
            <w:tcMar>
              <w:top w:w="70" w:type="dxa"/>
              <w:start w:w="80" w:type="dxa"/>
              <w:bottom w:w="70" w:type="dxa"/>
              <w:end w:w="80" w:type="dxa"/>
            </w:tcMar>
            <w:vAlign w:val="top"/>
          </w:tcPr>
          <w:p>
            <w:r>
              <w:rPr>
                <w:rFonts w:ascii="Aptos" w:hAnsi="Aptos"/>
                <w:b w:val="0"/>
                <w:sz w:val="16"/>
              </w:rPr>
              <w:t>Loan proceeds diverted to unrelated beneficiary</w:t>
            </w:r>
          </w:p>
        </w:tc>
        <w:tc>
          <w:tcPr>
            <w:tcW w:type="dxa" w:w="3168"/>
            <w:tcMar>
              <w:top w:w="70" w:type="dxa"/>
              <w:start w:w="80" w:type="dxa"/>
              <w:bottom w:w="70" w:type="dxa"/>
              <w:end w:w="80" w:type="dxa"/>
            </w:tcMar>
            <w:vAlign w:val="top"/>
          </w:tcPr>
          <w:p>
            <w:r>
              <w:rPr>
                <w:rFonts w:ascii="Aptos" w:hAnsi="Aptos"/>
                <w:b w:val="0"/>
                <w:sz w:val="16"/>
              </w:rPr>
              <w:t>Potential misuse/fraud</w:t>
            </w:r>
          </w:p>
        </w:tc>
        <w:tc>
          <w:tcPr>
            <w:tcW w:type="dxa" w:w="4320"/>
            <w:tcMar>
              <w:top w:w="70" w:type="dxa"/>
              <w:start w:w="80" w:type="dxa"/>
              <w:bottom w:w="70" w:type="dxa"/>
              <w:end w:w="80" w:type="dxa"/>
            </w:tcMar>
            <w:vAlign w:val="top"/>
          </w:tcPr>
          <w:p>
            <w:r>
              <w:rPr>
                <w:rFonts w:ascii="Aptos" w:hAnsi="Aptos"/>
                <w:b w:val="0"/>
                <w:sz w:val="16"/>
              </w:rPr>
              <w:t>Coordinate with Credit/Fraud; verify beneficiary and purpose.</w:t>
            </w:r>
          </w:p>
        </w:tc>
      </w:tr>
      <w:tr>
        <w:tc>
          <w:tcPr>
            <w:tcW w:type="dxa" w:w="2880"/>
            <w:tcMar>
              <w:top w:w="70" w:type="dxa"/>
              <w:start w:w="80" w:type="dxa"/>
              <w:bottom w:w="70" w:type="dxa"/>
              <w:end w:w="80" w:type="dxa"/>
            </w:tcMar>
            <w:vAlign w:val="top"/>
            <w:shd w:fill="F7FAFC"/>
          </w:tcPr>
          <w:p>
            <w:r>
              <w:rPr>
                <w:rFonts w:ascii="Aptos" w:hAnsi="Aptos"/>
                <w:b w:val="0"/>
                <w:sz w:val="16"/>
              </w:rPr>
              <w:t>PEP wealth inconsistent with role/income</w:t>
            </w:r>
          </w:p>
        </w:tc>
        <w:tc>
          <w:tcPr>
            <w:tcW w:type="dxa" w:w="3168"/>
            <w:tcMar>
              <w:top w:w="70" w:type="dxa"/>
              <w:start w:w="80" w:type="dxa"/>
              <w:bottom w:w="70" w:type="dxa"/>
              <w:end w:w="80" w:type="dxa"/>
            </w:tcMar>
            <w:vAlign w:val="top"/>
            <w:shd w:fill="F7FAFC"/>
          </w:tcPr>
          <w:p>
            <w:r>
              <w:rPr>
                <w:rFonts w:ascii="Aptos" w:hAnsi="Aptos"/>
                <w:b w:val="0"/>
                <w:sz w:val="16"/>
              </w:rPr>
              <w:t>Potential corruption/proceeds concern</w:t>
            </w:r>
          </w:p>
        </w:tc>
        <w:tc>
          <w:tcPr>
            <w:tcW w:type="dxa" w:w="4320"/>
            <w:tcMar>
              <w:top w:w="70" w:type="dxa"/>
              <w:start w:w="80" w:type="dxa"/>
              <w:bottom w:w="70" w:type="dxa"/>
              <w:end w:w="80" w:type="dxa"/>
            </w:tcMar>
            <w:vAlign w:val="top"/>
            <w:shd w:fill="F7FAFC"/>
          </w:tcPr>
          <w:p>
            <w:r>
              <w:rPr>
                <w:rFonts w:ascii="Aptos" w:hAnsi="Aptos"/>
                <w:b w:val="0"/>
                <w:sz w:val="16"/>
              </w:rPr>
              <w:t>Expanded SoW, asset/business history and independent corroboration.</w:t>
            </w:r>
          </w:p>
        </w:tc>
      </w:tr>
      <w:tr>
        <w:tc>
          <w:tcPr>
            <w:tcW w:type="dxa" w:w="2880"/>
            <w:tcMar>
              <w:top w:w="70" w:type="dxa"/>
              <w:start w:w="80" w:type="dxa"/>
              <w:bottom w:w="70" w:type="dxa"/>
              <w:end w:w="80" w:type="dxa"/>
            </w:tcMar>
            <w:vAlign w:val="top"/>
          </w:tcPr>
          <w:p>
            <w:r>
              <w:rPr>
                <w:rFonts w:ascii="Aptos" w:hAnsi="Aptos"/>
                <w:b w:val="0"/>
                <w:sz w:val="16"/>
              </w:rPr>
              <w:t>Adverse media with unresolved allegations</w:t>
            </w:r>
          </w:p>
        </w:tc>
        <w:tc>
          <w:tcPr>
            <w:tcW w:type="dxa" w:w="3168"/>
            <w:tcMar>
              <w:top w:w="70" w:type="dxa"/>
              <w:start w:w="80" w:type="dxa"/>
              <w:bottom w:w="70" w:type="dxa"/>
              <w:end w:w="80" w:type="dxa"/>
            </w:tcMar>
            <w:vAlign w:val="top"/>
          </w:tcPr>
          <w:p>
            <w:r>
              <w:rPr>
                <w:rFonts w:ascii="Aptos" w:hAnsi="Aptos"/>
                <w:b w:val="0"/>
                <w:sz w:val="16"/>
              </w:rPr>
              <w:t>Integrity concern</w:t>
            </w:r>
          </w:p>
        </w:tc>
        <w:tc>
          <w:tcPr>
            <w:tcW w:type="dxa" w:w="4320"/>
            <w:tcMar>
              <w:top w:w="70" w:type="dxa"/>
              <w:start w:w="80" w:type="dxa"/>
              <w:bottom w:w="70" w:type="dxa"/>
              <w:end w:w="80" w:type="dxa"/>
            </w:tcMar>
            <w:vAlign w:val="top"/>
          </w:tcPr>
          <w:p>
            <w:r>
              <w:rPr>
                <w:rFonts w:ascii="Aptos" w:hAnsi="Aptos"/>
                <w:b w:val="0"/>
                <w:sz w:val="16"/>
              </w:rPr>
              <w:t>Assess source reliability, case status, subject match and relevance.</w:t>
            </w:r>
          </w:p>
        </w:tc>
      </w:tr>
      <w:tr>
        <w:tc>
          <w:tcPr>
            <w:tcW w:type="dxa" w:w="2880"/>
            <w:tcMar>
              <w:top w:w="70" w:type="dxa"/>
              <w:start w:w="80" w:type="dxa"/>
              <w:bottom w:w="70" w:type="dxa"/>
              <w:end w:w="80" w:type="dxa"/>
            </w:tcMar>
            <w:vAlign w:val="top"/>
            <w:shd w:fill="F7FAFC"/>
          </w:tcPr>
          <w:p>
            <w:r>
              <w:rPr>
                <w:rFonts w:ascii="Aptos" w:hAnsi="Aptos"/>
                <w:b w:val="0"/>
                <w:sz w:val="16"/>
              </w:rPr>
              <w:t>Ownership changes immediately before onboarding</w:t>
            </w:r>
          </w:p>
        </w:tc>
        <w:tc>
          <w:tcPr>
            <w:tcW w:type="dxa" w:w="3168"/>
            <w:tcMar>
              <w:top w:w="70" w:type="dxa"/>
              <w:start w:w="80" w:type="dxa"/>
              <w:bottom w:w="70" w:type="dxa"/>
              <w:end w:w="80" w:type="dxa"/>
            </w:tcMar>
            <w:vAlign w:val="top"/>
            <w:shd w:fill="F7FAFC"/>
          </w:tcPr>
          <w:p>
            <w:r>
              <w:rPr>
                <w:rFonts w:ascii="Aptos" w:hAnsi="Aptos"/>
                <w:b w:val="0"/>
                <w:sz w:val="16"/>
              </w:rPr>
              <w:t>Potential concealment</w:t>
            </w:r>
          </w:p>
        </w:tc>
        <w:tc>
          <w:tcPr>
            <w:tcW w:type="dxa" w:w="4320"/>
            <w:tcMar>
              <w:top w:w="70" w:type="dxa"/>
              <w:start w:w="80" w:type="dxa"/>
              <w:bottom w:w="70" w:type="dxa"/>
              <w:end w:w="80" w:type="dxa"/>
            </w:tcMar>
            <w:vAlign w:val="top"/>
            <w:shd w:fill="F7FAFC"/>
          </w:tcPr>
          <w:p>
            <w:r>
              <w:rPr>
                <w:rFonts w:ascii="Aptos" w:hAnsi="Aptos"/>
                <w:b w:val="0"/>
                <w:sz w:val="16"/>
              </w:rPr>
              <w:t>Review chronology, prior owners, consideration and commercial rationale.</w:t>
            </w:r>
          </w:p>
        </w:tc>
      </w:tr>
      <w:tr>
        <w:tc>
          <w:tcPr>
            <w:tcW w:type="dxa" w:w="2880"/>
            <w:tcMar>
              <w:top w:w="70" w:type="dxa"/>
              <w:start w:w="80" w:type="dxa"/>
              <w:bottom w:w="70" w:type="dxa"/>
              <w:end w:w="80" w:type="dxa"/>
            </w:tcMar>
            <w:vAlign w:val="top"/>
          </w:tcPr>
          <w:p>
            <w:r>
              <w:rPr>
                <w:rFonts w:ascii="Aptos" w:hAnsi="Aptos"/>
                <w:b w:val="0"/>
                <w:sz w:val="16"/>
              </w:rPr>
              <w:t>Nominee director or shareholder</w:t>
            </w:r>
          </w:p>
        </w:tc>
        <w:tc>
          <w:tcPr>
            <w:tcW w:type="dxa" w:w="3168"/>
            <w:tcMar>
              <w:top w:w="70" w:type="dxa"/>
              <w:start w:w="80" w:type="dxa"/>
              <w:bottom w:w="70" w:type="dxa"/>
              <w:end w:w="80" w:type="dxa"/>
            </w:tcMar>
            <w:vAlign w:val="top"/>
          </w:tcPr>
          <w:p>
            <w:r>
              <w:rPr>
                <w:rFonts w:ascii="Aptos" w:hAnsi="Aptos"/>
                <w:b w:val="0"/>
                <w:sz w:val="16"/>
              </w:rPr>
              <w:t>Hidden controller risk</w:t>
            </w:r>
          </w:p>
        </w:tc>
        <w:tc>
          <w:tcPr>
            <w:tcW w:type="dxa" w:w="4320"/>
            <w:tcMar>
              <w:top w:w="70" w:type="dxa"/>
              <w:start w:w="80" w:type="dxa"/>
              <w:bottom w:w="70" w:type="dxa"/>
              <w:end w:w="80" w:type="dxa"/>
            </w:tcMar>
            <w:vAlign w:val="top"/>
          </w:tcPr>
          <w:p>
            <w:r>
              <w:rPr>
                <w:rFonts w:ascii="Aptos" w:hAnsi="Aptos"/>
                <w:b w:val="0"/>
                <w:sz w:val="16"/>
              </w:rPr>
              <w:t>Identify appointing party, powers and underlying control.</w:t>
            </w:r>
          </w:p>
        </w:tc>
      </w:tr>
      <w:tr>
        <w:tc>
          <w:tcPr>
            <w:tcW w:type="dxa" w:w="2880"/>
            <w:tcMar>
              <w:top w:w="70" w:type="dxa"/>
              <w:start w:w="80" w:type="dxa"/>
              <w:bottom w:w="70" w:type="dxa"/>
              <w:end w:w="80" w:type="dxa"/>
            </w:tcMar>
            <w:vAlign w:val="top"/>
            <w:shd w:fill="F7FAFC"/>
          </w:tcPr>
          <w:p>
            <w:r>
              <w:rPr>
                <w:rFonts w:ascii="Aptos" w:hAnsi="Aptos"/>
                <w:b w:val="0"/>
                <w:sz w:val="16"/>
              </w:rPr>
              <w:t>Third-party guarantor/funder</w:t>
            </w:r>
          </w:p>
        </w:tc>
        <w:tc>
          <w:tcPr>
            <w:tcW w:type="dxa" w:w="3168"/>
            <w:tcMar>
              <w:top w:w="70" w:type="dxa"/>
              <w:start w:w="80" w:type="dxa"/>
              <w:bottom w:w="70" w:type="dxa"/>
              <w:end w:w="80" w:type="dxa"/>
            </w:tcMar>
            <w:vAlign w:val="top"/>
            <w:shd w:fill="F7FAFC"/>
          </w:tcPr>
          <w:p>
            <w:r>
              <w:rPr>
                <w:rFonts w:ascii="Aptos" w:hAnsi="Aptos"/>
                <w:b w:val="0"/>
                <w:sz w:val="16"/>
              </w:rPr>
              <w:t>Unclear economic relationship</w:t>
            </w:r>
          </w:p>
        </w:tc>
        <w:tc>
          <w:tcPr>
            <w:tcW w:type="dxa" w:w="4320"/>
            <w:tcMar>
              <w:top w:w="70" w:type="dxa"/>
              <w:start w:w="80" w:type="dxa"/>
              <w:bottom w:w="70" w:type="dxa"/>
              <w:end w:w="80" w:type="dxa"/>
            </w:tcMar>
            <w:vAlign w:val="top"/>
            <w:shd w:fill="F7FAFC"/>
          </w:tcPr>
          <w:p>
            <w:r>
              <w:rPr>
                <w:rFonts w:ascii="Aptos" w:hAnsi="Aptos"/>
                <w:b w:val="0"/>
                <w:sz w:val="16"/>
              </w:rPr>
              <w:t>Identify relationship, capacity, source and purpose.</w:t>
            </w:r>
          </w:p>
        </w:tc>
      </w:tr>
      <w:tr>
        <w:tc>
          <w:tcPr>
            <w:tcW w:type="dxa" w:w="2880"/>
            <w:tcMar>
              <w:top w:w="70" w:type="dxa"/>
              <w:start w:w="80" w:type="dxa"/>
              <w:bottom w:w="70" w:type="dxa"/>
              <w:end w:w="80" w:type="dxa"/>
            </w:tcMar>
            <w:vAlign w:val="top"/>
          </w:tcPr>
          <w:p>
            <w:r>
              <w:rPr>
                <w:rFonts w:ascii="Aptos" w:hAnsi="Aptos"/>
                <w:b w:val="0"/>
                <w:sz w:val="16"/>
              </w:rPr>
              <w:t>Repeated ATM alerts closed as “known activity”</w:t>
            </w:r>
          </w:p>
        </w:tc>
        <w:tc>
          <w:tcPr>
            <w:tcW w:type="dxa" w:w="3168"/>
            <w:tcMar>
              <w:top w:w="70" w:type="dxa"/>
              <w:start w:w="80" w:type="dxa"/>
              <w:bottom w:w="70" w:type="dxa"/>
              <w:end w:w="80" w:type="dxa"/>
            </w:tcMar>
            <w:vAlign w:val="top"/>
          </w:tcPr>
          <w:p>
            <w:r>
              <w:rPr>
                <w:rFonts w:ascii="Aptos" w:hAnsi="Aptos"/>
                <w:b w:val="0"/>
                <w:sz w:val="16"/>
              </w:rPr>
              <w:t>Potential stale explanation</w:t>
            </w:r>
          </w:p>
        </w:tc>
        <w:tc>
          <w:tcPr>
            <w:tcW w:type="dxa" w:w="4320"/>
            <w:tcMar>
              <w:top w:w="70" w:type="dxa"/>
              <w:start w:w="80" w:type="dxa"/>
              <w:bottom w:w="70" w:type="dxa"/>
              <w:end w:w="80" w:type="dxa"/>
            </w:tcMar>
            <w:vAlign w:val="top"/>
          </w:tcPr>
          <w:p>
            <w:r>
              <w:rPr>
                <w:rFonts w:ascii="Aptos" w:hAnsi="Aptos"/>
                <w:b w:val="0"/>
                <w:sz w:val="16"/>
              </w:rPr>
              <w:t>Test whether activity still matches current profile and prior evidence.</w:t>
            </w:r>
          </w:p>
        </w:tc>
      </w:tr>
      <w:tr>
        <w:tc>
          <w:tcPr>
            <w:tcW w:type="dxa" w:w="2880"/>
            <w:tcMar>
              <w:top w:w="70" w:type="dxa"/>
              <w:start w:w="80" w:type="dxa"/>
              <w:bottom w:w="70" w:type="dxa"/>
              <w:end w:w="80" w:type="dxa"/>
            </w:tcMar>
            <w:vAlign w:val="top"/>
            <w:shd w:fill="F7FAFC"/>
          </w:tcPr>
          <w:p>
            <w:r>
              <w:rPr>
                <w:rFonts w:ascii="Aptos" w:hAnsi="Aptos"/>
                <w:b w:val="0"/>
                <w:sz w:val="16"/>
              </w:rPr>
              <w:t>Customer avoids requested evidence</w:t>
            </w:r>
          </w:p>
        </w:tc>
        <w:tc>
          <w:tcPr>
            <w:tcW w:type="dxa" w:w="3168"/>
            <w:tcMar>
              <w:top w:w="70" w:type="dxa"/>
              <w:start w:w="80" w:type="dxa"/>
              <w:bottom w:w="70" w:type="dxa"/>
              <w:end w:w="80" w:type="dxa"/>
            </w:tcMar>
            <w:vAlign w:val="top"/>
            <w:shd w:fill="F7FAFC"/>
          </w:tcPr>
          <w:p>
            <w:r>
              <w:rPr>
                <w:rFonts w:ascii="Aptos" w:hAnsi="Aptos"/>
                <w:b w:val="0"/>
                <w:sz w:val="16"/>
              </w:rPr>
              <w:t>Information risk</w:t>
            </w:r>
          </w:p>
        </w:tc>
        <w:tc>
          <w:tcPr>
            <w:tcW w:type="dxa" w:w="4320"/>
            <w:tcMar>
              <w:top w:w="70" w:type="dxa"/>
              <w:start w:w="80" w:type="dxa"/>
              <w:bottom w:w="70" w:type="dxa"/>
              <w:end w:w="80" w:type="dxa"/>
            </w:tcMar>
            <w:vAlign w:val="top"/>
            <w:shd w:fill="F7FAFC"/>
          </w:tcPr>
          <w:p>
            <w:r>
              <w:rPr>
                <w:rFonts w:ascii="Aptos" w:hAnsi="Aptos"/>
                <w:b w:val="0"/>
                <w:sz w:val="16"/>
              </w:rPr>
              <w:t>Document refusals, alternatives and whether relationship can be accepted.</w:t>
            </w:r>
          </w:p>
        </w:tc>
      </w:tr>
      <w:tr>
        <w:tc>
          <w:tcPr>
            <w:tcW w:type="dxa" w:w="2880"/>
            <w:tcMar>
              <w:top w:w="70" w:type="dxa"/>
              <w:start w:w="80" w:type="dxa"/>
              <w:bottom w:w="70" w:type="dxa"/>
              <w:end w:w="80" w:type="dxa"/>
            </w:tcMar>
            <w:vAlign w:val="top"/>
          </w:tcPr>
          <w:p>
            <w:r>
              <w:rPr>
                <w:rFonts w:ascii="Aptos" w:hAnsi="Aptos"/>
                <w:b w:val="0"/>
                <w:sz w:val="16"/>
              </w:rPr>
              <w:t>Transaction from asset sale</w:t>
            </w:r>
          </w:p>
        </w:tc>
        <w:tc>
          <w:tcPr>
            <w:tcW w:type="dxa" w:w="3168"/>
            <w:tcMar>
              <w:top w:w="70" w:type="dxa"/>
              <w:start w:w="80" w:type="dxa"/>
              <w:bottom w:w="70" w:type="dxa"/>
              <w:end w:w="80" w:type="dxa"/>
            </w:tcMar>
            <w:vAlign w:val="top"/>
          </w:tcPr>
          <w:p>
            <w:r>
              <w:rPr>
                <w:rFonts w:ascii="Aptos" w:hAnsi="Aptos"/>
                <w:b w:val="0"/>
                <w:sz w:val="16"/>
              </w:rPr>
              <w:t>Legitimate if evidenced</w:t>
            </w:r>
          </w:p>
        </w:tc>
        <w:tc>
          <w:tcPr>
            <w:tcW w:type="dxa" w:w="4320"/>
            <w:tcMar>
              <w:top w:w="70" w:type="dxa"/>
              <w:start w:w="80" w:type="dxa"/>
              <w:bottom w:w="70" w:type="dxa"/>
              <w:end w:w="80" w:type="dxa"/>
            </w:tcMar>
            <w:vAlign w:val="top"/>
          </w:tcPr>
          <w:p>
            <w:r>
              <w:rPr>
                <w:rFonts w:ascii="Aptos" w:hAnsi="Aptos"/>
                <w:b w:val="0"/>
                <w:sz w:val="16"/>
              </w:rPr>
              <w:t>Ownership, sale agreement, settlement trail and value plausibility.</w:t>
            </w:r>
          </w:p>
        </w:tc>
      </w:tr>
      <w:tr>
        <w:tc>
          <w:tcPr>
            <w:tcW w:type="dxa" w:w="2880"/>
            <w:tcMar>
              <w:top w:w="70" w:type="dxa"/>
              <w:start w:w="80" w:type="dxa"/>
              <w:bottom w:w="70" w:type="dxa"/>
              <w:end w:w="80" w:type="dxa"/>
            </w:tcMar>
            <w:vAlign w:val="top"/>
            <w:shd w:fill="F7FAFC"/>
          </w:tcPr>
          <w:p>
            <w:r>
              <w:rPr>
                <w:rFonts w:ascii="Aptos" w:hAnsi="Aptos"/>
                <w:b w:val="0"/>
                <w:sz w:val="16"/>
              </w:rPr>
              <w:t>Inheritance from overseas estate</w:t>
            </w:r>
          </w:p>
        </w:tc>
        <w:tc>
          <w:tcPr>
            <w:tcW w:type="dxa" w:w="3168"/>
            <w:tcMar>
              <w:top w:w="70" w:type="dxa"/>
              <w:start w:w="80" w:type="dxa"/>
              <w:bottom w:w="70" w:type="dxa"/>
              <w:end w:w="80" w:type="dxa"/>
            </w:tcMar>
            <w:vAlign w:val="top"/>
            <w:shd w:fill="F7FAFC"/>
          </w:tcPr>
          <w:p>
            <w:r>
              <w:rPr>
                <w:rFonts w:ascii="Aptos" w:hAnsi="Aptos"/>
                <w:b w:val="0"/>
                <w:sz w:val="16"/>
              </w:rPr>
              <w:t>Complex source</w:t>
            </w:r>
          </w:p>
        </w:tc>
        <w:tc>
          <w:tcPr>
            <w:tcW w:type="dxa" w:w="4320"/>
            <w:tcMar>
              <w:top w:w="70" w:type="dxa"/>
              <w:start w:w="80" w:type="dxa"/>
              <w:bottom w:w="70" w:type="dxa"/>
              <w:end w:w="80" w:type="dxa"/>
            </w:tcMar>
            <w:vAlign w:val="top"/>
            <w:shd w:fill="F7FAFC"/>
          </w:tcPr>
          <w:p>
            <w:r>
              <w:rPr>
                <w:rFonts w:ascii="Aptos" w:hAnsi="Aptos"/>
                <w:b w:val="0"/>
                <w:sz w:val="16"/>
              </w:rPr>
              <w:t>Estate evidence, transfer trail, parties and geography context.</w:t>
            </w:r>
          </w:p>
        </w:tc>
      </w:tr>
      <w:tr>
        <w:tc>
          <w:tcPr>
            <w:tcW w:type="dxa" w:w="2880"/>
            <w:tcMar>
              <w:top w:w="70" w:type="dxa"/>
              <w:start w:w="80" w:type="dxa"/>
              <w:bottom w:w="70" w:type="dxa"/>
              <w:end w:w="80" w:type="dxa"/>
            </w:tcMar>
            <w:vAlign w:val="top"/>
          </w:tcPr>
          <w:p>
            <w:r>
              <w:rPr>
                <w:rFonts w:ascii="Aptos" w:hAnsi="Aptos"/>
                <w:b w:val="0"/>
                <w:sz w:val="16"/>
              </w:rPr>
              <w:t>Complex trust distribution</w:t>
            </w:r>
          </w:p>
        </w:tc>
        <w:tc>
          <w:tcPr>
            <w:tcW w:type="dxa" w:w="3168"/>
            <w:tcMar>
              <w:top w:w="70" w:type="dxa"/>
              <w:start w:w="80" w:type="dxa"/>
              <w:bottom w:w="70" w:type="dxa"/>
              <w:end w:w="80" w:type="dxa"/>
            </w:tcMar>
            <w:vAlign w:val="top"/>
          </w:tcPr>
          <w:p>
            <w:r>
              <w:rPr>
                <w:rFonts w:ascii="Aptos" w:hAnsi="Aptos"/>
                <w:b w:val="0"/>
                <w:sz w:val="16"/>
              </w:rPr>
              <w:t>Beneficiary and asset-source risk</w:t>
            </w:r>
          </w:p>
        </w:tc>
        <w:tc>
          <w:tcPr>
            <w:tcW w:type="dxa" w:w="4320"/>
            <w:tcMar>
              <w:top w:w="70" w:type="dxa"/>
              <w:start w:w="80" w:type="dxa"/>
              <w:bottom w:w="70" w:type="dxa"/>
              <w:end w:w="80" w:type="dxa"/>
            </w:tcMar>
            <w:vAlign w:val="top"/>
          </w:tcPr>
          <w:p>
            <w:r>
              <w:rPr>
                <w:rFonts w:ascii="Aptos" w:hAnsi="Aptos"/>
                <w:b w:val="0"/>
                <w:sz w:val="16"/>
              </w:rPr>
              <w:t>Trust deed, distribution basis, controllers and asset provenance.</w:t>
            </w:r>
          </w:p>
        </w:tc>
      </w:tr>
      <w:tr>
        <w:tc>
          <w:tcPr>
            <w:tcW w:type="dxa" w:w="2880"/>
            <w:tcMar>
              <w:top w:w="70" w:type="dxa"/>
              <w:start w:w="80" w:type="dxa"/>
              <w:bottom w:w="70" w:type="dxa"/>
              <w:end w:w="80" w:type="dxa"/>
            </w:tcMar>
            <w:vAlign w:val="top"/>
            <w:shd w:fill="F7FAFC"/>
          </w:tcPr>
          <w:p>
            <w:r>
              <w:rPr>
                <w:rFonts w:ascii="Aptos" w:hAnsi="Aptos"/>
                <w:b w:val="0"/>
                <w:sz w:val="16"/>
              </w:rPr>
              <w:t>High-risk intermediary involvement</w:t>
            </w:r>
          </w:p>
        </w:tc>
        <w:tc>
          <w:tcPr>
            <w:tcW w:type="dxa" w:w="3168"/>
            <w:tcMar>
              <w:top w:w="70" w:type="dxa"/>
              <w:start w:w="80" w:type="dxa"/>
              <w:bottom w:w="70" w:type="dxa"/>
              <w:end w:w="80" w:type="dxa"/>
            </w:tcMar>
            <w:vAlign w:val="top"/>
            <w:shd w:fill="F7FAFC"/>
          </w:tcPr>
          <w:p>
            <w:r>
              <w:rPr>
                <w:rFonts w:ascii="Aptos" w:hAnsi="Aptos"/>
                <w:b w:val="0"/>
                <w:sz w:val="16"/>
              </w:rPr>
              <w:t>Reliance/control weakness</w:t>
            </w:r>
          </w:p>
        </w:tc>
        <w:tc>
          <w:tcPr>
            <w:tcW w:type="dxa" w:w="4320"/>
            <w:tcMar>
              <w:top w:w="70" w:type="dxa"/>
              <w:start w:w="80" w:type="dxa"/>
              <w:bottom w:w="70" w:type="dxa"/>
              <w:end w:w="80" w:type="dxa"/>
            </w:tcMar>
            <w:vAlign w:val="top"/>
            <w:shd w:fill="F7FAFC"/>
          </w:tcPr>
          <w:p>
            <w:r>
              <w:rPr>
                <w:rFonts w:ascii="Aptos" w:hAnsi="Aptos"/>
                <w:b w:val="0"/>
                <w:sz w:val="16"/>
              </w:rPr>
              <w:t>Assess intermediary role, licensing/standing internally, and Northstar independent evidence.</w:t>
            </w:r>
          </w:p>
        </w:tc>
      </w:tr>
      <w:tr>
        <w:tc>
          <w:tcPr>
            <w:tcW w:type="dxa" w:w="2880"/>
            <w:tcMar>
              <w:top w:w="70" w:type="dxa"/>
              <w:start w:w="80" w:type="dxa"/>
              <w:bottom w:w="70" w:type="dxa"/>
              <w:end w:w="80" w:type="dxa"/>
            </w:tcMar>
            <w:vAlign w:val="top"/>
          </w:tcPr>
          <w:p>
            <w:r>
              <w:rPr>
                <w:rFonts w:ascii="Aptos" w:hAnsi="Aptos"/>
                <w:b w:val="0"/>
                <w:sz w:val="16"/>
              </w:rPr>
              <w:t>Material device/account access anomaly</w:t>
            </w:r>
          </w:p>
        </w:tc>
        <w:tc>
          <w:tcPr>
            <w:tcW w:type="dxa" w:w="3168"/>
            <w:tcMar>
              <w:top w:w="70" w:type="dxa"/>
              <w:start w:w="80" w:type="dxa"/>
              <w:bottom w:w="70" w:type="dxa"/>
              <w:end w:w="80" w:type="dxa"/>
            </w:tcMar>
            <w:vAlign w:val="top"/>
          </w:tcPr>
          <w:p>
            <w:r>
              <w:rPr>
                <w:rFonts w:ascii="Aptos" w:hAnsi="Aptos"/>
                <w:b w:val="0"/>
                <w:sz w:val="16"/>
              </w:rPr>
              <w:t>Potential identity misuse</w:t>
            </w:r>
          </w:p>
        </w:tc>
        <w:tc>
          <w:tcPr>
            <w:tcW w:type="dxa" w:w="4320"/>
            <w:tcMar>
              <w:top w:w="70" w:type="dxa"/>
              <w:start w:w="80" w:type="dxa"/>
              <w:bottom w:w="70" w:type="dxa"/>
              <w:end w:w="80" w:type="dxa"/>
            </w:tcMar>
            <w:vAlign w:val="top"/>
          </w:tcPr>
          <w:p>
            <w:r>
              <w:rPr>
                <w:rFonts w:ascii="Aptos" w:hAnsi="Aptos"/>
                <w:b w:val="0"/>
                <w:sz w:val="16"/>
              </w:rPr>
              <w:t>Coordinate with Fraud/Information Security; verify customer control.</w:t>
            </w:r>
          </w:p>
        </w:tc>
      </w:tr>
      <w:tr>
        <w:tc>
          <w:tcPr>
            <w:tcW w:type="dxa" w:w="2880"/>
            <w:tcMar>
              <w:top w:w="70" w:type="dxa"/>
              <w:start w:w="80" w:type="dxa"/>
              <w:bottom w:w="70" w:type="dxa"/>
              <w:end w:w="80" w:type="dxa"/>
            </w:tcMar>
            <w:vAlign w:val="top"/>
            <w:shd w:fill="F7FAFC"/>
          </w:tcPr>
          <w:p>
            <w:r>
              <w:rPr>
                <w:rFonts w:ascii="Aptos" w:hAnsi="Aptos"/>
                <w:b w:val="0"/>
                <w:sz w:val="16"/>
              </w:rPr>
              <w:t>Customer business model materially changed</w:t>
            </w:r>
          </w:p>
        </w:tc>
        <w:tc>
          <w:tcPr>
            <w:tcW w:type="dxa" w:w="3168"/>
            <w:tcMar>
              <w:top w:w="70" w:type="dxa"/>
              <w:start w:w="80" w:type="dxa"/>
              <w:bottom w:w="70" w:type="dxa"/>
              <w:end w:w="80" w:type="dxa"/>
            </w:tcMar>
            <w:vAlign w:val="top"/>
            <w:shd w:fill="F7FAFC"/>
          </w:tcPr>
          <w:p>
            <w:r>
              <w:rPr>
                <w:rFonts w:ascii="Aptos" w:hAnsi="Aptos"/>
                <w:b w:val="0"/>
                <w:sz w:val="16"/>
              </w:rPr>
              <w:t>Prior CDD obsolete</w:t>
            </w:r>
          </w:p>
        </w:tc>
        <w:tc>
          <w:tcPr>
            <w:tcW w:type="dxa" w:w="4320"/>
            <w:tcMar>
              <w:top w:w="70" w:type="dxa"/>
              <w:start w:w="80" w:type="dxa"/>
              <w:bottom w:w="70" w:type="dxa"/>
              <w:end w:w="80" w:type="dxa"/>
            </w:tcMar>
            <w:vAlign w:val="top"/>
            <w:shd w:fill="F7FAFC"/>
          </w:tcPr>
          <w:p>
            <w:r>
              <w:rPr>
                <w:rFonts w:ascii="Aptos" w:hAnsi="Aptos"/>
                <w:b w:val="0"/>
                <w:sz w:val="16"/>
              </w:rPr>
              <w:t>Re-establish purpose, expected activity, risk score and monitoring.</w:t>
            </w:r>
          </w:p>
        </w:tc>
      </w:tr>
    </w:tbl>
    <w:p/>
    <w:p>
      <w:r>
        <w:br w:type="page"/>
      </w:r>
    </w:p>
    <w:p>
      <w:pPr>
        <w:pStyle w:val="Heading1"/>
      </w:pPr>
      <w:r>
        <w:t>Appendix E — Illustrative EDD Investigation Chronology</w:t>
      </w:r>
    </w:p>
    <w:p>
      <w:r>
        <w:t>This chronology is a control example for complex cases; investigators may vary sequence where urgency or evidence requires.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864"/>
            <w:shd w:fill="17365D"/>
            <w:tcMar>
              <w:top w:w="70" w:type="dxa"/>
              <w:start w:w="80" w:type="dxa"/>
              <w:bottom w:w="70" w:type="dxa"/>
              <w:end w:w="80" w:type="dxa"/>
            </w:tcMar>
          </w:tcPr>
          <w:p>
            <w:r>
              <w:rPr>
                <w:rFonts w:ascii="Aptos" w:hAnsi="Aptos"/>
                <w:b/>
                <w:color w:val="FFFFFF"/>
                <w:sz w:val="16"/>
              </w:rPr>
              <w:t>Step</w:t>
            </w:r>
          </w:p>
        </w:tc>
        <w:tc>
          <w:tcPr>
            <w:tcW w:type="dxa" w:w="4608"/>
            <w:shd w:fill="17365D"/>
            <w:tcMar>
              <w:top w:w="70" w:type="dxa"/>
              <w:start w:w="80" w:type="dxa"/>
              <w:bottom w:w="70" w:type="dxa"/>
              <w:end w:w="80" w:type="dxa"/>
            </w:tcMar>
          </w:tcPr>
          <w:p>
            <w:r>
              <w:rPr>
                <w:rFonts w:ascii="Aptos" w:hAnsi="Aptos"/>
                <w:b/>
                <w:color w:val="FFFFFF"/>
                <w:sz w:val="16"/>
              </w:rPr>
              <w:t>Event</w:t>
            </w:r>
          </w:p>
        </w:tc>
        <w:tc>
          <w:tcPr>
            <w:tcW w:type="dxa" w:w="2160"/>
            <w:shd w:fill="17365D"/>
            <w:tcMar>
              <w:top w:w="70" w:type="dxa"/>
              <w:start w:w="80" w:type="dxa"/>
              <w:bottom w:w="70" w:type="dxa"/>
              <w:end w:w="80" w:type="dxa"/>
            </w:tcMar>
          </w:tcPr>
          <w:p>
            <w:r>
              <w:rPr>
                <w:rFonts w:ascii="Aptos" w:hAnsi="Aptos"/>
                <w:b/>
                <w:color w:val="FFFFFF"/>
                <w:sz w:val="16"/>
              </w:rPr>
              <w:t>Owner</w:t>
            </w:r>
          </w:p>
        </w:tc>
        <w:tc>
          <w:tcPr>
            <w:tcW w:type="dxa" w:w="3168"/>
            <w:shd w:fill="17365D"/>
            <w:tcMar>
              <w:top w:w="70" w:type="dxa"/>
              <w:start w:w="80" w:type="dxa"/>
              <w:bottom w:w="70" w:type="dxa"/>
              <w:end w:w="80" w:type="dxa"/>
            </w:tcMar>
          </w:tcPr>
          <w:p>
            <w:r>
              <w:rPr>
                <w:rFonts w:ascii="Aptos" w:hAnsi="Aptos"/>
                <w:b/>
                <w:color w:val="FFFFFF"/>
                <w:sz w:val="16"/>
              </w:rPr>
              <w:t>Minimum Record</w:t>
            </w:r>
          </w:p>
        </w:tc>
      </w:tr>
      <w:tr>
        <w:tc>
          <w:tcPr>
            <w:tcW w:type="dxa" w:w="864"/>
            <w:tcMar>
              <w:top w:w="70" w:type="dxa"/>
              <w:start w:w="80" w:type="dxa"/>
              <w:bottom w:w="70" w:type="dxa"/>
              <w:end w:w="80" w:type="dxa"/>
            </w:tcMar>
            <w:vAlign w:val="top"/>
          </w:tcPr>
          <w:p>
            <w:r>
              <w:rPr>
                <w:rFonts w:ascii="Aptos" w:hAnsi="Aptos"/>
                <w:b w:val="0"/>
                <w:sz w:val="16"/>
              </w:rPr>
              <w:t>1</w:t>
            </w:r>
          </w:p>
        </w:tc>
        <w:tc>
          <w:tcPr>
            <w:tcW w:type="dxa" w:w="4608"/>
            <w:tcMar>
              <w:top w:w="70" w:type="dxa"/>
              <w:start w:w="80" w:type="dxa"/>
              <w:bottom w:w="70" w:type="dxa"/>
              <w:end w:w="80" w:type="dxa"/>
            </w:tcMar>
            <w:vAlign w:val="top"/>
          </w:tcPr>
          <w:p>
            <w:r>
              <w:rPr>
                <w:rFonts w:ascii="Aptos" w:hAnsi="Aptos"/>
                <w:b w:val="0"/>
                <w:sz w:val="16"/>
              </w:rPr>
              <w:t>Trigger identified and restriction status assessed</w:t>
            </w:r>
          </w:p>
        </w:tc>
        <w:tc>
          <w:tcPr>
            <w:tcW w:type="dxa" w:w="2160"/>
            <w:tcMar>
              <w:top w:w="70" w:type="dxa"/>
              <w:start w:w="80" w:type="dxa"/>
              <w:bottom w:w="70" w:type="dxa"/>
              <w:end w:w="80" w:type="dxa"/>
            </w:tcMar>
            <w:vAlign w:val="top"/>
          </w:tcPr>
          <w:p>
            <w:r>
              <w:rPr>
                <w:rFonts w:ascii="Aptos" w:hAnsi="Aptos"/>
                <w:b w:val="0"/>
                <w:sz w:val="16"/>
              </w:rPr>
              <w:t>KYC/AML analyst</w:t>
            </w:r>
          </w:p>
        </w:tc>
        <w:tc>
          <w:tcPr>
            <w:tcW w:type="dxa" w:w="3168"/>
            <w:tcMar>
              <w:top w:w="70" w:type="dxa"/>
              <w:start w:w="80" w:type="dxa"/>
              <w:bottom w:w="70" w:type="dxa"/>
              <w:end w:w="80" w:type="dxa"/>
            </w:tcMar>
            <w:vAlign w:val="top"/>
          </w:tcPr>
          <w:p>
            <w:r>
              <w:rPr>
                <w:rFonts w:ascii="Aptos" w:hAnsi="Aptos"/>
                <w:b w:val="0"/>
                <w:sz w:val="16"/>
              </w:rPr>
              <w:t>Date/time + evidence reference + outcome</w:t>
            </w:r>
          </w:p>
        </w:tc>
      </w:tr>
      <w:tr>
        <w:tc>
          <w:tcPr>
            <w:tcW w:type="dxa" w:w="864"/>
            <w:tcMar>
              <w:top w:w="70" w:type="dxa"/>
              <w:start w:w="80" w:type="dxa"/>
              <w:bottom w:w="70" w:type="dxa"/>
              <w:end w:w="80" w:type="dxa"/>
            </w:tcMar>
            <w:vAlign w:val="top"/>
            <w:shd w:fill="F7FAFC"/>
          </w:tcPr>
          <w:p>
            <w:r>
              <w:rPr>
                <w:rFonts w:ascii="Aptos" w:hAnsi="Aptos"/>
                <w:b w:val="0"/>
                <w:sz w:val="16"/>
              </w:rPr>
              <w:t>2</w:t>
            </w:r>
          </w:p>
        </w:tc>
        <w:tc>
          <w:tcPr>
            <w:tcW w:type="dxa" w:w="4608"/>
            <w:tcMar>
              <w:top w:w="70" w:type="dxa"/>
              <w:start w:w="80" w:type="dxa"/>
              <w:bottom w:w="70" w:type="dxa"/>
              <w:end w:w="80" w:type="dxa"/>
            </w:tcMar>
            <w:vAlign w:val="top"/>
            <w:shd w:fill="F7FAFC"/>
          </w:tcPr>
          <w:p>
            <w:r>
              <w:rPr>
                <w:rFonts w:ascii="Aptos" w:hAnsi="Aptos"/>
                <w:b w:val="0"/>
                <w:sz w:val="16"/>
              </w:rPr>
              <w:t>Case opened with trigger evidence and prior profile</w:t>
            </w:r>
          </w:p>
        </w:tc>
        <w:tc>
          <w:tcPr>
            <w:tcW w:type="dxa" w:w="2160"/>
            <w:tcMar>
              <w:top w:w="70" w:type="dxa"/>
              <w:start w:w="80" w:type="dxa"/>
              <w:bottom w:w="70" w:type="dxa"/>
              <w:end w:w="80" w:type="dxa"/>
            </w:tcMar>
            <w:vAlign w:val="top"/>
            <w:shd w:fill="F7FAFC"/>
          </w:tcPr>
          <w:p>
            <w:r>
              <w:rPr>
                <w:rFonts w:ascii="Aptos" w:hAnsi="Aptos"/>
                <w:b w:val="0"/>
                <w:sz w:val="16"/>
              </w:rPr>
              <w:t>Case owner</w:t>
            </w:r>
          </w:p>
        </w:tc>
        <w:tc>
          <w:tcPr>
            <w:tcW w:type="dxa" w:w="3168"/>
            <w:tcMar>
              <w:top w:w="70" w:type="dxa"/>
              <w:start w:w="80" w:type="dxa"/>
              <w:bottom w:w="70" w:type="dxa"/>
              <w:end w:w="80" w:type="dxa"/>
            </w:tcMar>
            <w:vAlign w:val="top"/>
            <w:shd w:fill="F7FAFC"/>
          </w:tcPr>
          <w:p>
            <w:r>
              <w:rPr>
                <w:rFonts w:ascii="Aptos" w:hAnsi="Aptos"/>
                <w:b w:val="0"/>
                <w:sz w:val="16"/>
              </w:rPr>
              <w:t>Date/time + evidence reference + outcome</w:t>
            </w:r>
          </w:p>
        </w:tc>
      </w:tr>
      <w:tr>
        <w:tc>
          <w:tcPr>
            <w:tcW w:type="dxa" w:w="864"/>
            <w:tcMar>
              <w:top w:w="70" w:type="dxa"/>
              <w:start w:w="80" w:type="dxa"/>
              <w:bottom w:w="70" w:type="dxa"/>
              <w:end w:w="80" w:type="dxa"/>
            </w:tcMar>
            <w:vAlign w:val="top"/>
          </w:tcPr>
          <w:p>
            <w:r>
              <w:rPr>
                <w:rFonts w:ascii="Aptos" w:hAnsi="Aptos"/>
                <w:b w:val="0"/>
                <w:sz w:val="16"/>
              </w:rPr>
              <w:t>3</w:t>
            </w:r>
          </w:p>
        </w:tc>
        <w:tc>
          <w:tcPr>
            <w:tcW w:type="dxa" w:w="4608"/>
            <w:tcMar>
              <w:top w:w="70" w:type="dxa"/>
              <w:start w:w="80" w:type="dxa"/>
              <w:bottom w:w="70" w:type="dxa"/>
              <w:end w:w="80" w:type="dxa"/>
            </w:tcMar>
            <w:vAlign w:val="top"/>
          </w:tcPr>
          <w:p>
            <w:r>
              <w:rPr>
                <w:rFonts w:ascii="Aptos" w:hAnsi="Aptos"/>
                <w:b w:val="0"/>
                <w:sz w:val="16"/>
              </w:rPr>
              <w:t>Initial customer-risk score and mandatory floors reviewed</w:t>
            </w:r>
          </w:p>
        </w:tc>
        <w:tc>
          <w:tcPr>
            <w:tcW w:type="dxa" w:w="2160"/>
            <w:tcMar>
              <w:top w:w="70" w:type="dxa"/>
              <w:start w:w="80" w:type="dxa"/>
              <w:bottom w:w="70" w:type="dxa"/>
              <w:end w:w="80" w:type="dxa"/>
            </w:tcMar>
            <w:vAlign w:val="top"/>
          </w:tcPr>
          <w:p>
            <w:r>
              <w:rPr>
                <w:rFonts w:ascii="Aptos" w:hAnsi="Aptos"/>
                <w:b w:val="0"/>
                <w:sz w:val="16"/>
              </w:rPr>
              <w:t>Case owner</w:t>
            </w:r>
          </w:p>
        </w:tc>
        <w:tc>
          <w:tcPr>
            <w:tcW w:type="dxa" w:w="3168"/>
            <w:tcMar>
              <w:top w:w="70" w:type="dxa"/>
              <w:start w:w="80" w:type="dxa"/>
              <w:bottom w:w="70" w:type="dxa"/>
              <w:end w:w="80" w:type="dxa"/>
            </w:tcMar>
            <w:vAlign w:val="top"/>
          </w:tcPr>
          <w:p>
            <w:r>
              <w:rPr>
                <w:rFonts w:ascii="Aptos" w:hAnsi="Aptos"/>
                <w:b w:val="0"/>
                <w:sz w:val="16"/>
              </w:rPr>
              <w:t>Date/time + evidence reference + outcome</w:t>
            </w:r>
          </w:p>
        </w:tc>
      </w:tr>
      <w:tr>
        <w:tc>
          <w:tcPr>
            <w:tcW w:type="dxa" w:w="864"/>
            <w:tcMar>
              <w:top w:w="70" w:type="dxa"/>
              <w:start w:w="80" w:type="dxa"/>
              <w:bottom w:w="70" w:type="dxa"/>
              <w:end w:w="80" w:type="dxa"/>
            </w:tcMar>
            <w:vAlign w:val="top"/>
            <w:shd w:fill="F7FAFC"/>
          </w:tcPr>
          <w:p>
            <w:r>
              <w:rPr>
                <w:rFonts w:ascii="Aptos" w:hAnsi="Aptos"/>
                <w:b w:val="0"/>
                <w:sz w:val="16"/>
              </w:rPr>
              <w:t>4</w:t>
            </w:r>
          </w:p>
        </w:tc>
        <w:tc>
          <w:tcPr>
            <w:tcW w:type="dxa" w:w="4608"/>
            <w:tcMar>
              <w:top w:w="70" w:type="dxa"/>
              <w:start w:w="80" w:type="dxa"/>
              <w:bottom w:w="70" w:type="dxa"/>
              <w:end w:w="80" w:type="dxa"/>
            </w:tcMar>
            <w:vAlign w:val="top"/>
            <w:shd w:fill="F7FAFC"/>
          </w:tcPr>
          <w:p>
            <w:r>
              <w:rPr>
                <w:rFonts w:ascii="Aptos" w:hAnsi="Aptos"/>
                <w:b w:val="0"/>
                <w:sz w:val="16"/>
              </w:rPr>
              <w:t>Investigation plan approved for P1/P2 case</w:t>
            </w:r>
          </w:p>
        </w:tc>
        <w:tc>
          <w:tcPr>
            <w:tcW w:type="dxa" w:w="2160"/>
            <w:tcMar>
              <w:top w:w="70" w:type="dxa"/>
              <w:start w:w="80" w:type="dxa"/>
              <w:bottom w:w="70" w:type="dxa"/>
              <w:end w:w="80" w:type="dxa"/>
            </w:tcMar>
            <w:vAlign w:val="top"/>
            <w:shd w:fill="F7FAFC"/>
          </w:tcPr>
          <w:p>
            <w:r>
              <w:rPr>
                <w:rFonts w:ascii="Aptos" w:hAnsi="Aptos"/>
                <w:b w:val="0"/>
                <w:sz w:val="16"/>
              </w:rPr>
              <w:t>AML manager</w:t>
            </w:r>
          </w:p>
        </w:tc>
        <w:tc>
          <w:tcPr>
            <w:tcW w:type="dxa" w:w="3168"/>
            <w:tcMar>
              <w:top w:w="70" w:type="dxa"/>
              <w:start w:w="80" w:type="dxa"/>
              <w:bottom w:w="70" w:type="dxa"/>
              <w:end w:w="80" w:type="dxa"/>
            </w:tcMar>
            <w:vAlign w:val="top"/>
            <w:shd w:fill="F7FAFC"/>
          </w:tcPr>
          <w:p>
            <w:r>
              <w:rPr>
                <w:rFonts w:ascii="Aptos" w:hAnsi="Aptos"/>
                <w:b w:val="0"/>
                <w:sz w:val="16"/>
              </w:rPr>
              <w:t>Date/time + evidence reference + outcome</w:t>
            </w:r>
          </w:p>
        </w:tc>
      </w:tr>
      <w:tr>
        <w:tc>
          <w:tcPr>
            <w:tcW w:type="dxa" w:w="864"/>
            <w:tcMar>
              <w:top w:w="70" w:type="dxa"/>
              <w:start w:w="80" w:type="dxa"/>
              <w:bottom w:w="70" w:type="dxa"/>
              <w:end w:w="80" w:type="dxa"/>
            </w:tcMar>
            <w:vAlign w:val="top"/>
          </w:tcPr>
          <w:p>
            <w:r>
              <w:rPr>
                <w:rFonts w:ascii="Aptos" w:hAnsi="Aptos"/>
                <w:b w:val="0"/>
                <w:sz w:val="16"/>
              </w:rPr>
              <w:t>5</w:t>
            </w:r>
          </w:p>
        </w:tc>
        <w:tc>
          <w:tcPr>
            <w:tcW w:type="dxa" w:w="4608"/>
            <w:tcMar>
              <w:top w:w="70" w:type="dxa"/>
              <w:start w:w="80" w:type="dxa"/>
              <w:bottom w:w="70" w:type="dxa"/>
              <w:end w:w="80" w:type="dxa"/>
            </w:tcMar>
            <w:vAlign w:val="top"/>
          </w:tcPr>
          <w:p>
            <w:r>
              <w:rPr>
                <w:rFonts w:ascii="Aptos" w:hAnsi="Aptos"/>
                <w:b w:val="0"/>
                <w:sz w:val="16"/>
              </w:rPr>
              <w:t>First information request sent</w:t>
            </w:r>
          </w:p>
        </w:tc>
        <w:tc>
          <w:tcPr>
            <w:tcW w:type="dxa" w:w="2160"/>
            <w:tcMar>
              <w:top w:w="70" w:type="dxa"/>
              <w:start w:w="80" w:type="dxa"/>
              <w:bottom w:w="70" w:type="dxa"/>
              <w:end w:w="80" w:type="dxa"/>
            </w:tcMar>
            <w:vAlign w:val="top"/>
          </w:tcPr>
          <w:p>
            <w:r>
              <w:rPr>
                <w:rFonts w:ascii="Aptos" w:hAnsi="Aptos"/>
                <w:b w:val="0"/>
                <w:sz w:val="16"/>
              </w:rPr>
              <w:t>Case owner</w:t>
            </w:r>
          </w:p>
        </w:tc>
        <w:tc>
          <w:tcPr>
            <w:tcW w:type="dxa" w:w="3168"/>
            <w:tcMar>
              <w:top w:w="70" w:type="dxa"/>
              <w:start w:w="80" w:type="dxa"/>
              <w:bottom w:w="70" w:type="dxa"/>
              <w:end w:w="80" w:type="dxa"/>
            </w:tcMar>
            <w:vAlign w:val="top"/>
          </w:tcPr>
          <w:p>
            <w:r>
              <w:rPr>
                <w:rFonts w:ascii="Aptos" w:hAnsi="Aptos"/>
                <w:b w:val="0"/>
                <w:sz w:val="16"/>
              </w:rPr>
              <w:t>Date/time + evidence reference + outcome</w:t>
            </w:r>
          </w:p>
        </w:tc>
      </w:tr>
      <w:tr>
        <w:tc>
          <w:tcPr>
            <w:tcW w:type="dxa" w:w="864"/>
            <w:tcMar>
              <w:top w:w="70" w:type="dxa"/>
              <w:start w:w="80" w:type="dxa"/>
              <w:bottom w:w="70" w:type="dxa"/>
              <w:end w:w="80" w:type="dxa"/>
            </w:tcMar>
            <w:vAlign w:val="top"/>
            <w:shd w:fill="F7FAFC"/>
          </w:tcPr>
          <w:p>
            <w:r>
              <w:rPr>
                <w:rFonts w:ascii="Aptos" w:hAnsi="Aptos"/>
                <w:b w:val="0"/>
                <w:sz w:val="16"/>
              </w:rPr>
              <w:t>6</w:t>
            </w:r>
          </w:p>
        </w:tc>
        <w:tc>
          <w:tcPr>
            <w:tcW w:type="dxa" w:w="4608"/>
            <w:tcMar>
              <w:top w:w="70" w:type="dxa"/>
              <w:start w:w="80" w:type="dxa"/>
              <w:bottom w:w="70" w:type="dxa"/>
              <w:end w:w="80" w:type="dxa"/>
            </w:tcMar>
            <w:vAlign w:val="top"/>
            <w:shd w:fill="F7FAFC"/>
          </w:tcPr>
          <w:p>
            <w:r>
              <w:rPr>
                <w:rFonts w:ascii="Aptos" w:hAnsi="Aptos"/>
                <w:b w:val="0"/>
                <w:sz w:val="16"/>
              </w:rPr>
              <w:t>Independent data/public-source checks completed</w:t>
            </w:r>
          </w:p>
        </w:tc>
        <w:tc>
          <w:tcPr>
            <w:tcW w:type="dxa" w:w="2160"/>
            <w:tcMar>
              <w:top w:w="70" w:type="dxa"/>
              <w:start w:w="80" w:type="dxa"/>
              <w:bottom w:w="70" w:type="dxa"/>
              <w:end w:w="80" w:type="dxa"/>
            </w:tcMar>
            <w:vAlign w:val="top"/>
            <w:shd w:fill="F7FAFC"/>
          </w:tcPr>
          <w:p>
            <w:r>
              <w:rPr>
                <w:rFonts w:ascii="Aptos" w:hAnsi="Aptos"/>
                <w:b w:val="0"/>
                <w:sz w:val="16"/>
              </w:rPr>
              <w:t>Case owner</w:t>
            </w:r>
          </w:p>
        </w:tc>
        <w:tc>
          <w:tcPr>
            <w:tcW w:type="dxa" w:w="3168"/>
            <w:tcMar>
              <w:top w:w="70" w:type="dxa"/>
              <w:start w:w="80" w:type="dxa"/>
              <w:bottom w:w="70" w:type="dxa"/>
              <w:end w:w="80" w:type="dxa"/>
            </w:tcMar>
            <w:vAlign w:val="top"/>
            <w:shd w:fill="F7FAFC"/>
          </w:tcPr>
          <w:p>
            <w:r>
              <w:rPr>
                <w:rFonts w:ascii="Aptos" w:hAnsi="Aptos"/>
                <w:b w:val="0"/>
                <w:sz w:val="16"/>
              </w:rPr>
              <w:t>Date/time + evidence reference + outcome</w:t>
            </w:r>
          </w:p>
        </w:tc>
      </w:tr>
      <w:tr>
        <w:tc>
          <w:tcPr>
            <w:tcW w:type="dxa" w:w="864"/>
            <w:tcMar>
              <w:top w:w="70" w:type="dxa"/>
              <w:start w:w="80" w:type="dxa"/>
              <w:bottom w:w="70" w:type="dxa"/>
              <w:end w:w="80" w:type="dxa"/>
            </w:tcMar>
            <w:vAlign w:val="top"/>
          </w:tcPr>
          <w:p>
            <w:r>
              <w:rPr>
                <w:rFonts w:ascii="Aptos" w:hAnsi="Aptos"/>
                <w:b w:val="0"/>
                <w:sz w:val="16"/>
              </w:rPr>
              <w:t>7</w:t>
            </w:r>
          </w:p>
        </w:tc>
        <w:tc>
          <w:tcPr>
            <w:tcW w:type="dxa" w:w="4608"/>
            <w:tcMar>
              <w:top w:w="70" w:type="dxa"/>
              <w:start w:w="80" w:type="dxa"/>
              <w:bottom w:w="70" w:type="dxa"/>
              <w:end w:w="80" w:type="dxa"/>
            </w:tcMar>
            <w:vAlign w:val="top"/>
          </w:tcPr>
          <w:p>
            <w:r>
              <w:rPr>
                <w:rFonts w:ascii="Aptos" w:hAnsi="Aptos"/>
                <w:b w:val="0"/>
                <w:sz w:val="16"/>
              </w:rPr>
              <w:t>Customer response received and contradictions logged</w:t>
            </w:r>
          </w:p>
        </w:tc>
        <w:tc>
          <w:tcPr>
            <w:tcW w:type="dxa" w:w="2160"/>
            <w:tcMar>
              <w:top w:w="70" w:type="dxa"/>
              <w:start w:w="80" w:type="dxa"/>
              <w:bottom w:w="70" w:type="dxa"/>
              <w:end w:w="80" w:type="dxa"/>
            </w:tcMar>
            <w:vAlign w:val="top"/>
          </w:tcPr>
          <w:p>
            <w:r>
              <w:rPr>
                <w:rFonts w:ascii="Aptos" w:hAnsi="Aptos"/>
                <w:b w:val="0"/>
                <w:sz w:val="16"/>
              </w:rPr>
              <w:t>Case owner</w:t>
            </w:r>
          </w:p>
        </w:tc>
        <w:tc>
          <w:tcPr>
            <w:tcW w:type="dxa" w:w="3168"/>
            <w:tcMar>
              <w:top w:w="70" w:type="dxa"/>
              <w:start w:w="80" w:type="dxa"/>
              <w:bottom w:w="70" w:type="dxa"/>
              <w:end w:w="80" w:type="dxa"/>
            </w:tcMar>
            <w:vAlign w:val="top"/>
          </w:tcPr>
          <w:p>
            <w:r>
              <w:rPr>
                <w:rFonts w:ascii="Aptos" w:hAnsi="Aptos"/>
                <w:b w:val="0"/>
                <w:sz w:val="16"/>
              </w:rPr>
              <w:t>Date/time + evidence reference + outcome</w:t>
            </w:r>
          </w:p>
        </w:tc>
      </w:tr>
      <w:tr>
        <w:tc>
          <w:tcPr>
            <w:tcW w:type="dxa" w:w="864"/>
            <w:tcMar>
              <w:top w:w="70" w:type="dxa"/>
              <w:start w:w="80" w:type="dxa"/>
              <w:bottom w:w="70" w:type="dxa"/>
              <w:end w:w="80" w:type="dxa"/>
            </w:tcMar>
            <w:vAlign w:val="top"/>
            <w:shd w:fill="F7FAFC"/>
          </w:tcPr>
          <w:p>
            <w:r>
              <w:rPr>
                <w:rFonts w:ascii="Aptos" w:hAnsi="Aptos"/>
                <w:b w:val="0"/>
                <w:sz w:val="16"/>
              </w:rPr>
              <w:t>8</w:t>
            </w:r>
          </w:p>
        </w:tc>
        <w:tc>
          <w:tcPr>
            <w:tcW w:type="dxa" w:w="4608"/>
            <w:tcMar>
              <w:top w:w="70" w:type="dxa"/>
              <w:start w:w="80" w:type="dxa"/>
              <w:bottom w:w="70" w:type="dxa"/>
              <w:end w:w="80" w:type="dxa"/>
            </w:tcMar>
            <w:vAlign w:val="top"/>
            <w:shd w:fill="F7FAFC"/>
          </w:tcPr>
          <w:p>
            <w:r>
              <w:rPr>
                <w:rFonts w:ascii="Aptos" w:hAnsi="Aptos"/>
                <w:b w:val="0"/>
                <w:sz w:val="16"/>
              </w:rPr>
              <w:t>SoF analysis completed</w:t>
            </w:r>
          </w:p>
        </w:tc>
        <w:tc>
          <w:tcPr>
            <w:tcW w:type="dxa" w:w="2160"/>
            <w:tcMar>
              <w:top w:w="70" w:type="dxa"/>
              <w:start w:w="80" w:type="dxa"/>
              <w:bottom w:w="70" w:type="dxa"/>
              <w:end w:w="80" w:type="dxa"/>
            </w:tcMar>
            <w:vAlign w:val="top"/>
            <w:shd w:fill="F7FAFC"/>
          </w:tcPr>
          <w:p>
            <w:r>
              <w:rPr>
                <w:rFonts w:ascii="Aptos" w:hAnsi="Aptos"/>
                <w:b w:val="0"/>
                <w:sz w:val="16"/>
              </w:rPr>
              <w:t>Case owner</w:t>
            </w:r>
          </w:p>
        </w:tc>
        <w:tc>
          <w:tcPr>
            <w:tcW w:type="dxa" w:w="3168"/>
            <w:tcMar>
              <w:top w:w="70" w:type="dxa"/>
              <w:start w:w="80" w:type="dxa"/>
              <w:bottom w:w="70" w:type="dxa"/>
              <w:end w:w="80" w:type="dxa"/>
            </w:tcMar>
            <w:vAlign w:val="top"/>
            <w:shd w:fill="F7FAFC"/>
          </w:tcPr>
          <w:p>
            <w:r>
              <w:rPr>
                <w:rFonts w:ascii="Aptos" w:hAnsi="Aptos"/>
                <w:b w:val="0"/>
                <w:sz w:val="16"/>
              </w:rPr>
              <w:t>Date/time + evidence reference + outcome</w:t>
            </w:r>
          </w:p>
        </w:tc>
      </w:tr>
      <w:tr>
        <w:tc>
          <w:tcPr>
            <w:tcW w:type="dxa" w:w="864"/>
            <w:tcMar>
              <w:top w:w="70" w:type="dxa"/>
              <w:start w:w="80" w:type="dxa"/>
              <w:bottom w:w="70" w:type="dxa"/>
              <w:end w:w="80" w:type="dxa"/>
            </w:tcMar>
            <w:vAlign w:val="top"/>
          </w:tcPr>
          <w:p>
            <w:r>
              <w:rPr>
                <w:rFonts w:ascii="Aptos" w:hAnsi="Aptos"/>
                <w:b w:val="0"/>
                <w:sz w:val="16"/>
              </w:rPr>
              <w:t>9</w:t>
            </w:r>
          </w:p>
        </w:tc>
        <w:tc>
          <w:tcPr>
            <w:tcW w:type="dxa" w:w="4608"/>
            <w:tcMar>
              <w:top w:w="70" w:type="dxa"/>
              <w:start w:w="80" w:type="dxa"/>
              <w:bottom w:w="70" w:type="dxa"/>
              <w:end w:w="80" w:type="dxa"/>
            </w:tcMar>
            <w:vAlign w:val="top"/>
          </w:tcPr>
          <w:p>
            <w:r>
              <w:rPr>
                <w:rFonts w:ascii="Aptos" w:hAnsi="Aptos"/>
                <w:b w:val="0"/>
                <w:sz w:val="16"/>
              </w:rPr>
              <w:t>SoW analysis completed where required</w:t>
            </w:r>
          </w:p>
        </w:tc>
        <w:tc>
          <w:tcPr>
            <w:tcW w:type="dxa" w:w="2160"/>
            <w:tcMar>
              <w:top w:w="70" w:type="dxa"/>
              <w:start w:w="80" w:type="dxa"/>
              <w:bottom w:w="70" w:type="dxa"/>
              <w:end w:w="80" w:type="dxa"/>
            </w:tcMar>
            <w:vAlign w:val="top"/>
          </w:tcPr>
          <w:p>
            <w:r>
              <w:rPr>
                <w:rFonts w:ascii="Aptos" w:hAnsi="Aptos"/>
                <w:b w:val="0"/>
                <w:sz w:val="16"/>
              </w:rPr>
              <w:t>Senior analyst</w:t>
            </w:r>
          </w:p>
        </w:tc>
        <w:tc>
          <w:tcPr>
            <w:tcW w:type="dxa" w:w="3168"/>
            <w:tcMar>
              <w:top w:w="70" w:type="dxa"/>
              <w:start w:w="80" w:type="dxa"/>
              <w:bottom w:w="70" w:type="dxa"/>
              <w:end w:w="80" w:type="dxa"/>
            </w:tcMar>
            <w:vAlign w:val="top"/>
          </w:tcPr>
          <w:p>
            <w:r>
              <w:rPr>
                <w:rFonts w:ascii="Aptos" w:hAnsi="Aptos"/>
                <w:b w:val="0"/>
                <w:sz w:val="16"/>
              </w:rPr>
              <w:t>Date/time + evidence reference + outcome</w:t>
            </w:r>
          </w:p>
        </w:tc>
      </w:tr>
      <w:tr>
        <w:tc>
          <w:tcPr>
            <w:tcW w:type="dxa" w:w="864"/>
            <w:tcMar>
              <w:top w:w="70" w:type="dxa"/>
              <w:start w:w="80" w:type="dxa"/>
              <w:bottom w:w="70" w:type="dxa"/>
              <w:end w:w="80" w:type="dxa"/>
            </w:tcMar>
            <w:vAlign w:val="top"/>
            <w:shd w:fill="F7FAFC"/>
          </w:tcPr>
          <w:p>
            <w:r>
              <w:rPr>
                <w:rFonts w:ascii="Aptos" w:hAnsi="Aptos"/>
                <w:b w:val="0"/>
                <w:sz w:val="16"/>
              </w:rPr>
              <w:t>10</w:t>
            </w:r>
          </w:p>
        </w:tc>
        <w:tc>
          <w:tcPr>
            <w:tcW w:type="dxa" w:w="4608"/>
            <w:tcMar>
              <w:top w:w="70" w:type="dxa"/>
              <w:start w:w="80" w:type="dxa"/>
              <w:bottom w:w="70" w:type="dxa"/>
              <w:end w:w="80" w:type="dxa"/>
            </w:tcMar>
            <w:vAlign w:val="top"/>
            <w:shd w:fill="F7FAFC"/>
          </w:tcPr>
          <w:p>
            <w:r>
              <w:rPr>
                <w:rFonts w:ascii="Aptos" w:hAnsi="Aptos"/>
                <w:b w:val="0"/>
                <w:sz w:val="16"/>
              </w:rPr>
              <w:t>Ownership/control map verified</w:t>
            </w:r>
          </w:p>
        </w:tc>
        <w:tc>
          <w:tcPr>
            <w:tcW w:type="dxa" w:w="2160"/>
            <w:tcMar>
              <w:top w:w="70" w:type="dxa"/>
              <w:start w:w="80" w:type="dxa"/>
              <w:bottom w:w="70" w:type="dxa"/>
              <w:end w:w="80" w:type="dxa"/>
            </w:tcMar>
            <w:vAlign w:val="top"/>
            <w:shd w:fill="F7FAFC"/>
          </w:tcPr>
          <w:p>
            <w:r>
              <w:rPr>
                <w:rFonts w:ascii="Aptos" w:hAnsi="Aptos"/>
                <w:b w:val="0"/>
                <w:sz w:val="16"/>
              </w:rPr>
              <w:t>KYC/AML analyst</w:t>
            </w:r>
          </w:p>
        </w:tc>
        <w:tc>
          <w:tcPr>
            <w:tcW w:type="dxa" w:w="3168"/>
            <w:tcMar>
              <w:top w:w="70" w:type="dxa"/>
              <w:start w:w="80" w:type="dxa"/>
              <w:bottom w:w="70" w:type="dxa"/>
              <w:end w:w="80" w:type="dxa"/>
            </w:tcMar>
            <w:vAlign w:val="top"/>
            <w:shd w:fill="F7FAFC"/>
          </w:tcPr>
          <w:p>
            <w:r>
              <w:rPr>
                <w:rFonts w:ascii="Aptos" w:hAnsi="Aptos"/>
                <w:b w:val="0"/>
                <w:sz w:val="16"/>
              </w:rPr>
              <w:t>Date/time + evidence reference + outcome</w:t>
            </w:r>
          </w:p>
        </w:tc>
      </w:tr>
      <w:tr>
        <w:tc>
          <w:tcPr>
            <w:tcW w:type="dxa" w:w="864"/>
            <w:tcMar>
              <w:top w:w="70" w:type="dxa"/>
              <w:start w:w="80" w:type="dxa"/>
              <w:bottom w:w="70" w:type="dxa"/>
              <w:end w:w="80" w:type="dxa"/>
            </w:tcMar>
            <w:vAlign w:val="top"/>
          </w:tcPr>
          <w:p>
            <w:r>
              <w:rPr>
                <w:rFonts w:ascii="Aptos" w:hAnsi="Aptos"/>
                <w:b w:val="0"/>
                <w:sz w:val="16"/>
              </w:rPr>
              <w:t>11</w:t>
            </w:r>
          </w:p>
        </w:tc>
        <w:tc>
          <w:tcPr>
            <w:tcW w:type="dxa" w:w="4608"/>
            <w:tcMar>
              <w:top w:w="70" w:type="dxa"/>
              <w:start w:w="80" w:type="dxa"/>
              <w:bottom w:w="70" w:type="dxa"/>
              <w:end w:w="80" w:type="dxa"/>
            </w:tcMar>
            <w:vAlign w:val="top"/>
          </w:tcPr>
          <w:p>
            <w:r>
              <w:rPr>
                <w:rFonts w:ascii="Aptos" w:hAnsi="Aptos"/>
                <w:b w:val="0"/>
                <w:sz w:val="16"/>
              </w:rPr>
              <w:t>PEP/adverse-information assessment completed</w:t>
            </w:r>
          </w:p>
        </w:tc>
        <w:tc>
          <w:tcPr>
            <w:tcW w:type="dxa" w:w="2160"/>
            <w:tcMar>
              <w:top w:w="70" w:type="dxa"/>
              <w:start w:w="80" w:type="dxa"/>
              <w:bottom w:w="70" w:type="dxa"/>
              <w:end w:w="80" w:type="dxa"/>
            </w:tcMar>
            <w:vAlign w:val="top"/>
          </w:tcPr>
          <w:p>
            <w:r>
              <w:rPr>
                <w:rFonts w:ascii="Aptos" w:hAnsi="Aptos"/>
                <w:b w:val="0"/>
                <w:sz w:val="16"/>
              </w:rPr>
              <w:t>AML specialist</w:t>
            </w:r>
          </w:p>
        </w:tc>
        <w:tc>
          <w:tcPr>
            <w:tcW w:type="dxa" w:w="3168"/>
            <w:tcMar>
              <w:top w:w="70" w:type="dxa"/>
              <w:start w:w="80" w:type="dxa"/>
              <w:bottom w:w="70" w:type="dxa"/>
              <w:end w:w="80" w:type="dxa"/>
            </w:tcMar>
            <w:vAlign w:val="top"/>
          </w:tcPr>
          <w:p>
            <w:r>
              <w:rPr>
                <w:rFonts w:ascii="Aptos" w:hAnsi="Aptos"/>
                <w:b w:val="0"/>
                <w:sz w:val="16"/>
              </w:rPr>
              <w:t>Date/time + evidence reference + outcome</w:t>
            </w:r>
          </w:p>
        </w:tc>
      </w:tr>
      <w:tr>
        <w:tc>
          <w:tcPr>
            <w:tcW w:type="dxa" w:w="864"/>
            <w:tcMar>
              <w:top w:w="70" w:type="dxa"/>
              <w:start w:w="80" w:type="dxa"/>
              <w:bottom w:w="70" w:type="dxa"/>
              <w:end w:w="80" w:type="dxa"/>
            </w:tcMar>
            <w:vAlign w:val="top"/>
            <w:shd w:fill="F7FAFC"/>
          </w:tcPr>
          <w:p>
            <w:r>
              <w:rPr>
                <w:rFonts w:ascii="Aptos" w:hAnsi="Aptos"/>
                <w:b w:val="0"/>
                <w:sz w:val="16"/>
              </w:rPr>
              <w:t>12</w:t>
            </w:r>
          </w:p>
        </w:tc>
        <w:tc>
          <w:tcPr>
            <w:tcW w:type="dxa" w:w="4608"/>
            <w:tcMar>
              <w:top w:w="70" w:type="dxa"/>
              <w:start w:w="80" w:type="dxa"/>
              <w:bottom w:w="70" w:type="dxa"/>
              <w:end w:w="80" w:type="dxa"/>
            </w:tcMar>
            <w:vAlign w:val="top"/>
            <w:shd w:fill="F7FAFC"/>
          </w:tcPr>
          <w:p>
            <w:r>
              <w:rPr>
                <w:rFonts w:ascii="Aptos" w:hAnsi="Aptos"/>
                <w:b w:val="0"/>
                <w:sz w:val="16"/>
              </w:rPr>
              <w:t>Transaction chronology analyzed</w:t>
            </w:r>
          </w:p>
        </w:tc>
        <w:tc>
          <w:tcPr>
            <w:tcW w:type="dxa" w:w="2160"/>
            <w:tcMar>
              <w:top w:w="70" w:type="dxa"/>
              <w:start w:w="80" w:type="dxa"/>
              <w:bottom w:w="70" w:type="dxa"/>
              <w:end w:w="80" w:type="dxa"/>
            </w:tcMar>
            <w:vAlign w:val="top"/>
            <w:shd w:fill="F7FAFC"/>
          </w:tcPr>
          <w:p>
            <w:r>
              <w:rPr>
                <w:rFonts w:ascii="Aptos" w:hAnsi="Aptos"/>
                <w:b w:val="0"/>
                <w:sz w:val="16"/>
              </w:rPr>
              <w:t>AML investigator</w:t>
            </w:r>
          </w:p>
        </w:tc>
        <w:tc>
          <w:tcPr>
            <w:tcW w:type="dxa" w:w="3168"/>
            <w:tcMar>
              <w:top w:w="70" w:type="dxa"/>
              <w:start w:w="80" w:type="dxa"/>
              <w:bottom w:w="70" w:type="dxa"/>
              <w:end w:w="80" w:type="dxa"/>
            </w:tcMar>
            <w:vAlign w:val="top"/>
            <w:shd w:fill="F7FAFC"/>
          </w:tcPr>
          <w:p>
            <w:r>
              <w:rPr>
                <w:rFonts w:ascii="Aptos" w:hAnsi="Aptos"/>
                <w:b w:val="0"/>
                <w:sz w:val="16"/>
              </w:rPr>
              <w:t>Date/time + evidence reference + outcome</w:t>
            </w:r>
          </w:p>
        </w:tc>
      </w:tr>
      <w:tr>
        <w:tc>
          <w:tcPr>
            <w:tcW w:type="dxa" w:w="864"/>
            <w:tcMar>
              <w:top w:w="70" w:type="dxa"/>
              <w:start w:w="80" w:type="dxa"/>
              <w:bottom w:w="70" w:type="dxa"/>
              <w:end w:w="80" w:type="dxa"/>
            </w:tcMar>
            <w:vAlign w:val="top"/>
          </w:tcPr>
          <w:p>
            <w:r>
              <w:rPr>
                <w:rFonts w:ascii="Aptos" w:hAnsi="Aptos"/>
                <w:b w:val="0"/>
                <w:sz w:val="16"/>
              </w:rPr>
              <w:t>13</w:t>
            </w:r>
          </w:p>
        </w:tc>
        <w:tc>
          <w:tcPr>
            <w:tcW w:type="dxa" w:w="4608"/>
            <w:tcMar>
              <w:top w:w="70" w:type="dxa"/>
              <w:start w:w="80" w:type="dxa"/>
              <w:bottom w:w="70" w:type="dxa"/>
              <w:end w:w="80" w:type="dxa"/>
            </w:tcMar>
            <w:vAlign w:val="top"/>
          </w:tcPr>
          <w:p>
            <w:r>
              <w:rPr>
                <w:rFonts w:ascii="Aptos" w:hAnsi="Aptos"/>
                <w:b w:val="0"/>
                <w:sz w:val="16"/>
              </w:rPr>
              <w:t>Risk score updated</w:t>
            </w:r>
          </w:p>
        </w:tc>
        <w:tc>
          <w:tcPr>
            <w:tcW w:type="dxa" w:w="2160"/>
            <w:tcMar>
              <w:top w:w="70" w:type="dxa"/>
              <w:start w:w="80" w:type="dxa"/>
              <w:bottom w:w="70" w:type="dxa"/>
              <w:end w:w="80" w:type="dxa"/>
            </w:tcMar>
            <w:vAlign w:val="top"/>
          </w:tcPr>
          <w:p>
            <w:r>
              <w:rPr>
                <w:rFonts w:ascii="Aptos" w:hAnsi="Aptos"/>
                <w:b w:val="0"/>
                <w:sz w:val="16"/>
              </w:rPr>
              <w:t>Case owner</w:t>
            </w:r>
          </w:p>
        </w:tc>
        <w:tc>
          <w:tcPr>
            <w:tcW w:type="dxa" w:w="3168"/>
            <w:tcMar>
              <w:top w:w="70" w:type="dxa"/>
              <w:start w:w="80" w:type="dxa"/>
              <w:bottom w:w="70" w:type="dxa"/>
              <w:end w:w="80" w:type="dxa"/>
            </w:tcMar>
            <w:vAlign w:val="top"/>
          </w:tcPr>
          <w:p>
            <w:r>
              <w:rPr>
                <w:rFonts w:ascii="Aptos" w:hAnsi="Aptos"/>
                <w:b w:val="0"/>
                <w:sz w:val="16"/>
              </w:rPr>
              <w:t>Date/time + evidence reference + outcome</w:t>
            </w:r>
          </w:p>
        </w:tc>
      </w:tr>
      <w:tr>
        <w:tc>
          <w:tcPr>
            <w:tcW w:type="dxa" w:w="864"/>
            <w:tcMar>
              <w:top w:w="70" w:type="dxa"/>
              <w:start w:w="80" w:type="dxa"/>
              <w:bottom w:w="70" w:type="dxa"/>
              <w:end w:w="80" w:type="dxa"/>
            </w:tcMar>
            <w:vAlign w:val="top"/>
            <w:shd w:fill="F7FAFC"/>
          </w:tcPr>
          <w:p>
            <w:r>
              <w:rPr>
                <w:rFonts w:ascii="Aptos" w:hAnsi="Aptos"/>
                <w:b w:val="0"/>
                <w:sz w:val="16"/>
              </w:rPr>
              <w:t>14</w:t>
            </w:r>
          </w:p>
        </w:tc>
        <w:tc>
          <w:tcPr>
            <w:tcW w:type="dxa" w:w="4608"/>
            <w:tcMar>
              <w:top w:w="70" w:type="dxa"/>
              <w:start w:w="80" w:type="dxa"/>
              <w:bottom w:w="70" w:type="dxa"/>
              <w:end w:w="80" w:type="dxa"/>
            </w:tcMar>
            <w:vAlign w:val="top"/>
            <w:shd w:fill="F7FAFC"/>
          </w:tcPr>
          <w:p>
            <w:r>
              <w:rPr>
                <w:rFonts w:ascii="Aptos" w:hAnsi="Aptos"/>
                <w:b w:val="0"/>
                <w:sz w:val="16"/>
              </w:rPr>
              <w:t>Decision recommendation documented</w:t>
            </w:r>
          </w:p>
        </w:tc>
        <w:tc>
          <w:tcPr>
            <w:tcW w:type="dxa" w:w="2160"/>
            <w:tcMar>
              <w:top w:w="70" w:type="dxa"/>
              <w:start w:w="80" w:type="dxa"/>
              <w:bottom w:w="70" w:type="dxa"/>
              <w:end w:w="80" w:type="dxa"/>
            </w:tcMar>
            <w:vAlign w:val="top"/>
            <w:shd w:fill="F7FAFC"/>
          </w:tcPr>
          <w:p>
            <w:r>
              <w:rPr>
                <w:rFonts w:ascii="Aptos" w:hAnsi="Aptos"/>
                <w:b w:val="0"/>
                <w:sz w:val="16"/>
              </w:rPr>
              <w:t>Case owner</w:t>
            </w:r>
          </w:p>
        </w:tc>
        <w:tc>
          <w:tcPr>
            <w:tcW w:type="dxa" w:w="3168"/>
            <w:tcMar>
              <w:top w:w="70" w:type="dxa"/>
              <w:start w:w="80" w:type="dxa"/>
              <w:bottom w:w="70" w:type="dxa"/>
              <w:end w:w="80" w:type="dxa"/>
            </w:tcMar>
            <w:vAlign w:val="top"/>
            <w:shd w:fill="F7FAFC"/>
          </w:tcPr>
          <w:p>
            <w:r>
              <w:rPr>
                <w:rFonts w:ascii="Aptos" w:hAnsi="Aptos"/>
                <w:b w:val="0"/>
                <w:sz w:val="16"/>
              </w:rPr>
              <w:t>Date/time + evidence reference + outcome</w:t>
            </w:r>
          </w:p>
        </w:tc>
      </w:tr>
      <w:tr>
        <w:tc>
          <w:tcPr>
            <w:tcW w:type="dxa" w:w="864"/>
            <w:tcMar>
              <w:top w:w="70" w:type="dxa"/>
              <w:start w:w="80" w:type="dxa"/>
              <w:bottom w:w="70" w:type="dxa"/>
              <w:end w:w="80" w:type="dxa"/>
            </w:tcMar>
            <w:vAlign w:val="top"/>
          </w:tcPr>
          <w:p>
            <w:r>
              <w:rPr>
                <w:rFonts w:ascii="Aptos" w:hAnsi="Aptos"/>
                <w:b w:val="0"/>
                <w:sz w:val="16"/>
              </w:rPr>
              <w:t>15</w:t>
            </w:r>
          </w:p>
        </w:tc>
        <w:tc>
          <w:tcPr>
            <w:tcW w:type="dxa" w:w="4608"/>
            <w:tcMar>
              <w:top w:w="70" w:type="dxa"/>
              <w:start w:w="80" w:type="dxa"/>
              <w:bottom w:w="70" w:type="dxa"/>
              <w:end w:w="80" w:type="dxa"/>
            </w:tcMar>
            <w:vAlign w:val="top"/>
          </w:tcPr>
          <w:p>
            <w:r>
              <w:rPr>
                <w:rFonts w:ascii="Aptos" w:hAnsi="Aptos"/>
                <w:b w:val="0"/>
                <w:sz w:val="16"/>
              </w:rPr>
              <w:t>Senior approval recorded</w:t>
            </w:r>
          </w:p>
        </w:tc>
        <w:tc>
          <w:tcPr>
            <w:tcW w:type="dxa" w:w="2160"/>
            <w:tcMar>
              <w:top w:w="70" w:type="dxa"/>
              <w:start w:w="80" w:type="dxa"/>
              <w:bottom w:w="70" w:type="dxa"/>
              <w:end w:w="80" w:type="dxa"/>
            </w:tcMar>
            <w:vAlign w:val="top"/>
          </w:tcPr>
          <w:p>
            <w:r>
              <w:rPr>
                <w:rFonts w:ascii="Aptos" w:hAnsi="Aptos"/>
                <w:b w:val="0"/>
                <w:sz w:val="16"/>
              </w:rPr>
              <w:t>Approver</w:t>
            </w:r>
          </w:p>
        </w:tc>
        <w:tc>
          <w:tcPr>
            <w:tcW w:type="dxa" w:w="3168"/>
            <w:tcMar>
              <w:top w:w="70" w:type="dxa"/>
              <w:start w:w="80" w:type="dxa"/>
              <w:bottom w:w="70" w:type="dxa"/>
              <w:end w:w="80" w:type="dxa"/>
            </w:tcMar>
            <w:vAlign w:val="top"/>
          </w:tcPr>
          <w:p>
            <w:r>
              <w:rPr>
                <w:rFonts w:ascii="Aptos" w:hAnsi="Aptos"/>
                <w:b w:val="0"/>
                <w:sz w:val="16"/>
              </w:rPr>
              <w:t>Date/time + evidence reference + outcome</w:t>
            </w:r>
          </w:p>
        </w:tc>
      </w:tr>
      <w:tr>
        <w:tc>
          <w:tcPr>
            <w:tcW w:type="dxa" w:w="864"/>
            <w:tcMar>
              <w:top w:w="70" w:type="dxa"/>
              <w:start w:w="80" w:type="dxa"/>
              <w:bottom w:w="70" w:type="dxa"/>
              <w:end w:w="80" w:type="dxa"/>
            </w:tcMar>
            <w:vAlign w:val="top"/>
            <w:shd w:fill="F7FAFC"/>
          </w:tcPr>
          <w:p>
            <w:r>
              <w:rPr>
                <w:rFonts w:ascii="Aptos" w:hAnsi="Aptos"/>
                <w:b w:val="0"/>
                <w:sz w:val="16"/>
              </w:rPr>
              <w:t>16</w:t>
            </w:r>
          </w:p>
        </w:tc>
        <w:tc>
          <w:tcPr>
            <w:tcW w:type="dxa" w:w="4608"/>
            <w:tcMar>
              <w:top w:w="70" w:type="dxa"/>
              <w:start w:w="80" w:type="dxa"/>
              <w:bottom w:w="70" w:type="dxa"/>
              <w:end w:w="80" w:type="dxa"/>
            </w:tcMar>
            <w:vAlign w:val="top"/>
            <w:shd w:fill="F7FAFC"/>
          </w:tcPr>
          <w:p>
            <w:r>
              <w:rPr>
                <w:rFonts w:ascii="Aptos" w:hAnsi="Aptos"/>
                <w:b w:val="0"/>
                <w:sz w:val="16"/>
              </w:rPr>
              <w:t>Monitoring conditions configured</w:t>
            </w:r>
          </w:p>
        </w:tc>
        <w:tc>
          <w:tcPr>
            <w:tcW w:type="dxa" w:w="2160"/>
            <w:tcMar>
              <w:top w:w="70" w:type="dxa"/>
              <w:start w:w="80" w:type="dxa"/>
              <w:bottom w:w="70" w:type="dxa"/>
              <w:end w:w="80" w:type="dxa"/>
            </w:tcMar>
            <w:vAlign w:val="top"/>
            <w:shd w:fill="F7FAFC"/>
          </w:tcPr>
          <w:p>
            <w:r>
              <w:rPr>
                <w:rFonts w:ascii="Aptos" w:hAnsi="Aptos"/>
                <w:b w:val="0"/>
                <w:sz w:val="16"/>
              </w:rPr>
              <w:t>AML Monitoring</w:t>
            </w:r>
          </w:p>
        </w:tc>
        <w:tc>
          <w:tcPr>
            <w:tcW w:type="dxa" w:w="3168"/>
            <w:tcMar>
              <w:top w:w="70" w:type="dxa"/>
              <w:start w:w="80" w:type="dxa"/>
              <w:bottom w:w="70" w:type="dxa"/>
              <w:end w:w="80" w:type="dxa"/>
            </w:tcMar>
            <w:vAlign w:val="top"/>
            <w:shd w:fill="F7FAFC"/>
          </w:tcPr>
          <w:p>
            <w:r>
              <w:rPr>
                <w:rFonts w:ascii="Aptos" w:hAnsi="Aptos"/>
                <w:b w:val="0"/>
                <w:sz w:val="16"/>
              </w:rPr>
              <w:t>Date/time + evidence reference + outcome</w:t>
            </w:r>
          </w:p>
        </w:tc>
      </w:tr>
      <w:tr>
        <w:tc>
          <w:tcPr>
            <w:tcW w:type="dxa" w:w="864"/>
            <w:tcMar>
              <w:top w:w="70" w:type="dxa"/>
              <w:start w:w="80" w:type="dxa"/>
              <w:bottom w:w="70" w:type="dxa"/>
              <w:end w:w="80" w:type="dxa"/>
            </w:tcMar>
            <w:vAlign w:val="top"/>
          </w:tcPr>
          <w:p>
            <w:r>
              <w:rPr>
                <w:rFonts w:ascii="Aptos" w:hAnsi="Aptos"/>
                <w:b w:val="0"/>
                <w:sz w:val="16"/>
              </w:rPr>
              <w:t>17</w:t>
            </w:r>
          </w:p>
        </w:tc>
        <w:tc>
          <w:tcPr>
            <w:tcW w:type="dxa" w:w="4608"/>
            <w:tcMar>
              <w:top w:w="70" w:type="dxa"/>
              <w:start w:w="80" w:type="dxa"/>
              <w:bottom w:w="70" w:type="dxa"/>
              <w:end w:w="80" w:type="dxa"/>
            </w:tcMar>
            <w:vAlign w:val="top"/>
          </w:tcPr>
          <w:p>
            <w:r>
              <w:rPr>
                <w:rFonts w:ascii="Aptos" w:hAnsi="Aptos"/>
                <w:b w:val="0"/>
                <w:sz w:val="16"/>
              </w:rPr>
              <w:t>CDD/KYC status updated</w:t>
            </w:r>
          </w:p>
        </w:tc>
        <w:tc>
          <w:tcPr>
            <w:tcW w:type="dxa" w:w="2160"/>
            <w:tcMar>
              <w:top w:w="70" w:type="dxa"/>
              <w:start w:w="80" w:type="dxa"/>
              <w:bottom w:w="70" w:type="dxa"/>
              <w:end w:w="80" w:type="dxa"/>
            </w:tcMar>
            <w:vAlign w:val="top"/>
          </w:tcPr>
          <w:p>
            <w:r>
              <w:rPr>
                <w:rFonts w:ascii="Aptos" w:hAnsi="Aptos"/>
                <w:b w:val="0"/>
                <w:sz w:val="16"/>
              </w:rPr>
              <w:t>KYC Operations</w:t>
            </w:r>
          </w:p>
        </w:tc>
        <w:tc>
          <w:tcPr>
            <w:tcW w:type="dxa" w:w="3168"/>
            <w:tcMar>
              <w:top w:w="70" w:type="dxa"/>
              <w:start w:w="80" w:type="dxa"/>
              <w:bottom w:w="70" w:type="dxa"/>
              <w:end w:w="80" w:type="dxa"/>
            </w:tcMar>
            <w:vAlign w:val="top"/>
          </w:tcPr>
          <w:p>
            <w:r>
              <w:rPr>
                <w:rFonts w:ascii="Aptos" w:hAnsi="Aptos"/>
                <w:b w:val="0"/>
                <w:sz w:val="16"/>
              </w:rPr>
              <w:t>Date/time + evidence reference + outcome</w:t>
            </w:r>
          </w:p>
        </w:tc>
      </w:tr>
      <w:tr>
        <w:tc>
          <w:tcPr>
            <w:tcW w:type="dxa" w:w="864"/>
            <w:tcMar>
              <w:top w:w="70" w:type="dxa"/>
              <w:start w:w="80" w:type="dxa"/>
              <w:bottom w:w="70" w:type="dxa"/>
              <w:end w:w="80" w:type="dxa"/>
            </w:tcMar>
            <w:vAlign w:val="top"/>
            <w:shd w:fill="F7FAFC"/>
          </w:tcPr>
          <w:p>
            <w:r>
              <w:rPr>
                <w:rFonts w:ascii="Aptos" w:hAnsi="Aptos"/>
                <w:b w:val="0"/>
                <w:sz w:val="16"/>
              </w:rPr>
              <w:t>18</w:t>
            </w:r>
          </w:p>
        </w:tc>
        <w:tc>
          <w:tcPr>
            <w:tcW w:type="dxa" w:w="4608"/>
            <w:tcMar>
              <w:top w:w="70" w:type="dxa"/>
              <w:start w:w="80" w:type="dxa"/>
              <w:bottom w:w="70" w:type="dxa"/>
              <w:end w:w="80" w:type="dxa"/>
            </w:tcMar>
            <w:vAlign w:val="top"/>
            <w:shd w:fill="F7FAFC"/>
          </w:tcPr>
          <w:p>
            <w:r>
              <w:rPr>
                <w:rFonts w:ascii="Aptos" w:hAnsi="Aptos"/>
                <w:b w:val="0"/>
                <w:sz w:val="16"/>
              </w:rPr>
              <w:t>Customer communication completed where permitted</w:t>
            </w:r>
          </w:p>
        </w:tc>
        <w:tc>
          <w:tcPr>
            <w:tcW w:type="dxa" w:w="2160"/>
            <w:tcMar>
              <w:top w:w="70" w:type="dxa"/>
              <w:start w:w="80" w:type="dxa"/>
              <w:bottom w:w="70" w:type="dxa"/>
              <w:end w:w="80" w:type="dxa"/>
            </w:tcMar>
            <w:vAlign w:val="top"/>
            <w:shd w:fill="F7FAFC"/>
          </w:tcPr>
          <w:p>
            <w:r>
              <w:rPr>
                <w:rFonts w:ascii="Aptos" w:hAnsi="Aptos"/>
                <w:b w:val="0"/>
                <w:sz w:val="16"/>
              </w:rPr>
              <w:t>Business/Operations</w:t>
            </w:r>
          </w:p>
        </w:tc>
        <w:tc>
          <w:tcPr>
            <w:tcW w:type="dxa" w:w="3168"/>
            <w:tcMar>
              <w:top w:w="70" w:type="dxa"/>
              <w:start w:w="80" w:type="dxa"/>
              <w:bottom w:w="70" w:type="dxa"/>
              <w:end w:w="80" w:type="dxa"/>
            </w:tcMar>
            <w:vAlign w:val="top"/>
            <w:shd w:fill="F7FAFC"/>
          </w:tcPr>
          <w:p>
            <w:r>
              <w:rPr>
                <w:rFonts w:ascii="Aptos" w:hAnsi="Aptos"/>
                <w:b w:val="0"/>
                <w:sz w:val="16"/>
              </w:rPr>
              <w:t>Date/time + evidence reference + outcome</w:t>
            </w:r>
          </w:p>
        </w:tc>
      </w:tr>
      <w:tr>
        <w:tc>
          <w:tcPr>
            <w:tcW w:type="dxa" w:w="864"/>
            <w:tcMar>
              <w:top w:w="70" w:type="dxa"/>
              <w:start w:w="80" w:type="dxa"/>
              <w:bottom w:w="70" w:type="dxa"/>
              <w:end w:w="80" w:type="dxa"/>
            </w:tcMar>
            <w:vAlign w:val="top"/>
          </w:tcPr>
          <w:p>
            <w:r>
              <w:rPr>
                <w:rFonts w:ascii="Aptos" w:hAnsi="Aptos"/>
                <w:b w:val="0"/>
                <w:sz w:val="16"/>
              </w:rPr>
              <w:t>19</w:t>
            </w:r>
          </w:p>
        </w:tc>
        <w:tc>
          <w:tcPr>
            <w:tcW w:type="dxa" w:w="4608"/>
            <w:tcMar>
              <w:top w:w="70" w:type="dxa"/>
              <w:start w:w="80" w:type="dxa"/>
              <w:bottom w:w="70" w:type="dxa"/>
              <w:end w:w="80" w:type="dxa"/>
            </w:tcMar>
            <w:vAlign w:val="top"/>
          </w:tcPr>
          <w:p>
            <w:r>
              <w:rPr>
                <w:rFonts w:ascii="Aptos" w:hAnsi="Aptos"/>
                <w:b w:val="0"/>
                <w:sz w:val="16"/>
              </w:rPr>
              <w:t>QA sampling flag set</w:t>
            </w:r>
          </w:p>
        </w:tc>
        <w:tc>
          <w:tcPr>
            <w:tcW w:type="dxa" w:w="2160"/>
            <w:tcMar>
              <w:top w:w="70" w:type="dxa"/>
              <w:start w:w="80" w:type="dxa"/>
              <w:bottom w:w="70" w:type="dxa"/>
              <w:end w:w="80" w:type="dxa"/>
            </w:tcMar>
            <w:vAlign w:val="top"/>
          </w:tcPr>
          <w:p>
            <w:r>
              <w:rPr>
                <w:rFonts w:ascii="Aptos" w:hAnsi="Aptos"/>
                <w:b w:val="0"/>
                <w:sz w:val="16"/>
              </w:rPr>
              <w:t>AML QA</w:t>
            </w:r>
          </w:p>
        </w:tc>
        <w:tc>
          <w:tcPr>
            <w:tcW w:type="dxa" w:w="3168"/>
            <w:tcMar>
              <w:top w:w="70" w:type="dxa"/>
              <w:start w:w="80" w:type="dxa"/>
              <w:bottom w:w="70" w:type="dxa"/>
              <w:end w:w="80" w:type="dxa"/>
            </w:tcMar>
            <w:vAlign w:val="top"/>
          </w:tcPr>
          <w:p>
            <w:r>
              <w:rPr>
                <w:rFonts w:ascii="Aptos" w:hAnsi="Aptos"/>
                <w:b w:val="0"/>
                <w:sz w:val="16"/>
              </w:rPr>
              <w:t>Date/time + evidence reference + outcome</w:t>
            </w:r>
          </w:p>
        </w:tc>
      </w:tr>
      <w:tr>
        <w:tc>
          <w:tcPr>
            <w:tcW w:type="dxa" w:w="864"/>
            <w:tcMar>
              <w:top w:w="70" w:type="dxa"/>
              <w:start w:w="80" w:type="dxa"/>
              <w:bottom w:w="70" w:type="dxa"/>
              <w:end w:w="80" w:type="dxa"/>
            </w:tcMar>
            <w:vAlign w:val="top"/>
            <w:shd w:fill="F7FAFC"/>
          </w:tcPr>
          <w:p>
            <w:r>
              <w:rPr>
                <w:rFonts w:ascii="Aptos" w:hAnsi="Aptos"/>
                <w:b w:val="0"/>
                <w:sz w:val="16"/>
              </w:rPr>
              <w:t>20</w:t>
            </w:r>
          </w:p>
        </w:tc>
        <w:tc>
          <w:tcPr>
            <w:tcW w:type="dxa" w:w="4608"/>
            <w:tcMar>
              <w:top w:w="70" w:type="dxa"/>
              <w:start w:w="80" w:type="dxa"/>
              <w:bottom w:w="70" w:type="dxa"/>
              <w:end w:w="80" w:type="dxa"/>
            </w:tcMar>
            <w:vAlign w:val="top"/>
            <w:shd w:fill="F7FAFC"/>
          </w:tcPr>
          <w:p>
            <w:r>
              <w:rPr>
                <w:rFonts w:ascii="Aptos" w:hAnsi="Aptos"/>
                <w:b w:val="0"/>
                <w:sz w:val="16"/>
              </w:rPr>
              <w:t>Case closed with versioned evidence index</w:t>
            </w:r>
          </w:p>
        </w:tc>
        <w:tc>
          <w:tcPr>
            <w:tcW w:type="dxa" w:w="2160"/>
            <w:tcMar>
              <w:top w:w="70" w:type="dxa"/>
              <w:start w:w="80" w:type="dxa"/>
              <w:bottom w:w="70" w:type="dxa"/>
              <w:end w:w="80" w:type="dxa"/>
            </w:tcMar>
            <w:vAlign w:val="top"/>
            <w:shd w:fill="F7FAFC"/>
          </w:tcPr>
          <w:p>
            <w:r>
              <w:rPr>
                <w:rFonts w:ascii="Aptos" w:hAnsi="Aptos"/>
                <w:b w:val="0"/>
                <w:sz w:val="16"/>
              </w:rPr>
              <w:t>Case owner</w:t>
            </w:r>
          </w:p>
        </w:tc>
        <w:tc>
          <w:tcPr>
            <w:tcW w:type="dxa" w:w="3168"/>
            <w:tcMar>
              <w:top w:w="70" w:type="dxa"/>
              <w:start w:w="80" w:type="dxa"/>
              <w:bottom w:w="70" w:type="dxa"/>
              <w:end w:w="80" w:type="dxa"/>
            </w:tcMar>
            <w:vAlign w:val="top"/>
            <w:shd w:fill="F7FAFC"/>
          </w:tcPr>
          <w:p>
            <w:r>
              <w:rPr>
                <w:rFonts w:ascii="Aptos" w:hAnsi="Aptos"/>
                <w:b w:val="0"/>
                <w:sz w:val="16"/>
              </w:rPr>
              <w:t>Date/time + evidence reference + outcome</w:t>
            </w:r>
          </w:p>
        </w:tc>
      </w:tr>
    </w:tbl>
    <w:p/>
    <w:p>
      <w:r>
        <w:br w:type="page"/>
      </w:r>
    </w:p>
    <w:p>
      <w:pPr>
        <w:pStyle w:val="Heading1"/>
      </w:pPr>
      <w:r>
        <w:t>Appendix F — EDD Quality Assurance Checklist</w:t>
      </w:r>
    </w:p>
    <w:p>
      <w:pPr>
        <w:pStyle w:val="ControlBullet"/>
      </w:pPr>
      <w:r>
        <w:rPr>
          <w:b/>
        </w:rPr>
        <w:t xml:space="preserve">• </w:t>
      </w:r>
      <w:r>
        <w:t>The case trigger is specific and supported by evidence, not a generic “high risk” label.</w:t>
      </w:r>
    </w:p>
    <w:p>
      <w:pPr>
        <w:pStyle w:val="ControlBullet"/>
      </w:pPr>
      <w:r>
        <w:rPr>
          <w:b/>
        </w:rPr>
        <w:t xml:space="preserve">• </w:t>
      </w:r>
      <w:r>
        <w:t>The investigation plan addresses the material risk questions and was updated where new issues arose.</w:t>
      </w:r>
    </w:p>
    <w:p>
      <w:pPr>
        <w:pStyle w:val="ControlBullet"/>
      </w:pPr>
      <w:r>
        <w:rPr>
          <w:b/>
        </w:rPr>
        <w:t xml:space="preserve">• </w:t>
      </w:r>
      <w:r>
        <w:t>Restrictions were applied promptly where required for sanctions, identity or material unresolved risk.</w:t>
      </w:r>
    </w:p>
    <w:p>
      <w:pPr>
        <w:pStyle w:val="ControlBullet"/>
      </w:pPr>
      <w:r>
        <w:rPr>
          <w:b/>
        </w:rPr>
        <w:t xml:space="preserve">• </w:t>
      </w:r>
      <w:r>
        <w:t>Customer information requests were proportionate and linked to the risk question.</w:t>
      </w:r>
    </w:p>
    <w:p>
      <w:pPr>
        <w:pStyle w:val="ControlBullet"/>
      </w:pPr>
      <w:r>
        <w:rPr>
          <w:b/>
        </w:rPr>
        <w:t xml:space="preserve">• </w:t>
      </w:r>
      <w:r>
        <w:t>Independent evidence was used where customer statements alone were insufficient.</w:t>
      </w:r>
    </w:p>
    <w:p>
      <w:pPr>
        <w:pStyle w:val="ControlBullet"/>
      </w:pPr>
      <w:r>
        <w:rPr>
          <w:b/>
        </w:rPr>
        <w:t xml:space="preserve">• </w:t>
      </w:r>
      <w:r>
        <w:t>SoF and SoW were distinguished correctly and each was requested only when relevant.</w:t>
      </w:r>
    </w:p>
    <w:p>
      <w:pPr>
        <w:pStyle w:val="ControlBullet"/>
      </w:pPr>
      <w:r>
        <w:rPr>
          <w:b/>
        </w:rPr>
        <w:t xml:space="preserve">• </w:t>
      </w:r>
      <w:r>
        <w:t>Ownership analysis identifies natural persons and control rights, including intermediate layers where material.</w:t>
      </w:r>
    </w:p>
    <w:p>
      <w:pPr>
        <w:pStyle w:val="ControlBullet"/>
      </w:pPr>
      <w:r>
        <w:rPr>
          <w:b/>
        </w:rPr>
        <w:t xml:space="preserve">• </w:t>
      </w:r>
      <w:r>
        <w:t>PEP/adverse-information conclusions show subject match, source reliability, recency, severity and outcome.</w:t>
      </w:r>
    </w:p>
    <w:p>
      <w:pPr>
        <w:pStyle w:val="ControlBullet"/>
      </w:pPr>
      <w:r>
        <w:rPr>
          <w:b/>
        </w:rPr>
        <w:t xml:space="preserve">• </w:t>
      </w:r>
      <w:r>
        <w:t>Transaction analysis covers relevant counterparties, chronology and economic purpose.</w:t>
      </w:r>
    </w:p>
    <w:p>
      <w:pPr>
        <w:pStyle w:val="ControlBullet"/>
      </w:pPr>
      <w:r>
        <w:rPr>
          <w:b/>
        </w:rPr>
        <w:t xml:space="preserve">• </w:t>
      </w:r>
      <w:r>
        <w:t>Contradictions are resolved or explicitly carried into residual risk; none are silently ignored.</w:t>
      </w:r>
    </w:p>
    <w:p>
      <w:pPr>
        <w:pStyle w:val="ControlBullet"/>
      </w:pPr>
      <w:r>
        <w:rPr>
          <w:b/>
        </w:rPr>
        <w:t xml:space="preserve">• </w:t>
      </w:r>
      <w:r>
        <w:t>CRR-033 score, mandatory floors and overrides are correctly applied and versioned.</w:t>
      </w:r>
    </w:p>
    <w:p>
      <w:pPr>
        <w:pStyle w:val="ControlBullet"/>
      </w:pPr>
      <w:r>
        <w:rPr>
          <w:b/>
        </w:rPr>
        <w:t xml:space="preserve">• </w:t>
      </w:r>
      <w:r>
        <w:t>Final outcome, approval authority and monitoring conditions correspond to the residual risk.</w:t>
      </w:r>
    </w:p>
    <w:p>
      <w:pPr>
        <w:pStyle w:val="ControlBullet"/>
      </w:pPr>
      <w:r>
        <w:rPr>
          <w:b/>
        </w:rPr>
        <w:t xml:space="preserve">• </w:t>
      </w:r>
      <w:r>
        <w:t>Historical scenario/policy versions are preserved for alerts or cases initiated under prior configurations.</w:t>
      </w:r>
    </w:p>
    <w:p>
      <w:pPr>
        <w:pStyle w:val="ControlBullet"/>
      </w:pPr>
      <w:r>
        <w:rPr>
          <w:b/>
        </w:rPr>
        <w:t xml:space="preserve">• </w:t>
      </w:r>
      <w:r>
        <w:t>Any breach or control failure is recorded separately from the customer-risk decision.</w:t>
      </w:r>
    </w:p>
    <w:p>
      <w:pPr>
        <w:pStyle w:val="ControlBullet"/>
      </w:pPr>
      <w:r>
        <w:rPr>
          <w:b/>
        </w:rPr>
        <w:t xml:space="preserve">• </w:t>
      </w:r>
      <w:r>
        <w:t>Closure evidence is sufficient for an independent reviewer to reconstruct the decision.</w:t>
      </w:r>
    </w:p>
    <w:p>
      <w:pPr>
        <w:jc w:val="center"/>
      </w:pPr>
      <w:r>
        <w:rPr>
          <w:rFonts w:ascii="Aptos" w:hAnsi="Aptos"/>
          <w:b/>
          <w:color w:val="666666"/>
          <w:sz w:val="16"/>
        </w:rPr>
        <w:t>END OF CONTROLLED DOCUMENT</w:t>
      </w:r>
    </w:p>
    <w:sectPr w:rsidR="00FC693F" w:rsidRPr="0006063C" w:rsidSect="00034616">
      <w:headerReference w:type="default" r:id="rId9"/>
      <w:footerReference w:type="default" r:id="rId10"/>
      <w:pgSz w:w="12240" w:h="15840"/>
      <w:pgMar w:top="792" w:right="936" w:bottom="835"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456"/>
      <w:gridCol w:w="3456"/>
      <w:gridCol w:w="3456"/>
    </w:tblGrid>
    <w:tr>
      <w:tc>
        <w:tcPr>
          <w:tcW w:type="dxa" w:w="3312"/>
          <w:tcMar>
            <w:top w:w="20" w:type="dxa"/>
            <w:start w:w="20" w:type="dxa"/>
            <w:bottom w:w="20" w:type="dxa"/>
            <w:end w:w="20" w:type="dxa"/>
          </w:tcMar>
        </w:tcPr>
        <w:p>
          <w:r>
            <w:rPr>
              <w:rFonts w:ascii="Aptos" w:hAnsi="Aptos"/>
              <w:color w:val="666666"/>
              <w:sz w:val="14"/>
            </w:rPr>
            <w:t>EDD-032 | v1.0</w:t>
          </w:r>
        </w:p>
      </w:tc>
      <w:tc>
        <w:tcPr>
          <w:tcW w:type="dxa" w:w="4032"/>
          <w:tcMar>
            <w:top w:w="20" w:type="dxa"/>
            <w:start w:w="20" w:type="dxa"/>
            <w:bottom w:w="20" w:type="dxa"/>
            <w:end w:w="20" w:type="dxa"/>
          </w:tcMar>
        </w:tcPr>
        <w:p>
          <w:pPr>
            <w:jc w:val="center"/>
          </w:pPr>
          <w:r>
            <w:rPr>
              <w:rFonts w:ascii="Aptos" w:hAnsi="Aptos"/>
              <w:color w:val="666666"/>
              <w:sz w:val="14"/>
            </w:rPr>
            <w:t>Synthetic Internal Document</w:t>
          </w:r>
        </w:p>
      </w:tc>
      <w:tc>
        <w:tcPr>
          <w:tcW w:type="dxa" w:w="3024"/>
          <w:tcMar>
            <w:top w:w="20" w:type="dxa"/>
            <w:start w:w="20" w:type="dxa"/>
            <w:bottom w:w="20" w:type="dxa"/>
            <w:end w:w="20" w:type="dxa"/>
          </w:tcMar>
        </w:tcPr>
        <w:p>
          <w:pPr>
            <w:jc w:val="right"/>
          </w:pPr>
          <w:r>
            <w:rPr>
              <w:rFonts w:ascii="Aptos" w:hAnsi="Aptos"/>
              <w:color w:val="666666"/>
              <w:sz w:val="14"/>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5"/>
      </w:rPr>
      <w:t>NORTHSTAR FINANCIAL  |  INTERNAL —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6666"/>
      <w:sz w:val="16"/>
    </w:rPr>
  </w:style>
  <w:style w:type="paragraph" w:customStyle="1" w:styleId="ControlBullet">
    <w:name w:val="Control Bullet"/>
    <w:pPr>
      <w:spacing w:after="44"/>
      <w:ind w:left="259" w:hanging="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