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Fraud Escalation Procedure</w:t>
      </w:r>
    </w:p>
    <w:p>
      <w:pPr>
        <w:jc w:val="center"/>
      </w:pPr>
      <w:r>
        <w:rPr>
          <w:sz w:val="20"/>
        </w:rPr>
        <w:t>FEP-062  |  Version 1.2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FEP-062</w:t>
            </w:r>
          </w:p>
        </w:tc>
      </w:tr>
      <w:tr>
        <w:tc>
          <w:tcPr>
            <w:tcW w:type="dxa" w:w="5170"/>
            <w:vAlign w:val="center"/>
            <w:shd w:fill="D9EAF7"/>
          </w:tcPr>
          <w:p>
            <w:r/>
            <w:r>
              <w:rPr>
                <w:b/>
                <w:color w:val="17365D"/>
                <w:sz w:val="16"/>
              </w:rPr>
              <w:t>Document Title</w:t>
            </w:r>
          </w:p>
        </w:tc>
        <w:tc>
          <w:tcPr>
            <w:tcW w:type="dxa" w:w="5170"/>
            <w:vAlign w:val="center"/>
          </w:tcPr>
          <w:p>
            <w:r/>
            <w:r>
              <w:rPr>
                <w:b w:val="0"/>
                <w:sz w:val="16"/>
              </w:rPr>
              <w:t>Fraud Escalation Procedure</w:t>
            </w:r>
          </w:p>
        </w:tc>
      </w:tr>
      <w:tr>
        <w:tc>
          <w:tcPr>
            <w:tcW w:type="dxa" w:w="5170"/>
            <w:vAlign w:val="center"/>
            <w:shd w:fill="D9EAF7"/>
          </w:tcPr>
          <w:p>
            <w:r/>
            <w:r>
              <w:rPr>
                <w:b/>
                <w:color w:val="17365D"/>
                <w:sz w:val="16"/>
              </w:rPr>
              <w:t>Version</w:t>
            </w:r>
          </w:p>
        </w:tc>
        <w:tc>
          <w:tcPr>
            <w:tcW w:type="dxa" w:w="5170"/>
            <w:vAlign w:val="center"/>
          </w:tcPr>
          <w:p>
            <w:r/>
            <w:r>
              <w:rPr>
                <w:b w:val="0"/>
                <w:sz w:val="16"/>
              </w:rPr>
              <w:t>1.2</w:t>
            </w:r>
          </w:p>
        </w:tc>
      </w:tr>
      <w:tr>
        <w:tc>
          <w:tcPr>
            <w:tcW w:type="dxa" w:w="5170"/>
            <w:vAlign w:val="center"/>
            <w:shd w:fill="D9EAF7"/>
          </w:tcPr>
          <w:p>
            <w:r/>
            <w:r>
              <w:rPr>
                <w:b/>
                <w:color w:val="17365D"/>
                <w:sz w:val="16"/>
              </w:rPr>
              <w:t>Policy Owner</w:t>
            </w:r>
          </w:p>
        </w:tc>
        <w:tc>
          <w:tcPr>
            <w:tcW w:type="dxa" w:w="5170"/>
            <w:vAlign w:val="center"/>
          </w:tcPr>
          <w:p>
            <w:r/>
            <w:r>
              <w:rPr>
                <w:b w:val="0"/>
                <w:sz w:val="16"/>
              </w:rPr>
              <w:t>Aditi Khanna — Head of Fraud Risk</w:t>
            </w:r>
          </w:p>
        </w:tc>
      </w:tr>
      <w:tr>
        <w:tc>
          <w:tcPr>
            <w:tcW w:type="dxa" w:w="5170"/>
            <w:vAlign w:val="center"/>
            <w:shd w:fill="D9EAF7"/>
          </w:tcPr>
          <w:p>
            <w:r/>
            <w:r>
              <w:rPr>
                <w:b/>
                <w:color w:val="17365D"/>
                <w:sz w:val="16"/>
              </w:rPr>
              <w:t>Business Unit</w:t>
            </w:r>
          </w:p>
        </w:tc>
        <w:tc>
          <w:tcPr>
            <w:tcW w:type="dxa" w:w="5170"/>
            <w:vAlign w:val="center"/>
          </w:tcPr>
          <w:p>
            <w:r/>
            <w:r>
              <w:rPr>
                <w:b w:val="0"/>
                <w:sz w:val="16"/>
              </w:rPr>
              <w:t>Fraud Risk / Operations / Financial Crime</w:t>
            </w:r>
          </w:p>
        </w:tc>
      </w:tr>
      <w:tr>
        <w:tc>
          <w:tcPr>
            <w:tcW w:type="dxa" w:w="5170"/>
            <w:vAlign w:val="center"/>
            <w:shd w:fill="D9EAF7"/>
          </w:tcPr>
          <w:p>
            <w:r/>
            <w:r>
              <w:rPr>
                <w:b/>
                <w:color w:val="17365D"/>
                <w:sz w:val="16"/>
              </w:rPr>
              <w:t>Approving Authority</w:t>
            </w:r>
          </w:p>
        </w:tc>
        <w:tc>
          <w:tcPr>
            <w:tcW w:type="dxa" w:w="5170"/>
            <w:vAlign w:val="center"/>
          </w:tcPr>
          <w:p>
            <w:r/>
            <w:r>
              <w:rPr>
                <w:b w:val="0"/>
                <w:sz w:val="16"/>
              </w:rPr>
              <w:t>Fraud &amp; Financial Crime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 July 2026</w:t>
            </w:r>
          </w:p>
        </w:tc>
      </w:tr>
      <w:tr>
        <w:tc>
          <w:tcPr>
            <w:tcW w:type="dxa" w:w="5170"/>
            <w:vAlign w:val="center"/>
            <w:shd w:fill="D9EAF7"/>
          </w:tcPr>
          <w:p>
            <w:r/>
            <w:r>
              <w:rPr>
                <w:b/>
                <w:color w:val="17365D"/>
                <w:sz w:val="16"/>
              </w:rPr>
              <w:t>Previous Version</w:t>
            </w:r>
          </w:p>
        </w:tc>
        <w:tc>
          <w:tcPr>
            <w:tcW w:type="dxa" w:w="5170"/>
            <w:vAlign w:val="center"/>
          </w:tcPr>
          <w:p>
            <w:r/>
            <w:r>
              <w:rPr>
                <w:b w:val="0"/>
                <w:sz w:val="16"/>
              </w:rPr>
              <w:t>1.1</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FEP-062 v1.1</w:t>
            </w:r>
          </w:p>
        </w:tc>
      </w:tr>
      <w:tr>
        <w:tc>
          <w:tcPr>
            <w:tcW w:type="dxa" w:w="5170"/>
            <w:vAlign w:val="center"/>
            <w:shd w:fill="D9EAF7"/>
          </w:tcPr>
          <w:p>
            <w:r/>
            <w:r>
              <w:rPr>
                <w:b/>
                <w:color w:val="17365D"/>
                <w:sz w:val="16"/>
              </w:rPr>
              <w:t>Related Documents</w:t>
            </w:r>
          </w:p>
        </w:tc>
        <w:tc>
          <w:tcPr>
            <w:tcW w:type="dxa" w:w="5170"/>
            <w:vAlign w:val="center"/>
          </w:tcPr>
          <w:p>
            <w:r/>
            <w:r>
              <w:rPr>
                <w:b w:val="0"/>
                <w:sz w:val="16"/>
              </w:rPr>
              <w:t>LOP-002; PLU-011; LDP-013; KYC-004; AML-003; CDD-005; EDD-032; SIR-052; CBP-043; ORI-064</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1.0</w:t>
            </w:r>
          </w:p>
        </w:tc>
        <w:tc>
          <w:tcPr>
            <w:tcW w:type="dxa" w:w="2585"/>
            <w:vAlign w:val="center"/>
          </w:tcPr>
          <w:p>
            <w:r/>
            <w:r>
              <w:rPr>
                <w:b w:val="0"/>
                <w:sz w:val="14"/>
              </w:rPr>
              <w:t>1 Aug 2024</w:t>
            </w:r>
          </w:p>
        </w:tc>
        <w:tc>
          <w:tcPr>
            <w:tcW w:type="dxa" w:w="2585"/>
            <w:vAlign w:val="center"/>
          </w:tcPr>
          <w:p>
            <w:r/>
            <w:r>
              <w:rPr>
                <w:b w:val="0"/>
                <w:sz w:val="14"/>
              </w:rPr>
              <w:t>Introduced centralized fraud-referral workflow.</w:t>
            </w:r>
          </w:p>
        </w:tc>
        <w:tc>
          <w:tcPr>
            <w:tcW w:type="dxa" w:w="2585"/>
            <w:vAlign w:val="center"/>
          </w:tcPr>
          <w:p>
            <w:r/>
            <w:r>
              <w:rPr>
                <w:b w:val="0"/>
                <w:sz w:val="14"/>
              </w:rPr>
              <w:t>Chief Risk Officer</w:t>
            </w:r>
          </w:p>
        </w:tc>
      </w:tr>
      <w:tr>
        <w:tc>
          <w:tcPr>
            <w:tcW w:type="dxa" w:w="2585"/>
            <w:vAlign w:val="center"/>
          </w:tcPr>
          <w:p>
            <w:r/>
            <w:r>
              <w:rPr>
                <w:b w:val="0"/>
                <w:sz w:val="14"/>
              </w:rPr>
              <w:t>1.1</w:t>
            </w:r>
          </w:p>
        </w:tc>
        <w:tc>
          <w:tcPr>
            <w:tcW w:type="dxa" w:w="2585"/>
            <w:vAlign w:val="center"/>
          </w:tcPr>
          <w:p>
            <w:r/>
            <w:r>
              <w:rPr>
                <w:b w:val="0"/>
                <w:sz w:val="14"/>
              </w:rPr>
              <w:t>1 Oct 2025</w:t>
            </w:r>
          </w:p>
        </w:tc>
        <w:tc>
          <w:tcPr>
            <w:tcW w:type="dxa" w:w="2585"/>
            <w:vAlign w:val="center"/>
          </w:tcPr>
          <w:p>
            <w:r/>
            <w:r>
              <w:rPr>
                <w:b w:val="0"/>
                <w:sz w:val="14"/>
              </w:rPr>
              <w:t>Added digital onboarding and mule-account indicators.</w:t>
            </w:r>
          </w:p>
        </w:tc>
        <w:tc>
          <w:tcPr>
            <w:tcW w:type="dxa" w:w="2585"/>
            <w:vAlign w:val="center"/>
          </w:tcPr>
          <w:p>
            <w:r/>
            <w:r>
              <w:rPr>
                <w:b w:val="0"/>
                <w:sz w:val="14"/>
              </w:rPr>
              <w:t>Fraud &amp; Financial Crime Committee</w:t>
            </w:r>
          </w:p>
        </w:tc>
      </w:tr>
      <w:tr>
        <w:tc>
          <w:tcPr>
            <w:tcW w:type="dxa" w:w="2585"/>
            <w:vAlign w:val="center"/>
          </w:tcPr>
          <w:p>
            <w:r/>
            <w:r>
              <w:rPr>
                <w:b w:val="0"/>
                <w:sz w:val="14"/>
              </w:rPr>
              <w:t>1.2</w:t>
            </w:r>
          </w:p>
        </w:tc>
        <w:tc>
          <w:tcPr>
            <w:tcW w:type="dxa" w:w="2585"/>
            <w:vAlign w:val="center"/>
          </w:tcPr>
          <w:p>
            <w:r/>
            <w:r>
              <w:rPr>
                <w:b w:val="0"/>
                <w:sz w:val="14"/>
              </w:rPr>
              <w:t>1 Jul 2026</w:t>
            </w:r>
          </w:p>
        </w:tc>
        <w:tc>
          <w:tcPr>
            <w:tcW w:type="dxa" w:w="2585"/>
            <w:vAlign w:val="center"/>
          </w:tcPr>
          <w:p>
            <w:r/>
            <w:r>
              <w:rPr>
                <w:b w:val="0"/>
                <w:sz w:val="14"/>
              </w:rPr>
              <w:t>Aligned credential compromise, vendor, insider and payment-diversion escalation to 2026 controls.</w:t>
            </w:r>
          </w:p>
        </w:tc>
        <w:tc>
          <w:tcPr>
            <w:tcW w:type="dxa" w:w="2585"/>
            <w:vAlign w:val="center"/>
          </w:tcPr>
          <w:p>
            <w:r/>
            <w:r>
              <w:rPr>
                <w:b w:val="0"/>
                <w:sz w:val="14"/>
              </w:rPr>
              <w:t>Fraud &amp; Financial Crime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how suspected fraud indicators are identified, contained, referred, investigated and escalated across Northstar Financial.</w:t>
      </w:r>
    </w:p>
    <w:p>
      <w:pPr>
        <w:pStyle w:val="Heading1"/>
      </w:pPr>
      <w:r>
        <w:t>2. Scope</w:t>
      </w:r>
    </w:p>
    <w:p>
      <w:r>
        <w:t>The Procedure applies to customer applications, lending, payments, account activity, documents, employee conduct, vendor activity, digital channels, KYC/AML cases and investment/operations processes.</w:t>
      </w:r>
    </w:p>
    <w:p>
      <w:pPr>
        <w:pStyle w:val="Heading1"/>
      </w:pPr>
      <w:r>
        <w:t>3. Fraud Principles</w:t>
      </w:r>
    </w:p>
    <w:p>
      <w:r>
        <w:t>Suspicion is not proof, but credible indicators shall not be ignored merely because a transaction or application otherwise meets commercial criteria.</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Principle</w:t>
            </w:r>
          </w:p>
        </w:tc>
        <w:tc>
          <w:tcPr>
            <w:tcW w:type="dxa" w:w="5170"/>
            <w:vAlign w:val="center"/>
            <w:shd w:fill="17365D"/>
          </w:tcPr>
          <w:p>
            <w:r/>
            <w:r>
              <w:rPr>
                <w:b/>
                <w:color w:val="FFFFFF"/>
                <w:sz w:val="15"/>
              </w:rPr>
              <w:t>Treatment</w:t>
            </w:r>
          </w:p>
        </w:tc>
      </w:tr>
      <w:tr>
        <w:tc>
          <w:tcPr>
            <w:tcW w:type="dxa" w:w="5170"/>
            <w:vAlign w:val="center"/>
          </w:tcPr>
          <w:p>
            <w:r/>
            <w:r>
              <w:rPr>
                <w:b w:val="0"/>
                <w:sz w:val="14"/>
              </w:rPr>
              <w:t>Preserve evidence</w:t>
            </w:r>
          </w:p>
        </w:tc>
        <w:tc>
          <w:tcPr>
            <w:tcW w:type="dxa" w:w="5170"/>
            <w:vAlign w:val="center"/>
          </w:tcPr>
          <w:p>
            <w:r/>
            <w:r>
              <w:rPr>
                <w:b w:val="0"/>
                <w:sz w:val="14"/>
              </w:rPr>
              <w:t>Do not alter or destroy source documents, logs or communications.</w:t>
            </w:r>
          </w:p>
        </w:tc>
      </w:tr>
      <w:tr>
        <w:tc>
          <w:tcPr>
            <w:tcW w:type="dxa" w:w="5170"/>
            <w:vAlign w:val="center"/>
          </w:tcPr>
          <w:p>
            <w:r/>
            <w:r>
              <w:rPr>
                <w:b w:val="0"/>
                <w:sz w:val="14"/>
              </w:rPr>
              <w:t>Need to know</w:t>
            </w:r>
          </w:p>
        </w:tc>
        <w:tc>
          <w:tcPr>
            <w:tcW w:type="dxa" w:w="5170"/>
            <w:vAlign w:val="center"/>
          </w:tcPr>
          <w:p>
            <w:r/>
            <w:r>
              <w:rPr>
                <w:b w:val="0"/>
                <w:sz w:val="14"/>
              </w:rPr>
              <w:t>Limit disclosure to personnel with legitimate role.</w:t>
            </w:r>
          </w:p>
        </w:tc>
      </w:tr>
      <w:tr>
        <w:tc>
          <w:tcPr>
            <w:tcW w:type="dxa" w:w="5170"/>
            <w:vAlign w:val="center"/>
          </w:tcPr>
          <w:p>
            <w:r/>
            <w:r>
              <w:rPr>
                <w:b w:val="0"/>
                <w:sz w:val="14"/>
              </w:rPr>
              <w:t>No premature accusation</w:t>
            </w:r>
          </w:p>
        </w:tc>
        <w:tc>
          <w:tcPr>
            <w:tcW w:type="dxa" w:w="5170"/>
            <w:vAlign w:val="center"/>
          </w:tcPr>
          <w:p>
            <w:r/>
            <w:r>
              <w:rPr>
                <w:b w:val="0"/>
                <w:sz w:val="14"/>
              </w:rPr>
              <w:t>Customer/employee communication should not assert fraud without appropriate basis.</w:t>
            </w:r>
          </w:p>
        </w:tc>
      </w:tr>
      <w:tr>
        <w:tc>
          <w:tcPr>
            <w:tcW w:type="dxa" w:w="5170"/>
            <w:vAlign w:val="center"/>
          </w:tcPr>
          <w:p>
            <w:r/>
            <w:r>
              <w:rPr>
                <w:b w:val="0"/>
                <w:sz w:val="14"/>
              </w:rPr>
              <w:t>Control before convenience</w:t>
            </w:r>
          </w:p>
        </w:tc>
        <w:tc>
          <w:tcPr>
            <w:tcW w:type="dxa" w:w="5170"/>
            <w:vAlign w:val="center"/>
          </w:tcPr>
          <w:p>
            <w:r/>
            <w:r>
              <w:rPr>
                <w:b w:val="0"/>
                <w:sz w:val="14"/>
              </w:rPr>
              <w:t>Hold/review may be necessary despite turnaround pressure.</w:t>
            </w:r>
          </w:p>
        </w:tc>
      </w:tr>
      <w:tr>
        <w:tc>
          <w:tcPr>
            <w:tcW w:type="dxa" w:w="5170"/>
            <w:vAlign w:val="center"/>
          </w:tcPr>
          <w:p>
            <w:r/>
            <w:r>
              <w:rPr>
                <w:b w:val="0"/>
                <w:sz w:val="14"/>
              </w:rPr>
              <w:t>Parallel risks</w:t>
            </w:r>
          </w:p>
        </w:tc>
        <w:tc>
          <w:tcPr>
            <w:tcW w:type="dxa" w:w="5170"/>
            <w:vAlign w:val="center"/>
          </w:tcPr>
          <w:p>
            <w:r/>
            <w:r>
              <w:rPr>
                <w:b w:val="0"/>
                <w:sz w:val="14"/>
              </w:rPr>
              <w:t>Fraud, AML, security, compliance and operational-risk processes may all apply.</w:t>
            </w:r>
          </w:p>
        </w:tc>
      </w:tr>
      <w:tr>
        <w:tc>
          <w:tcPr>
            <w:tcW w:type="dxa" w:w="5170"/>
            <w:vAlign w:val="center"/>
          </w:tcPr>
          <w:p>
            <w:r/>
            <w:r>
              <w:rPr>
                <w:b w:val="0"/>
                <w:sz w:val="14"/>
              </w:rPr>
              <w:t>Independent decision</w:t>
            </w:r>
          </w:p>
        </w:tc>
        <w:tc>
          <w:tcPr>
            <w:tcW w:type="dxa" w:w="5170"/>
            <w:vAlign w:val="center"/>
          </w:tcPr>
          <w:p>
            <w:r/>
            <w:r>
              <w:rPr>
                <w:b w:val="0"/>
                <w:sz w:val="14"/>
              </w:rPr>
              <w:t>Fraud referral does not create credit approval or AML disposition authority.</w:t>
            </w:r>
          </w:p>
        </w:tc>
      </w:tr>
    </w:tbl>
    <w:p/>
    <w:p>
      <w:pPr>
        <w:pStyle w:val="Heading1"/>
      </w:pPr>
      <w:r>
        <w:t>4. Governance</w:t>
      </w:r>
    </w:p>
    <w:p>
      <w:r>
        <w:t>Fraud Risk owns fraud triage and investigation methodology. Credit, KYC, AML, Security, Operations and HR retain specialist decisions within their domains.</w:t>
      </w:r>
    </w:p>
    <w:p>
      <w:pPr>
        <w:pStyle w:val="Heading1"/>
      </w:pPr>
      <w:r>
        <w:t>5. Referral Sources</w:t>
      </w:r>
    </w:p>
    <w:p>
      <w:r>
        <w:t>Referrals may arise from underwriting, KYC, transaction monitoring, customer complaints, employee reports, vendor alerts, security incidents, data analytics or post-disbursement review.</w:t>
      </w:r>
    </w:p>
    <w:p>
      <w:pPr>
        <w:pStyle w:val="Heading1"/>
      </w:pPr>
      <w:r>
        <w:t>6. Fraud Case Severity</w:t>
      </w:r>
    </w:p>
    <w:p>
      <w:r>
        <w:t>Northstar uses F1–F4 internal fraud severity.</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Severity</w:t>
            </w:r>
          </w:p>
        </w:tc>
        <w:tc>
          <w:tcPr>
            <w:tcW w:type="dxa" w:w="3447"/>
            <w:vAlign w:val="center"/>
            <w:shd w:fill="17365D"/>
          </w:tcPr>
          <w:p>
            <w:r/>
            <w:r>
              <w:rPr>
                <w:b/>
                <w:color w:val="FFFFFF"/>
                <w:sz w:val="15"/>
              </w:rPr>
              <w:t>Indicative Criteria</w:t>
            </w:r>
          </w:p>
        </w:tc>
        <w:tc>
          <w:tcPr>
            <w:tcW w:type="dxa" w:w="3447"/>
            <w:vAlign w:val="center"/>
            <w:shd w:fill="17365D"/>
          </w:tcPr>
          <w:p>
            <w:r/>
            <w:r>
              <w:rPr>
                <w:b/>
                <w:color w:val="FFFFFF"/>
                <w:sz w:val="15"/>
              </w:rPr>
              <w:t>Initial Escalation</w:t>
            </w:r>
          </w:p>
        </w:tc>
      </w:tr>
      <w:tr>
        <w:tc>
          <w:tcPr>
            <w:tcW w:type="dxa" w:w="3447"/>
            <w:vAlign w:val="center"/>
          </w:tcPr>
          <w:p>
            <w:r/>
            <w:r>
              <w:rPr>
                <w:b w:val="0"/>
                <w:sz w:val="14"/>
              </w:rPr>
              <w:t>F1 Low</w:t>
            </w:r>
          </w:p>
        </w:tc>
        <w:tc>
          <w:tcPr>
            <w:tcW w:type="dxa" w:w="3447"/>
            <w:vAlign w:val="center"/>
          </w:tcPr>
          <w:p>
            <w:r/>
            <w:r>
              <w:rPr>
                <w:b w:val="0"/>
                <w:sz w:val="14"/>
              </w:rPr>
              <w:t>Isolated weak indicator, low exposure, limited control concern</w:t>
            </w:r>
          </w:p>
        </w:tc>
        <w:tc>
          <w:tcPr>
            <w:tcW w:type="dxa" w:w="3447"/>
            <w:vAlign w:val="center"/>
          </w:tcPr>
          <w:p>
            <w:r/>
            <w:r>
              <w:rPr>
                <w:b w:val="0"/>
                <w:sz w:val="14"/>
              </w:rPr>
              <w:t>Fraud analyst queue within 2 business days.</w:t>
            </w:r>
          </w:p>
        </w:tc>
      </w:tr>
      <w:tr>
        <w:tc>
          <w:tcPr>
            <w:tcW w:type="dxa" w:w="3447"/>
            <w:vAlign w:val="center"/>
          </w:tcPr>
          <w:p>
            <w:r/>
            <w:r>
              <w:rPr>
                <w:b w:val="0"/>
                <w:sz w:val="14"/>
              </w:rPr>
              <w:t>F2 Moderate</w:t>
            </w:r>
          </w:p>
        </w:tc>
        <w:tc>
          <w:tcPr>
            <w:tcW w:type="dxa" w:w="3447"/>
            <w:vAlign w:val="center"/>
          </w:tcPr>
          <w:p>
            <w:r/>
            <w:r>
              <w:rPr>
                <w:b w:val="0"/>
                <w:sz w:val="14"/>
              </w:rPr>
              <w:t>Credible document/identity/payment anomaly or repeated pattern</w:t>
            </w:r>
          </w:p>
        </w:tc>
        <w:tc>
          <w:tcPr>
            <w:tcW w:type="dxa" w:w="3447"/>
            <w:vAlign w:val="center"/>
          </w:tcPr>
          <w:p>
            <w:r/>
            <w:r>
              <w:rPr>
                <w:b w:val="0"/>
                <w:sz w:val="14"/>
              </w:rPr>
              <w:t>Same business day to Fraud Risk.</w:t>
            </w:r>
          </w:p>
        </w:tc>
      </w:tr>
      <w:tr>
        <w:tc>
          <w:tcPr>
            <w:tcW w:type="dxa" w:w="3447"/>
            <w:vAlign w:val="center"/>
          </w:tcPr>
          <w:p>
            <w:r/>
            <w:r>
              <w:rPr>
                <w:b w:val="0"/>
                <w:sz w:val="14"/>
              </w:rPr>
              <w:t>F3 High</w:t>
            </w:r>
          </w:p>
        </w:tc>
        <w:tc>
          <w:tcPr>
            <w:tcW w:type="dxa" w:w="3447"/>
            <w:vAlign w:val="center"/>
          </w:tcPr>
          <w:p>
            <w:r/>
            <w:r>
              <w:rPr>
                <w:b w:val="0"/>
                <w:sz w:val="14"/>
              </w:rPr>
              <w:t>Material exposure, organized pattern, employee/vendor involvement, multiple customers</w:t>
            </w:r>
          </w:p>
        </w:tc>
        <w:tc>
          <w:tcPr>
            <w:tcW w:type="dxa" w:w="3447"/>
            <w:vAlign w:val="center"/>
          </w:tcPr>
          <w:p>
            <w:r/>
            <w:r>
              <w:rPr>
                <w:b w:val="0"/>
                <w:sz w:val="14"/>
              </w:rPr>
              <w:t>Immediate / within 2 hours to Fraud lead and relevant business head.</w:t>
            </w:r>
          </w:p>
        </w:tc>
      </w:tr>
      <w:tr>
        <w:tc>
          <w:tcPr>
            <w:tcW w:type="dxa" w:w="3447"/>
            <w:vAlign w:val="center"/>
          </w:tcPr>
          <w:p>
            <w:r/>
            <w:r>
              <w:rPr>
                <w:b w:val="0"/>
                <w:sz w:val="14"/>
              </w:rPr>
              <w:t>F4 Critical</w:t>
            </w:r>
          </w:p>
        </w:tc>
        <w:tc>
          <w:tcPr>
            <w:tcW w:type="dxa" w:w="3447"/>
            <w:vAlign w:val="center"/>
          </w:tcPr>
          <w:p>
            <w:r/>
            <w:r>
              <w:rPr>
                <w:b w:val="0"/>
                <w:sz w:val="14"/>
              </w:rPr>
              <w:t>Large/systemic event, active loss, major credential compromise, senior insider or widespread customer impact</w:t>
            </w:r>
          </w:p>
        </w:tc>
        <w:tc>
          <w:tcPr>
            <w:tcW w:type="dxa" w:w="3447"/>
            <w:vAlign w:val="center"/>
          </w:tcPr>
          <w:p>
            <w:r/>
            <w:r>
              <w:rPr>
                <w:b w:val="0"/>
                <w:sz w:val="14"/>
              </w:rPr>
              <w:t>Immediate executive/CRO/CISO/CCO escalation as applicable.</w:t>
            </w:r>
          </w:p>
        </w:tc>
      </w:tr>
    </w:tbl>
    <w:p/>
    <w:p>
      <w:pPr>
        <w:pStyle w:val="Heading1"/>
      </w:pPr>
      <w:r>
        <w:t>7. Application Fraud Indicators</w:t>
      </w:r>
    </w:p>
    <w:p>
      <w:r>
        <w:t>Loan/application referrals include fabricated income, manipulated bank statements, identity mismatch, synthetic identity indicators, duplicate applications, undisclosed debt, suspicious employer details and unusual beneficiary changes.</w:t>
      </w:r>
    </w:p>
    <w:p>
      <w:pPr>
        <w:pStyle w:val="Heading1"/>
      </w:pPr>
      <w:r>
        <w:t>8. Document Manipulation</w:t>
      </w:r>
    </w:p>
    <w:p>
      <w:r>
        <w:t>Where a document appears altered, the employee shall preserve the original file/image, source metadata where available and verification outcome. Do not simply replace the document and continue without addressing the discrepancy.</w:t>
      </w:r>
    </w:p>
    <w:p>
      <w:pPr>
        <w:pStyle w:val="Heading1"/>
      </w:pPr>
      <w:r>
        <w:t>9. Identity Fraud and Impersonation</w:t>
      </w:r>
    </w:p>
    <w:p>
      <w:r>
        <w:t>Potential identity theft requires immediate restriction proportionate to risk, independent contact/verification where safe, KYC escalation and security referral if credentials/devices may be compromised.</w:t>
      </w:r>
    </w:p>
    <w:p>
      <w:pPr>
        <w:pStyle w:val="Heading1"/>
      </w:pPr>
      <w:r>
        <w:t>10. Duplicate Applications</w:t>
      </w:r>
    </w:p>
    <w:p>
      <w:r>
        <w:t>Multiple applications across branches/channels shall be linked and reviewed for legitimate resubmission, shopping behavior, identity misuse, policy circumvention or organized activity.</w:t>
      </w:r>
    </w:p>
    <w:p>
      <w:r>
        <w:t>Duplicate status alone does not establish fraud; the decision shall consider timing, data consistency, device/contact overlap and explanation.</w:t>
      </w:r>
    </w:p>
    <w:p>
      <w:pPr>
        <w:pStyle w:val="Heading1"/>
      </w:pPr>
      <w:r>
        <w:t>11. Payment Diversion and Beneficiary Fraud</w:t>
      </w:r>
    </w:p>
    <w:p>
      <w:r>
        <w:t>Late beneficiary changes, third-party destinations, mismatched account names or unusual disbursement instructions require independent validation before funds release.</w:t>
      </w:r>
    </w:p>
    <w:p>
      <w:pPr>
        <w:pStyle w:val="Heading1"/>
      </w:pPr>
      <w:r>
        <w:t>12. Mule and Pass-Through Activity</w:t>
      </w:r>
    </w:p>
    <w:p>
      <w:r>
        <w:t>Rapid onward movement, multiple unrelated counterparties, unusual third-party credits and behavior inconsistent with customer profile may require joint Fraud and AML review.</w:t>
      </w:r>
    </w:p>
    <w:p>
      <w:r>
        <w:t>An AML alert disposition and a fraud investigation can differ because the questions are different. Cross-reference cases rather than forcing one conclusion.</w:t>
      </w:r>
    </w:p>
    <w:p>
      <w:pPr>
        <w:pStyle w:val="Heading1"/>
      </w:pPr>
      <w:r>
        <w:t>13. Employee and Insider Fraud</w:t>
      </w:r>
    </w:p>
    <w:p>
      <w:r>
        <w:t>Suspected employee misuse, collusion, override abuse, data theft, unauthorized approvals or manipulation requires restricted handling with Fraud Risk, HR, Security and Compliance as appropriate.</w:t>
      </w:r>
    </w:p>
    <w:p>
      <w:r>
        <w:t>Managers shall not conduct informal evidence-gathering that risks alerting the subject or destroying system evidence.</w:t>
      </w:r>
    </w:p>
    <w:p>
      <w:pPr>
        <w:pStyle w:val="Heading1"/>
      </w:pPr>
      <w:r>
        <w:t>14. Vendor-Related Fraud</w:t>
      </w:r>
    </w:p>
    <w:p>
      <w:r>
        <w:t>Suspected vendor billing fraud, support impersonation, credential misuse or collusive behavior shall be coordinated with Third-Party Risk and Security without delaying immediate containment.</w:t>
      </w:r>
    </w:p>
    <w:p>
      <w:pPr>
        <w:pStyle w:val="Heading1"/>
      </w:pPr>
      <w:r>
        <w:t>15. Security Incident Interface</w:t>
      </w:r>
    </w:p>
    <w:p>
      <w:r>
        <w:t>Credential compromise, account takeover or malicious access may require SIR-052 severity classification. Security containment can proceed before Fraud completes motive/attribution analysis.</w:t>
      </w:r>
    </w:p>
    <w:p>
      <w:pPr>
        <w:pStyle w:val="Heading1"/>
      </w:pPr>
      <w:r>
        <w:t>16. AML/KYC Interface</w:t>
      </w:r>
    </w:p>
    <w:p>
      <w:r>
        <w:t>KYC discrepancies and suspicious customer behavior shall be referred to the appropriate KYC/AML owner. Fraud Risk cannot release a sanctions/PEP/KYC restriction or determine formal AML disposition.</w:t>
      </w:r>
    </w:p>
    <w:p>
      <w:pPr>
        <w:pStyle w:val="Heading1"/>
      </w:pPr>
      <w:r>
        <w:t>17. Credit Decision Interface</w:t>
      </w:r>
    </w:p>
    <w:p>
      <w:r>
        <w:t>Fraud holds prevent disbursement or approval where unresolved at a level that could materially affect the credit decision. A credit approver cannot waive a Fraud Risk hold merely because affordability and score criteria are met.</w:t>
      </w:r>
    </w:p>
    <w:p>
      <w:pPr>
        <w:pStyle w:val="Heading1"/>
      </w:pPr>
      <w:r>
        <w:t>18. Initial Triage</w:t>
      </w:r>
    </w:p>
    <w:p>
      <w:r>
        <w:t>Fraud triage records allegation/indicator, exposure, customer/employee/vendor involvement, evidence sources, urgency and immediate containment needs.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Triage Question</w:t>
            </w:r>
          </w:p>
        </w:tc>
        <w:tc>
          <w:tcPr>
            <w:tcW w:type="dxa" w:w="5170"/>
            <w:vAlign w:val="center"/>
            <w:shd w:fill="17365D"/>
          </w:tcPr>
          <w:p>
            <w:r/>
            <w:r>
              <w:rPr>
                <w:b/>
                <w:color w:val="FFFFFF"/>
                <w:sz w:val="15"/>
              </w:rPr>
              <w:t>Example</w:t>
            </w:r>
          </w:p>
        </w:tc>
      </w:tr>
      <w:tr>
        <w:tc>
          <w:tcPr>
            <w:tcW w:type="dxa" w:w="5170"/>
            <w:vAlign w:val="center"/>
          </w:tcPr>
          <w:p>
            <w:r/>
            <w:r>
              <w:rPr>
                <w:b w:val="0"/>
                <w:sz w:val="14"/>
              </w:rPr>
              <w:t>Is loss occurring now?</w:t>
            </w:r>
          </w:p>
        </w:tc>
        <w:tc>
          <w:tcPr>
            <w:tcW w:type="dxa" w:w="5170"/>
            <w:vAlign w:val="center"/>
          </w:tcPr>
          <w:p>
            <w:r/>
            <w:r>
              <w:rPr>
                <w:b w:val="0"/>
                <w:sz w:val="14"/>
              </w:rPr>
              <w:t>Stop payment/account/channel if authorized.</w:t>
            </w:r>
          </w:p>
        </w:tc>
      </w:tr>
      <w:tr>
        <w:tc>
          <w:tcPr>
            <w:tcW w:type="dxa" w:w="5170"/>
            <w:vAlign w:val="center"/>
          </w:tcPr>
          <w:p>
            <w:r/>
            <w:r>
              <w:rPr>
                <w:b w:val="0"/>
                <w:sz w:val="14"/>
              </w:rPr>
              <w:t>Could evidence disappear?</w:t>
            </w:r>
          </w:p>
        </w:tc>
        <w:tc>
          <w:tcPr>
            <w:tcW w:type="dxa" w:w="5170"/>
            <w:vAlign w:val="center"/>
          </w:tcPr>
          <w:p>
            <w:r/>
            <w:r>
              <w:rPr>
                <w:b w:val="0"/>
                <w:sz w:val="14"/>
              </w:rPr>
              <w:t>Preserve logs, emails, documents and device/session data.</w:t>
            </w:r>
          </w:p>
        </w:tc>
      </w:tr>
      <w:tr>
        <w:tc>
          <w:tcPr>
            <w:tcW w:type="dxa" w:w="5170"/>
            <w:vAlign w:val="center"/>
          </w:tcPr>
          <w:p>
            <w:r/>
            <w:r>
              <w:rPr>
                <w:b w:val="0"/>
                <w:sz w:val="14"/>
              </w:rPr>
              <w:t>Could customer be at risk?</w:t>
            </w:r>
          </w:p>
        </w:tc>
        <w:tc>
          <w:tcPr>
            <w:tcW w:type="dxa" w:w="5170"/>
            <w:vAlign w:val="center"/>
          </w:tcPr>
          <w:p>
            <w:r/>
            <w:r>
              <w:rPr>
                <w:b w:val="0"/>
                <w:sz w:val="14"/>
              </w:rPr>
              <w:t>Use controlled customer contact and protective restrictions.</w:t>
            </w:r>
          </w:p>
        </w:tc>
      </w:tr>
      <w:tr>
        <w:tc>
          <w:tcPr>
            <w:tcW w:type="dxa" w:w="5170"/>
            <w:vAlign w:val="center"/>
          </w:tcPr>
          <w:p>
            <w:r/>
            <w:r>
              <w:rPr>
                <w:b w:val="0"/>
                <w:sz w:val="14"/>
              </w:rPr>
              <w:t>Could insider be involved?</w:t>
            </w:r>
          </w:p>
        </w:tc>
        <w:tc>
          <w:tcPr>
            <w:tcW w:type="dxa" w:w="5170"/>
            <w:vAlign w:val="center"/>
          </w:tcPr>
          <w:p>
            <w:r/>
            <w:r>
              <w:rPr>
                <w:b w:val="0"/>
                <w:sz w:val="14"/>
              </w:rPr>
              <w:t>Restrict investigation access.</w:t>
            </w:r>
          </w:p>
        </w:tc>
      </w:tr>
      <w:tr>
        <w:tc>
          <w:tcPr>
            <w:tcW w:type="dxa" w:w="5170"/>
            <w:vAlign w:val="center"/>
          </w:tcPr>
          <w:p>
            <w:r/>
            <w:r>
              <w:rPr>
                <w:b w:val="0"/>
                <w:sz w:val="14"/>
              </w:rPr>
              <w:t>Does AML/security apply?</w:t>
            </w:r>
          </w:p>
        </w:tc>
        <w:tc>
          <w:tcPr>
            <w:tcW w:type="dxa" w:w="5170"/>
            <w:vAlign w:val="center"/>
          </w:tcPr>
          <w:p>
            <w:r/>
            <w:r>
              <w:rPr>
                <w:b w:val="0"/>
                <w:sz w:val="14"/>
              </w:rPr>
              <w:t>Open linked referral.</w:t>
            </w:r>
          </w:p>
        </w:tc>
      </w:tr>
      <w:tr>
        <w:tc>
          <w:tcPr>
            <w:tcW w:type="dxa" w:w="5170"/>
            <w:vAlign w:val="center"/>
          </w:tcPr>
          <w:p>
            <w:r/>
            <w:r>
              <w:rPr>
                <w:b w:val="0"/>
                <w:sz w:val="14"/>
              </w:rPr>
              <w:t>Is action authorized?</w:t>
            </w:r>
          </w:p>
        </w:tc>
        <w:tc>
          <w:tcPr>
            <w:tcW w:type="dxa" w:w="5170"/>
            <w:vAlign w:val="center"/>
          </w:tcPr>
          <w:p>
            <w:r/>
            <w:r>
              <w:rPr>
                <w:b w:val="0"/>
                <w:sz w:val="14"/>
              </w:rPr>
              <w:t>Use current operational/credit/security authorities.</w:t>
            </w:r>
          </w:p>
        </w:tc>
      </w:tr>
    </w:tbl>
    <w:p/>
    <w:p>
      <w:pPr>
        <w:pStyle w:val="Heading1"/>
      </w:pPr>
      <w:r>
        <w:t>19. Containment Actions</w:t>
      </w:r>
    </w:p>
    <w:p>
      <w:r>
        <w:t>Containment may include payment hold, application hold, account/channel restriction, credential reset, access suspension, vendor-access restriction, document verification or enhanced monitoring, subject to role authority.</w:t>
      </w:r>
    </w:p>
    <w:p>
      <w:pPr>
        <w:pStyle w:val="Heading1"/>
      </w:pPr>
      <w:r>
        <w:t>20. Investigation Planning</w:t>
      </w:r>
    </w:p>
    <w:p>
      <w:r>
        <w:t>F2–F4 cases should have an investigation plan identifying hypotheses, evidence, interviews/contact strategy, financial exposure and specialist dependencies.</w:t>
      </w:r>
    </w:p>
    <w:p>
      <w:pPr>
        <w:pStyle w:val="Heading1"/>
      </w:pPr>
      <w:r>
        <w:t>21. Customer Contact</w:t>
      </w:r>
    </w:p>
    <w:p>
      <w:r>
        <w:t>Customer contact shall protect the customer while avoiding disclosure that could prejudice investigation. Contact channels shall be independently validated where account takeover is suspected.</w:t>
      </w:r>
    </w:p>
    <w:p>
      <w:pPr>
        <w:pStyle w:val="Heading1"/>
      </w:pPr>
      <w:r>
        <w:t>22. Employee Interviews</w:t>
      </w:r>
    </w:p>
    <w:p>
      <w:r>
        <w:t>Employee interviews in suspected misconduct matters shall be coordinated with HR/Legal/Fraud as appropriate. Interview records shall distinguish fact, allegation, admission and investigator inference.</w:t>
      </w:r>
    </w:p>
    <w:p>
      <w:pPr>
        <w:pStyle w:val="Heading1"/>
      </w:pPr>
      <w:r>
        <w:t>23. Case Dispositions</w:t>
      </w:r>
    </w:p>
    <w:p>
      <w:r>
        <w:t>Fraud cases may be substantiated, unsubstantiated, inconclusive, control weakness/no fraud, customer scam victim, attempted fraud prevented or referred to another specialist process.</w:t>
      </w:r>
    </w:p>
    <w:p>
      <w:r>
        <w:t>A finding of no proven fraud does not automatically mean the underlying control was effective.</w:t>
      </w:r>
    </w:p>
    <w:p>
      <w:pPr>
        <w:pStyle w:val="Heading1"/>
      </w:pPr>
      <w:r>
        <w:t>24. Loss and Recovery</w:t>
      </w:r>
    </w:p>
    <w:p>
      <w:r>
        <w:t>Confirmed or probable fraud losses shall be captured in the appropriate financial and operational-risk process. Recovery attempts shall not delay control remediation.</w:t>
      </w:r>
    </w:p>
    <w:p>
      <w:pPr>
        <w:pStyle w:val="Heading1"/>
      </w:pPr>
      <w:r>
        <w:t>25. Escalation and Governance</w:t>
      </w:r>
    </w:p>
    <w:p>
      <w:r>
        <w:t>F3/F4 and repeat-pattern cases shall be reported to appropriate senior management/committee. Material insider, vendor or customer-impact themes require cross-functional action.</w:t>
      </w:r>
    </w:p>
    <w:p>
      <w:pPr>
        <w:pStyle w:val="Heading1"/>
      </w:pPr>
      <w:r>
        <w:t>26. Confidentiality</w:t>
      </w:r>
    </w:p>
    <w:p>
      <w:r>
        <w:t>Fraud case access shall be restricted to need-to-know. Case labels should not be used casually in broad email distribution or unprotected shared drives.</w:t>
      </w:r>
    </w:p>
    <w:p>
      <w:pPr>
        <w:pStyle w:val="Heading1"/>
      </w:pPr>
      <w:r>
        <w:t>27. Root Cause and Control Actions</w:t>
      </w:r>
    </w:p>
    <w:p>
      <w:r>
        <w:t>Substantiated events and material attempts require assessment of people, process, system, product, access, vendor and monitoring control causes.</w:t>
      </w:r>
    </w:p>
    <w:p>
      <w:pPr>
        <w:pStyle w:val="Heading1"/>
      </w:pPr>
      <w:r>
        <w:t>28. Historical and Transitional Provisions</w:t>
      </w:r>
    </w:p>
    <w:p>
      <w:r>
        <w:t>Version 1.2 adds stronger interfaces to SIR-052 and VRP-053.</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Topic</w:t>
            </w:r>
          </w:p>
        </w:tc>
        <w:tc>
          <w:tcPr>
            <w:tcW w:type="dxa" w:w="3447"/>
            <w:vAlign w:val="center"/>
            <w:shd w:fill="17365D"/>
          </w:tcPr>
          <w:p>
            <w:r/>
            <w:r>
              <w:rPr>
                <w:b/>
                <w:color w:val="FFFFFF"/>
                <w:sz w:val="15"/>
              </w:rPr>
              <w:t>v1.1</w:t>
            </w:r>
          </w:p>
        </w:tc>
        <w:tc>
          <w:tcPr>
            <w:tcW w:type="dxa" w:w="3447"/>
            <w:vAlign w:val="center"/>
            <w:shd w:fill="17365D"/>
          </w:tcPr>
          <w:p>
            <w:r/>
            <w:r>
              <w:rPr>
                <w:b/>
                <w:color w:val="FFFFFF"/>
                <w:sz w:val="15"/>
              </w:rPr>
              <w:t>v1.2</w:t>
            </w:r>
          </w:p>
        </w:tc>
      </w:tr>
      <w:tr>
        <w:tc>
          <w:tcPr>
            <w:tcW w:type="dxa" w:w="3447"/>
            <w:vAlign w:val="center"/>
          </w:tcPr>
          <w:p>
            <w:r/>
            <w:r>
              <w:rPr>
                <w:b w:val="0"/>
                <w:sz w:val="14"/>
              </w:rPr>
              <w:t>Credential compromise</w:t>
            </w:r>
          </w:p>
        </w:tc>
        <w:tc>
          <w:tcPr>
            <w:tcW w:type="dxa" w:w="3447"/>
            <w:vAlign w:val="center"/>
          </w:tcPr>
          <w:p>
            <w:r/>
            <w:r>
              <w:rPr>
                <w:b w:val="0"/>
                <w:sz w:val="14"/>
              </w:rPr>
              <w:t>Fraud-led digital referral</w:t>
            </w:r>
          </w:p>
        </w:tc>
        <w:tc>
          <w:tcPr>
            <w:tcW w:type="dxa" w:w="3447"/>
            <w:vAlign w:val="center"/>
          </w:tcPr>
          <w:p>
            <w:r/>
            <w:r>
              <w:rPr>
                <w:b w:val="0"/>
                <w:sz w:val="14"/>
              </w:rPr>
              <w:t>Parallel Security incident command where required</w:t>
            </w:r>
          </w:p>
        </w:tc>
      </w:tr>
      <w:tr>
        <w:tc>
          <w:tcPr>
            <w:tcW w:type="dxa" w:w="3447"/>
            <w:vAlign w:val="center"/>
          </w:tcPr>
          <w:p>
            <w:r/>
            <w:r>
              <w:rPr>
                <w:b w:val="0"/>
                <w:sz w:val="14"/>
              </w:rPr>
              <w:t>Vendor fraud</w:t>
            </w:r>
          </w:p>
        </w:tc>
        <w:tc>
          <w:tcPr>
            <w:tcW w:type="dxa" w:w="3447"/>
            <w:vAlign w:val="center"/>
          </w:tcPr>
          <w:p>
            <w:r/>
            <w:r>
              <w:rPr>
                <w:b w:val="0"/>
                <w:sz w:val="14"/>
              </w:rPr>
              <w:t>Procurement referral</w:t>
            </w:r>
          </w:p>
        </w:tc>
        <w:tc>
          <w:tcPr>
            <w:tcW w:type="dxa" w:w="3447"/>
            <w:vAlign w:val="center"/>
          </w:tcPr>
          <w:p>
            <w:r/>
            <w:r>
              <w:rPr>
                <w:b w:val="0"/>
                <w:sz w:val="14"/>
              </w:rPr>
              <w:t>Integrated VRP-053 and Security handling</w:t>
            </w:r>
          </w:p>
        </w:tc>
      </w:tr>
      <w:tr>
        <w:tc>
          <w:tcPr>
            <w:tcW w:type="dxa" w:w="3447"/>
            <w:vAlign w:val="center"/>
          </w:tcPr>
          <w:p>
            <w:r/>
            <w:r>
              <w:rPr>
                <w:b w:val="0"/>
                <w:sz w:val="14"/>
              </w:rPr>
              <w:t>Severity</w:t>
            </w:r>
          </w:p>
        </w:tc>
        <w:tc>
          <w:tcPr>
            <w:tcW w:type="dxa" w:w="3447"/>
            <w:vAlign w:val="center"/>
          </w:tcPr>
          <w:p>
            <w:r/>
            <w:r>
              <w:rPr>
                <w:b w:val="0"/>
                <w:sz w:val="14"/>
              </w:rPr>
              <w:t>Low/Medium/High informal</w:t>
            </w:r>
          </w:p>
        </w:tc>
        <w:tc>
          <w:tcPr>
            <w:tcW w:type="dxa" w:w="3447"/>
            <w:vAlign w:val="center"/>
          </w:tcPr>
          <w:p>
            <w:r/>
            <w:r>
              <w:rPr>
                <w:b w:val="0"/>
                <w:sz w:val="14"/>
              </w:rPr>
              <w:t>F1–F4 controlled classification</w:t>
            </w:r>
          </w:p>
        </w:tc>
      </w:tr>
      <w:tr>
        <w:tc>
          <w:tcPr>
            <w:tcW w:type="dxa" w:w="3447"/>
            <w:vAlign w:val="center"/>
          </w:tcPr>
          <w:p>
            <w:r/>
            <w:r>
              <w:rPr>
                <w:b w:val="0"/>
                <w:sz w:val="14"/>
              </w:rPr>
              <w:t>Employee access</w:t>
            </w:r>
          </w:p>
        </w:tc>
        <w:tc>
          <w:tcPr>
            <w:tcW w:type="dxa" w:w="3447"/>
            <w:vAlign w:val="center"/>
          </w:tcPr>
          <w:p>
            <w:r/>
            <w:r>
              <w:rPr>
                <w:b w:val="0"/>
                <w:sz w:val="14"/>
              </w:rPr>
              <w:t>Manager-led suspension common</w:t>
            </w:r>
          </w:p>
        </w:tc>
        <w:tc>
          <w:tcPr>
            <w:tcW w:type="dxa" w:w="3447"/>
            <w:vAlign w:val="center"/>
          </w:tcPr>
          <w:p>
            <w:r/>
            <w:r>
              <w:rPr>
                <w:b w:val="0"/>
                <w:sz w:val="14"/>
              </w:rPr>
              <w:t>Need-to-know coordination with HR/Security/Fraud</w:t>
            </w:r>
          </w:p>
        </w:tc>
      </w:tr>
    </w:tbl>
    <w:p/>
    <w:p>
      <w:pPr>
        <w:pStyle w:val="Heading1"/>
      </w:pPr>
      <w:r>
        <w:t>29. Records</w:t>
      </w:r>
    </w:p>
    <w:p>
      <w:r>
        <w:t>Case records shall include referral, evidence, triage, containment, approvals, investigation, customer/employee contact, linked specialist cases, disposition, loss and remediation.</w:t>
      </w:r>
    </w:p>
    <w:p>
      <w:pPr>
        <w:pStyle w:val="Heading1"/>
      </w:pPr>
      <w:r>
        <w:t>30. Management Information</w:t>
      </w:r>
    </w:p>
    <w:p>
      <w:r>
        <w:t>Fraud MI includes attempts, confirmed loss, prevented loss, top typologies, duplicate applications, identity/document fraud, account takeover, insider/vendor cases, ageing and repeat control weaknesses.</w:t>
      </w:r>
    </w:p>
    <w:p>
      <w:r>
        <w:br w:type="page"/>
      </w:r>
    </w:p>
    <w:p>
      <w:pPr>
        <w:pStyle w:val="Heading1"/>
      </w:pPr>
      <w:r>
        <w:t>Appendix A — Fraud Indicator Matrix</w:t>
      </w:r>
    </w:p>
    <w:p>
      <w:r>
        <w:t>Indicators are prompts for review, not automatic proof.</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Domain</w:t>
            </w:r>
          </w:p>
        </w:tc>
        <w:tc>
          <w:tcPr>
            <w:tcW w:type="dxa" w:w="3447"/>
            <w:vAlign w:val="center"/>
            <w:shd w:fill="17365D"/>
          </w:tcPr>
          <w:p>
            <w:r/>
            <w:r>
              <w:rPr>
                <w:b/>
                <w:color w:val="FFFFFF"/>
                <w:sz w:val="15"/>
              </w:rPr>
              <w:t>Indicator</w:t>
            </w:r>
          </w:p>
        </w:tc>
        <w:tc>
          <w:tcPr>
            <w:tcW w:type="dxa" w:w="3447"/>
            <w:vAlign w:val="center"/>
            <w:shd w:fill="17365D"/>
          </w:tcPr>
          <w:p>
            <w:r/>
            <w:r>
              <w:rPr>
                <w:b/>
                <w:color w:val="FFFFFF"/>
                <w:sz w:val="15"/>
              </w:rPr>
              <w:t>Typical Referral</w:t>
            </w:r>
          </w:p>
        </w:tc>
      </w:tr>
      <w:tr>
        <w:tc>
          <w:tcPr>
            <w:tcW w:type="dxa" w:w="3447"/>
            <w:vAlign w:val="center"/>
          </w:tcPr>
          <w:p>
            <w:r/>
            <w:r>
              <w:rPr>
                <w:b w:val="0"/>
                <w:sz w:val="14"/>
              </w:rPr>
              <w:t>Identity</w:t>
            </w:r>
          </w:p>
        </w:tc>
        <w:tc>
          <w:tcPr>
            <w:tcW w:type="dxa" w:w="3447"/>
            <w:vAlign w:val="center"/>
          </w:tcPr>
          <w:p>
            <w:r/>
            <w:r>
              <w:rPr>
                <w:b w:val="0"/>
                <w:sz w:val="14"/>
              </w:rPr>
              <w:t>PAN/Aadhaar-style identity data conflicts materially across verified sources</w:t>
            </w:r>
          </w:p>
        </w:tc>
        <w:tc>
          <w:tcPr>
            <w:tcW w:type="dxa" w:w="3447"/>
            <w:vAlign w:val="center"/>
          </w:tcPr>
          <w:p>
            <w:r/>
            <w:r>
              <w:rPr>
                <w:b w:val="0"/>
                <w:sz w:val="14"/>
              </w:rPr>
              <w:t>KYC + Fraud</w:t>
            </w:r>
          </w:p>
        </w:tc>
      </w:tr>
      <w:tr>
        <w:tc>
          <w:tcPr>
            <w:tcW w:type="dxa" w:w="3447"/>
            <w:vAlign w:val="center"/>
          </w:tcPr>
          <w:p>
            <w:r/>
            <w:r>
              <w:rPr>
                <w:b w:val="0"/>
                <w:sz w:val="14"/>
              </w:rPr>
              <w:t>Income</w:t>
            </w:r>
          </w:p>
        </w:tc>
        <w:tc>
          <w:tcPr>
            <w:tcW w:type="dxa" w:w="3447"/>
            <w:vAlign w:val="center"/>
          </w:tcPr>
          <w:p>
            <w:r/>
            <w:r>
              <w:rPr>
                <w:b w:val="0"/>
                <w:sz w:val="14"/>
              </w:rPr>
              <w:t>Statement arithmetic/fonts/metadata inconsistent with expected source</w:t>
            </w:r>
          </w:p>
        </w:tc>
        <w:tc>
          <w:tcPr>
            <w:tcW w:type="dxa" w:w="3447"/>
            <w:vAlign w:val="center"/>
          </w:tcPr>
          <w:p>
            <w:r/>
            <w:r>
              <w:rPr>
                <w:b w:val="0"/>
                <w:sz w:val="14"/>
              </w:rPr>
              <w:t>Fraud + Credit</w:t>
            </w:r>
          </w:p>
        </w:tc>
      </w:tr>
      <w:tr>
        <w:tc>
          <w:tcPr>
            <w:tcW w:type="dxa" w:w="3447"/>
            <w:vAlign w:val="center"/>
          </w:tcPr>
          <w:p>
            <w:r/>
            <w:r>
              <w:rPr>
                <w:b w:val="0"/>
                <w:sz w:val="14"/>
              </w:rPr>
              <w:t>Application</w:t>
            </w:r>
          </w:p>
        </w:tc>
        <w:tc>
          <w:tcPr>
            <w:tcW w:type="dxa" w:w="3447"/>
            <w:vAlign w:val="center"/>
          </w:tcPr>
          <w:p>
            <w:r/>
            <w:r>
              <w:rPr>
                <w:b w:val="0"/>
                <w:sz w:val="14"/>
              </w:rPr>
              <w:t>Multiple near-simultaneous applications with changed employment/income</w:t>
            </w:r>
          </w:p>
        </w:tc>
        <w:tc>
          <w:tcPr>
            <w:tcW w:type="dxa" w:w="3447"/>
            <w:vAlign w:val="center"/>
          </w:tcPr>
          <w:p>
            <w:r/>
            <w:r>
              <w:rPr>
                <w:b w:val="0"/>
                <w:sz w:val="14"/>
              </w:rPr>
              <w:t>Fraud + Credit</w:t>
            </w:r>
          </w:p>
        </w:tc>
      </w:tr>
      <w:tr>
        <w:tc>
          <w:tcPr>
            <w:tcW w:type="dxa" w:w="3447"/>
            <w:vAlign w:val="center"/>
          </w:tcPr>
          <w:p>
            <w:r/>
            <w:r>
              <w:rPr>
                <w:b w:val="0"/>
                <w:sz w:val="14"/>
              </w:rPr>
              <w:t>Payment</w:t>
            </w:r>
          </w:p>
        </w:tc>
        <w:tc>
          <w:tcPr>
            <w:tcW w:type="dxa" w:w="3447"/>
            <w:vAlign w:val="center"/>
          </w:tcPr>
          <w:p>
            <w:r/>
            <w:r>
              <w:rPr>
                <w:b w:val="0"/>
                <w:sz w:val="14"/>
              </w:rPr>
              <w:t>Beneficiary changed immediately before disbursement</w:t>
            </w:r>
          </w:p>
        </w:tc>
        <w:tc>
          <w:tcPr>
            <w:tcW w:type="dxa" w:w="3447"/>
            <w:vAlign w:val="center"/>
          </w:tcPr>
          <w:p>
            <w:r/>
            <w:r>
              <w:rPr>
                <w:b w:val="0"/>
                <w:sz w:val="14"/>
              </w:rPr>
              <w:t>Fraud + Operations</w:t>
            </w:r>
          </w:p>
        </w:tc>
      </w:tr>
      <w:tr>
        <w:tc>
          <w:tcPr>
            <w:tcW w:type="dxa" w:w="3447"/>
            <w:vAlign w:val="center"/>
          </w:tcPr>
          <w:p>
            <w:r/>
            <w:r>
              <w:rPr>
                <w:b w:val="0"/>
                <w:sz w:val="14"/>
              </w:rPr>
              <w:t>Transaction</w:t>
            </w:r>
          </w:p>
        </w:tc>
        <w:tc>
          <w:tcPr>
            <w:tcW w:type="dxa" w:w="3447"/>
            <w:vAlign w:val="center"/>
          </w:tcPr>
          <w:p>
            <w:r/>
            <w:r>
              <w:rPr>
                <w:b w:val="0"/>
                <w:sz w:val="14"/>
              </w:rPr>
              <w:t>Large incoming third-party funds immediately distributed</w:t>
            </w:r>
          </w:p>
        </w:tc>
        <w:tc>
          <w:tcPr>
            <w:tcW w:type="dxa" w:w="3447"/>
            <w:vAlign w:val="center"/>
          </w:tcPr>
          <w:p>
            <w:r/>
            <w:r>
              <w:rPr>
                <w:b w:val="0"/>
                <w:sz w:val="14"/>
              </w:rPr>
              <w:t>AML + Fraud</w:t>
            </w:r>
          </w:p>
        </w:tc>
      </w:tr>
      <w:tr>
        <w:tc>
          <w:tcPr>
            <w:tcW w:type="dxa" w:w="3447"/>
            <w:vAlign w:val="center"/>
          </w:tcPr>
          <w:p>
            <w:r/>
            <w:r>
              <w:rPr>
                <w:b w:val="0"/>
                <w:sz w:val="14"/>
              </w:rPr>
              <w:t>Access</w:t>
            </w:r>
          </w:p>
        </w:tc>
        <w:tc>
          <w:tcPr>
            <w:tcW w:type="dxa" w:w="3447"/>
            <w:vAlign w:val="center"/>
          </w:tcPr>
          <w:p>
            <w:r/>
            <w:r>
              <w:rPr>
                <w:b w:val="0"/>
                <w:sz w:val="14"/>
              </w:rPr>
              <w:t>Privileged employee accesses unrelated customer profiles before loss event</w:t>
            </w:r>
          </w:p>
        </w:tc>
        <w:tc>
          <w:tcPr>
            <w:tcW w:type="dxa" w:w="3447"/>
            <w:vAlign w:val="center"/>
          </w:tcPr>
          <w:p>
            <w:r/>
            <w:r>
              <w:rPr>
                <w:b w:val="0"/>
                <w:sz w:val="14"/>
              </w:rPr>
              <w:t>Security + Fraud + HR</w:t>
            </w:r>
          </w:p>
        </w:tc>
      </w:tr>
      <w:tr>
        <w:tc>
          <w:tcPr>
            <w:tcW w:type="dxa" w:w="3447"/>
            <w:vAlign w:val="center"/>
          </w:tcPr>
          <w:p>
            <w:r/>
            <w:r>
              <w:rPr>
                <w:b w:val="0"/>
                <w:sz w:val="14"/>
              </w:rPr>
              <w:t>Vendor</w:t>
            </w:r>
          </w:p>
        </w:tc>
        <w:tc>
          <w:tcPr>
            <w:tcW w:type="dxa" w:w="3447"/>
            <w:vAlign w:val="center"/>
          </w:tcPr>
          <w:p>
            <w:r/>
            <w:r>
              <w:rPr>
                <w:b w:val="0"/>
                <w:sz w:val="14"/>
              </w:rPr>
              <w:t>Support technician requests shared admin credential</w:t>
            </w:r>
          </w:p>
        </w:tc>
        <w:tc>
          <w:tcPr>
            <w:tcW w:type="dxa" w:w="3447"/>
            <w:vAlign w:val="center"/>
          </w:tcPr>
          <w:p>
            <w:r/>
            <w:r>
              <w:rPr>
                <w:b w:val="0"/>
                <w:sz w:val="14"/>
              </w:rPr>
              <w:t>Security + Vendor Risk + Fraud if suspicious</w:t>
            </w:r>
          </w:p>
        </w:tc>
      </w:tr>
    </w:tbl>
    <w:p/>
    <w:p>
      <w:r>
        <w:br w:type="page"/>
      </w:r>
    </w:p>
    <w:p>
      <w:pPr>
        <w:pStyle w:val="Heading1"/>
      </w:pPr>
      <w:r>
        <w:t>Appendix B — Fraud Case File Checklist</w:t>
      </w:r>
    </w:p>
    <w:p>
      <w:r>
        <w:t>Material cases should support reproducible review.</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Category</w:t>
            </w:r>
          </w:p>
        </w:tc>
        <w:tc>
          <w:tcPr>
            <w:tcW w:type="dxa" w:w="5170"/>
            <w:vAlign w:val="center"/>
            <w:shd w:fill="17365D"/>
          </w:tcPr>
          <w:p>
            <w:r/>
            <w:r>
              <w:rPr>
                <w:b/>
                <w:color w:val="FFFFFF"/>
                <w:sz w:val="15"/>
              </w:rPr>
              <w:t>Evidence</w:t>
            </w:r>
          </w:p>
        </w:tc>
      </w:tr>
      <w:tr>
        <w:tc>
          <w:tcPr>
            <w:tcW w:type="dxa" w:w="5170"/>
            <w:vAlign w:val="center"/>
          </w:tcPr>
          <w:p>
            <w:r/>
            <w:r>
              <w:rPr>
                <w:b w:val="0"/>
                <w:sz w:val="14"/>
              </w:rPr>
              <w:t>Referral</w:t>
            </w:r>
          </w:p>
        </w:tc>
        <w:tc>
          <w:tcPr>
            <w:tcW w:type="dxa" w:w="5170"/>
            <w:vAlign w:val="center"/>
          </w:tcPr>
          <w:p>
            <w:r/>
            <w:r>
              <w:rPr>
                <w:b w:val="0"/>
                <w:sz w:val="14"/>
              </w:rPr>
              <w:t>Original alert/report and awareness time.</w:t>
            </w:r>
          </w:p>
        </w:tc>
      </w:tr>
      <w:tr>
        <w:tc>
          <w:tcPr>
            <w:tcW w:type="dxa" w:w="5170"/>
            <w:vAlign w:val="center"/>
          </w:tcPr>
          <w:p>
            <w:r/>
            <w:r>
              <w:rPr>
                <w:b w:val="0"/>
                <w:sz w:val="14"/>
              </w:rPr>
              <w:t>Identity</w:t>
            </w:r>
          </w:p>
        </w:tc>
        <w:tc>
          <w:tcPr>
            <w:tcW w:type="dxa" w:w="5170"/>
            <w:vAlign w:val="center"/>
          </w:tcPr>
          <w:p>
            <w:r/>
            <w:r>
              <w:rPr>
                <w:b w:val="0"/>
                <w:sz w:val="14"/>
              </w:rPr>
              <w:t>Customer identifiers and verified source results.</w:t>
            </w:r>
          </w:p>
        </w:tc>
      </w:tr>
      <w:tr>
        <w:tc>
          <w:tcPr>
            <w:tcW w:type="dxa" w:w="5170"/>
            <w:vAlign w:val="center"/>
          </w:tcPr>
          <w:p>
            <w:r/>
            <w:r>
              <w:rPr>
                <w:b w:val="0"/>
                <w:sz w:val="14"/>
              </w:rPr>
              <w:t>Documents</w:t>
            </w:r>
          </w:p>
        </w:tc>
        <w:tc>
          <w:tcPr>
            <w:tcW w:type="dxa" w:w="5170"/>
            <w:vAlign w:val="center"/>
          </w:tcPr>
          <w:p>
            <w:r/>
            <w:r>
              <w:rPr>
                <w:b w:val="0"/>
                <w:sz w:val="14"/>
              </w:rPr>
              <w:t>Original files/images and verification outcomes.</w:t>
            </w:r>
          </w:p>
        </w:tc>
      </w:tr>
      <w:tr>
        <w:tc>
          <w:tcPr>
            <w:tcW w:type="dxa" w:w="5170"/>
            <w:vAlign w:val="center"/>
          </w:tcPr>
          <w:p>
            <w:r/>
            <w:r>
              <w:rPr>
                <w:b w:val="0"/>
                <w:sz w:val="14"/>
              </w:rPr>
              <w:t>System</w:t>
            </w:r>
          </w:p>
        </w:tc>
        <w:tc>
          <w:tcPr>
            <w:tcW w:type="dxa" w:w="5170"/>
            <w:vAlign w:val="center"/>
          </w:tcPr>
          <w:p>
            <w:r/>
            <w:r>
              <w:rPr>
                <w:b w:val="0"/>
                <w:sz w:val="14"/>
              </w:rPr>
              <w:t>Login/session/access/change logs.</w:t>
            </w:r>
          </w:p>
        </w:tc>
      </w:tr>
      <w:tr>
        <w:tc>
          <w:tcPr>
            <w:tcW w:type="dxa" w:w="5170"/>
            <w:vAlign w:val="center"/>
          </w:tcPr>
          <w:p>
            <w:r/>
            <w:r>
              <w:rPr>
                <w:b w:val="0"/>
                <w:sz w:val="14"/>
              </w:rPr>
              <w:t>Financial</w:t>
            </w:r>
          </w:p>
        </w:tc>
        <w:tc>
          <w:tcPr>
            <w:tcW w:type="dxa" w:w="5170"/>
            <w:vAlign w:val="center"/>
          </w:tcPr>
          <w:p>
            <w:r/>
            <w:r>
              <w:rPr>
                <w:b w:val="0"/>
                <w:sz w:val="14"/>
              </w:rPr>
              <w:t>Transactions, exposure and loss/recovery.</w:t>
            </w:r>
          </w:p>
        </w:tc>
      </w:tr>
      <w:tr>
        <w:tc>
          <w:tcPr>
            <w:tcW w:type="dxa" w:w="5170"/>
            <w:vAlign w:val="center"/>
          </w:tcPr>
          <w:p>
            <w:r/>
            <w:r>
              <w:rPr>
                <w:b w:val="0"/>
                <w:sz w:val="14"/>
              </w:rPr>
              <w:t>Communications</w:t>
            </w:r>
          </w:p>
        </w:tc>
        <w:tc>
          <w:tcPr>
            <w:tcW w:type="dxa" w:w="5170"/>
            <w:vAlign w:val="center"/>
          </w:tcPr>
          <w:p>
            <w:r/>
            <w:r>
              <w:rPr>
                <w:b w:val="0"/>
                <w:sz w:val="14"/>
              </w:rPr>
              <w:t>Customer/employee/vendor contact.</w:t>
            </w:r>
          </w:p>
        </w:tc>
      </w:tr>
      <w:tr>
        <w:tc>
          <w:tcPr>
            <w:tcW w:type="dxa" w:w="5170"/>
            <w:vAlign w:val="center"/>
          </w:tcPr>
          <w:p>
            <w:r/>
            <w:r>
              <w:rPr>
                <w:b w:val="0"/>
                <w:sz w:val="14"/>
              </w:rPr>
              <w:t>Approvals</w:t>
            </w:r>
          </w:p>
        </w:tc>
        <w:tc>
          <w:tcPr>
            <w:tcW w:type="dxa" w:w="5170"/>
            <w:vAlign w:val="center"/>
          </w:tcPr>
          <w:p>
            <w:r/>
            <w:r>
              <w:rPr>
                <w:b w:val="0"/>
                <w:sz w:val="14"/>
              </w:rPr>
              <w:t>Holds, restrictions, access actions.</w:t>
            </w:r>
          </w:p>
        </w:tc>
      </w:tr>
      <w:tr>
        <w:tc>
          <w:tcPr>
            <w:tcW w:type="dxa" w:w="5170"/>
            <w:vAlign w:val="center"/>
          </w:tcPr>
          <w:p>
            <w:r/>
            <w:r>
              <w:rPr>
                <w:b w:val="0"/>
                <w:sz w:val="14"/>
              </w:rPr>
              <w:t>Analysis</w:t>
            </w:r>
          </w:p>
        </w:tc>
        <w:tc>
          <w:tcPr>
            <w:tcW w:type="dxa" w:w="5170"/>
            <w:vAlign w:val="center"/>
          </w:tcPr>
          <w:p>
            <w:r/>
            <w:r>
              <w:rPr>
                <w:b w:val="0"/>
                <w:sz w:val="14"/>
              </w:rPr>
              <w:t>Timeline, hypotheses, findings and disposition.</w:t>
            </w:r>
          </w:p>
        </w:tc>
      </w:tr>
      <w:tr>
        <w:tc>
          <w:tcPr>
            <w:tcW w:type="dxa" w:w="5170"/>
            <w:vAlign w:val="center"/>
          </w:tcPr>
          <w:p>
            <w:r/>
            <w:r>
              <w:rPr>
                <w:b w:val="0"/>
                <w:sz w:val="14"/>
              </w:rPr>
              <w:t>Remediation</w:t>
            </w:r>
          </w:p>
        </w:tc>
        <w:tc>
          <w:tcPr>
            <w:tcW w:type="dxa" w:w="5170"/>
            <w:vAlign w:val="center"/>
          </w:tcPr>
          <w:p>
            <w:r/>
            <w:r>
              <w:rPr>
                <w:b w:val="0"/>
                <w:sz w:val="14"/>
              </w:rPr>
              <w:t>Control actions and owner.</w:t>
            </w:r>
          </w:p>
        </w:tc>
      </w:tr>
    </w:tbl>
    <w:p/>
    <w:p>
      <w:r>
        <w:br w:type="page"/>
      </w:r>
    </w:p>
    <w:p>
      <w:pPr>
        <w:pStyle w:val="Heading1"/>
      </w:pPr>
      <w:r>
        <w:t>Appendix C — Edge Cases</w:t>
      </w:r>
    </w:p>
    <w:p>
      <w:r>
        <w:t>Use judgment and linked specialist processes.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Scenario</w:t>
            </w:r>
          </w:p>
        </w:tc>
        <w:tc>
          <w:tcPr>
            <w:tcW w:type="dxa" w:w="5170"/>
            <w:vAlign w:val="center"/>
            <w:shd w:fill="17365D"/>
          </w:tcPr>
          <w:p>
            <w:r/>
            <w:r>
              <w:rPr>
                <w:b/>
                <w:color w:val="FFFFFF"/>
                <w:sz w:val="15"/>
              </w:rPr>
              <w:t>Treatment</w:t>
            </w:r>
          </w:p>
        </w:tc>
      </w:tr>
      <w:tr>
        <w:tc>
          <w:tcPr>
            <w:tcW w:type="dxa" w:w="5170"/>
            <w:vAlign w:val="center"/>
          </w:tcPr>
          <w:p>
            <w:r/>
            <w:r>
              <w:rPr>
                <w:b w:val="0"/>
                <w:sz w:val="14"/>
              </w:rPr>
              <w:t>Strong income but manipulated payslip</w:t>
            </w:r>
          </w:p>
        </w:tc>
        <w:tc>
          <w:tcPr>
            <w:tcW w:type="dxa" w:w="5170"/>
            <w:vAlign w:val="center"/>
          </w:tcPr>
          <w:p>
            <w:r/>
            <w:r>
              <w:rPr>
                <w:b w:val="0"/>
                <w:sz w:val="14"/>
              </w:rPr>
              <w:t>Fraud/document concern remains despite affordability; hold credit decision.</w:t>
            </w:r>
          </w:p>
        </w:tc>
      </w:tr>
      <w:tr>
        <w:tc>
          <w:tcPr>
            <w:tcW w:type="dxa" w:w="5170"/>
            <w:vAlign w:val="center"/>
          </w:tcPr>
          <w:p>
            <w:r/>
            <w:r>
              <w:rPr>
                <w:b w:val="0"/>
                <w:sz w:val="14"/>
              </w:rPr>
              <w:t>Customer denies transaction but login used usual device</w:t>
            </w:r>
          </w:p>
        </w:tc>
        <w:tc>
          <w:tcPr>
            <w:tcW w:type="dxa" w:w="5170"/>
            <w:vAlign w:val="center"/>
          </w:tcPr>
          <w:p>
            <w:r/>
            <w:r>
              <w:rPr>
                <w:b w:val="0"/>
                <w:sz w:val="14"/>
              </w:rPr>
              <w:t>Investigate account takeover/scam; device familiarity is not conclusive.</w:t>
            </w:r>
          </w:p>
        </w:tc>
      </w:tr>
      <w:tr>
        <w:tc>
          <w:tcPr>
            <w:tcW w:type="dxa" w:w="5170"/>
            <w:vAlign w:val="center"/>
          </w:tcPr>
          <w:p>
            <w:r/>
            <w:r>
              <w:rPr>
                <w:b w:val="0"/>
                <w:sz w:val="14"/>
              </w:rPr>
              <w:t>Employee used emergency access during outage</w:t>
            </w:r>
          </w:p>
        </w:tc>
        <w:tc>
          <w:tcPr>
            <w:tcW w:type="dxa" w:w="5170"/>
            <w:vAlign w:val="center"/>
          </w:tcPr>
          <w:p>
            <w:r/>
            <w:r>
              <w:rPr>
                <w:b w:val="0"/>
                <w:sz w:val="14"/>
              </w:rPr>
              <w:t>Verify authorization and purpose before treating as misconduct.</w:t>
            </w:r>
          </w:p>
        </w:tc>
      </w:tr>
      <w:tr>
        <w:tc>
          <w:tcPr>
            <w:tcW w:type="dxa" w:w="5170"/>
            <w:vAlign w:val="center"/>
          </w:tcPr>
          <w:p>
            <w:r/>
            <w:r>
              <w:rPr>
                <w:b w:val="0"/>
                <w:sz w:val="14"/>
              </w:rPr>
              <w:t>Vendor technician accidentally used old account</w:t>
            </w:r>
          </w:p>
        </w:tc>
        <w:tc>
          <w:tcPr>
            <w:tcW w:type="dxa" w:w="5170"/>
            <w:vAlign w:val="center"/>
          </w:tcPr>
          <w:p>
            <w:r/>
            <w:r>
              <w:rPr>
                <w:b w:val="0"/>
                <w:sz w:val="14"/>
              </w:rPr>
              <w:t>Security/access breach may exist even if fraud is not substantiated.</w:t>
            </w:r>
          </w:p>
        </w:tc>
      </w:tr>
      <w:tr>
        <w:tc>
          <w:tcPr>
            <w:tcW w:type="dxa" w:w="5170"/>
            <w:vAlign w:val="center"/>
          </w:tcPr>
          <w:p>
            <w:r/>
            <w:r>
              <w:rPr>
                <w:b w:val="0"/>
                <w:sz w:val="14"/>
              </w:rPr>
              <w:t>AML alert closed as explainable activity but customer later reports scam</w:t>
            </w:r>
          </w:p>
        </w:tc>
        <w:tc>
          <w:tcPr>
            <w:tcW w:type="dxa" w:w="5170"/>
            <w:vAlign w:val="center"/>
          </w:tcPr>
          <w:p>
            <w:r/>
            <w:r>
              <w:rPr>
                <w:b w:val="0"/>
                <w:sz w:val="14"/>
              </w:rPr>
              <w:t>Open fraud/scam case; prior AML disposition does not preclude new evidence.</w:t>
            </w:r>
          </w:p>
        </w:tc>
      </w:tr>
    </w:tbl>
    <w:p/>
    <w:p>
      <w:r>
        <w:br w:type="page"/>
      </w:r>
    </w:p>
    <w:p>
      <w:pPr>
        <w:pStyle w:val="Heading1"/>
      </w:pPr>
      <w:r>
        <w:t>Appendix D — Fraud Register Fields</w:t>
      </w:r>
    </w:p>
    <w:p>
      <w:r>
        <w:t>Operational workbook contains the detailed register.</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Fraud Case ID</w:t>
            </w:r>
          </w:p>
        </w:tc>
        <w:tc>
          <w:tcPr>
            <w:tcW w:type="dxa" w:w="5170"/>
            <w:vAlign w:val="center"/>
          </w:tcPr>
          <w:p>
            <w:r/>
            <w:r>
              <w:rPr>
                <w:b w:val="0"/>
                <w:sz w:val="14"/>
              </w:rPr>
              <w:t>Unique case.</w:t>
            </w:r>
          </w:p>
        </w:tc>
      </w:tr>
      <w:tr>
        <w:tc>
          <w:tcPr>
            <w:tcW w:type="dxa" w:w="5170"/>
            <w:vAlign w:val="center"/>
          </w:tcPr>
          <w:p>
            <w:r/>
            <w:r>
              <w:rPr>
                <w:b w:val="0"/>
                <w:sz w:val="14"/>
              </w:rPr>
              <w:t>Referral Date</w:t>
            </w:r>
          </w:p>
        </w:tc>
        <w:tc>
          <w:tcPr>
            <w:tcW w:type="dxa" w:w="5170"/>
            <w:vAlign w:val="center"/>
          </w:tcPr>
          <w:p>
            <w:r/>
            <w:r>
              <w:rPr>
                <w:b w:val="0"/>
                <w:sz w:val="14"/>
              </w:rPr>
              <w:t>Awareness/referral date.</w:t>
            </w:r>
          </w:p>
        </w:tc>
      </w:tr>
      <w:tr>
        <w:tc>
          <w:tcPr>
            <w:tcW w:type="dxa" w:w="5170"/>
            <w:vAlign w:val="center"/>
          </w:tcPr>
          <w:p>
            <w:r/>
            <w:r>
              <w:rPr>
                <w:b w:val="0"/>
                <w:sz w:val="14"/>
              </w:rPr>
              <w:t>Entity Type</w:t>
            </w:r>
          </w:p>
        </w:tc>
        <w:tc>
          <w:tcPr>
            <w:tcW w:type="dxa" w:w="5170"/>
            <w:vAlign w:val="center"/>
          </w:tcPr>
          <w:p>
            <w:r/>
            <w:r>
              <w:rPr>
                <w:b w:val="0"/>
                <w:sz w:val="14"/>
              </w:rPr>
              <w:t>Customer / employee / vendor / other.</w:t>
            </w:r>
          </w:p>
        </w:tc>
      </w:tr>
      <w:tr>
        <w:tc>
          <w:tcPr>
            <w:tcW w:type="dxa" w:w="5170"/>
            <w:vAlign w:val="center"/>
          </w:tcPr>
          <w:p>
            <w:r/>
            <w:r>
              <w:rPr>
                <w:b w:val="0"/>
                <w:sz w:val="14"/>
              </w:rPr>
              <w:t>Typology</w:t>
            </w:r>
          </w:p>
        </w:tc>
        <w:tc>
          <w:tcPr>
            <w:tcW w:type="dxa" w:w="5170"/>
            <w:vAlign w:val="center"/>
          </w:tcPr>
          <w:p>
            <w:r/>
            <w:r>
              <w:rPr>
                <w:b w:val="0"/>
                <w:sz w:val="14"/>
              </w:rPr>
              <w:t>Identity, document, payment, mule, insider, vendor, account takeover.</w:t>
            </w:r>
          </w:p>
        </w:tc>
      </w:tr>
      <w:tr>
        <w:tc>
          <w:tcPr>
            <w:tcW w:type="dxa" w:w="5170"/>
            <w:vAlign w:val="center"/>
          </w:tcPr>
          <w:p>
            <w:r/>
            <w:r>
              <w:rPr>
                <w:b w:val="0"/>
                <w:sz w:val="14"/>
              </w:rPr>
              <w:t>Severity</w:t>
            </w:r>
          </w:p>
        </w:tc>
        <w:tc>
          <w:tcPr>
            <w:tcW w:type="dxa" w:w="5170"/>
            <w:vAlign w:val="center"/>
          </w:tcPr>
          <w:p>
            <w:r/>
            <w:r>
              <w:rPr>
                <w:b w:val="0"/>
                <w:sz w:val="14"/>
              </w:rPr>
              <w:t>F1–F4.</w:t>
            </w:r>
          </w:p>
        </w:tc>
      </w:tr>
      <w:tr>
        <w:tc>
          <w:tcPr>
            <w:tcW w:type="dxa" w:w="5170"/>
            <w:vAlign w:val="center"/>
          </w:tcPr>
          <w:p>
            <w:r/>
            <w:r>
              <w:rPr>
                <w:b w:val="0"/>
                <w:sz w:val="14"/>
              </w:rPr>
              <w:t>Exposure</w:t>
            </w:r>
          </w:p>
        </w:tc>
        <w:tc>
          <w:tcPr>
            <w:tcW w:type="dxa" w:w="5170"/>
            <w:vAlign w:val="center"/>
          </w:tcPr>
          <w:p>
            <w:r/>
            <w:r>
              <w:rPr>
                <w:b w:val="0"/>
                <w:sz w:val="14"/>
              </w:rPr>
              <w:t>Potential value.</w:t>
            </w:r>
          </w:p>
        </w:tc>
      </w:tr>
      <w:tr>
        <w:tc>
          <w:tcPr>
            <w:tcW w:type="dxa" w:w="5170"/>
            <w:vAlign w:val="center"/>
          </w:tcPr>
          <w:p>
            <w:r/>
            <w:r>
              <w:rPr>
                <w:b w:val="0"/>
                <w:sz w:val="14"/>
              </w:rPr>
              <w:t>Loss</w:t>
            </w:r>
          </w:p>
        </w:tc>
        <w:tc>
          <w:tcPr>
            <w:tcW w:type="dxa" w:w="5170"/>
            <w:vAlign w:val="center"/>
          </w:tcPr>
          <w:p>
            <w:r/>
            <w:r>
              <w:rPr>
                <w:b w:val="0"/>
                <w:sz w:val="14"/>
              </w:rPr>
              <w:t>Confirmed financial loss.</w:t>
            </w:r>
          </w:p>
        </w:tc>
      </w:tr>
      <w:tr>
        <w:tc>
          <w:tcPr>
            <w:tcW w:type="dxa" w:w="5170"/>
            <w:vAlign w:val="center"/>
          </w:tcPr>
          <w:p>
            <w:r/>
            <w:r>
              <w:rPr>
                <w:b w:val="0"/>
                <w:sz w:val="14"/>
              </w:rPr>
              <w:t>Linked Case</w:t>
            </w:r>
          </w:p>
        </w:tc>
        <w:tc>
          <w:tcPr>
            <w:tcW w:type="dxa" w:w="5170"/>
            <w:vAlign w:val="center"/>
          </w:tcPr>
          <w:p>
            <w:r/>
            <w:r>
              <w:rPr>
                <w:b w:val="0"/>
                <w:sz w:val="14"/>
              </w:rPr>
              <w:t>AML/security/compliance/ORI reference.</w:t>
            </w:r>
          </w:p>
        </w:tc>
      </w:tr>
      <w:tr>
        <w:tc>
          <w:tcPr>
            <w:tcW w:type="dxa" w:w="5170"/>
            <w:vAlign w:val="center"/>
          </w:tcPr>
          <w:p>
            <w:r/>
            <w:r>
              <w:rPr>
                <w:b w:val="0"/>
                <w:sz w:val="14"/>
              </w:rPr>
              <w:t>Status</w:t>
            </w:r>
          </w:p>
        </w:tc>
        <w:tc>
          <w:tcPr>
            <w:tcW w:type="dxa" w:w="5170"/>
            <w:vAlign w:val="center"/>
          </w:tcPr>
          <w:p>
            <w:r/>
            <w:r>
              <w:rPr>
                <w:b w:val="0"/>
                <w:sz w:val="14"/>
              </w:rPr>
              <w:t>Open / contained / investigated / closed.</w:t>
            </w:r>
          </w:p>
        </w:tc>
      </w:tr>
      <w:tr>
        <w:tc>
          <w:tcPr>
            <w:tcW w:type="dxa" w:w="5170"/>
            <w:vAlign w:val="center"/>
          </w:tcPr>
          <w:p>
            <w:r/>
            <w:r>
              <w:rPr>
                <w:b w:val="0"/>
                <w:sz w:val="14"/>
              </w:rPr>
              <w:t>Disposition</w:t>
            </w:r>
          </w:p>
        </w:tc>
        <w:tc>
          <w:tcPr>
            <w:tcW w:type="dxa" w:w="5170"/>
            <w:vAlign w:val="center"/>
          </w:tcPr>
          <w:p>
            <w:r/>
            <w:r>
              <w:rPr>
                <w:b w:val="0"/>
                <w:sz w:val="14"/>
              </w:rPr>
              <w:t>Substantiated / attempted / unsubstantiated / other.</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