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Information Security Incident Response Procedure</w:t>
      </w:r>
    </w:p>
    <w:p>
      <w:pPr>
        <w:jc w:val="center"/>
      </w:pPr>
      <w:r>
        <w:rPr>
          <w:sz w:val="20"/>
        </w:rPr>
        <w:t>SIR-052  |  Version 1.1  |  Internal — Restricted</w:t>
      </w:r>
    </w:p>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D9EAF7"/>
          </w:tcPr>
          <w:p>
            <w:r/>
            <w:r>
              <w:rPr>
                <w:b/>
                <w:color w:val="17365D"/>
                <w:sz w:val="16"/>
              </w:rPr>
              <w:t>Document ID</w:t>
            </w:r>
          </w:p>
        </w:tc>
        <w:tc>
          <w:tcPr>
            <w:tcW w:type="dxa" w:w="5155"/>
            <w:vAlign w:val="center"/>
          </w:tcPr>
          <w:p>
            <w:r/>
            <w:r>
              <w:rPr>
                <w:b w:val="0"/>
                <w:sz w:val="16"/>
              </w:rPr>
              <w:t>SIR-052</w:t>
            </w:r>
          </w:p>
        </w:tc>
      </w:tr>
      <w:tr>
        <w:tc>
          <w:tcPr>
            <w:tcW w:type="dxa" w:w="5155"/>
            <w:vAlign w:val="center"/>
            <w:shd w:fill="D9EAF7"/>
          </w:tcPr>
          <w:p>
            <w:r/>
            <w:r>
              <w:rPr>
                <w:b/>
                <w:color w:val="17365D"/>
                <w:sz w:val="16"/>
              </w:rPr>
              <w:t>Document Title</w:t>
            </w:r>
          </w:p>
        </w:tc>
        <w:tc>
          <w:tcPr>
            <w:tcW w:type="dxa" w:w="5155"/>
            <w:vAlign w:val="center"/>
          </w:tcPr>
          <w:p>
            <w:r/>
            <w:r>
              <w:rPr>
                <w:b w:val="0"/>
                <w:sz w:val="16"/>
              </w:rPr>
              <w:t>Information Security Incident Response Procedure</w:t>
            </w:r>
          </w:p>
        </w:tc>
      </w:tr>
      <w:tr>
        <w:tc>
          <w:tcPr>
            <w:tcW w:type="dxa" w:w="5155"/>
            <w:vAlign w:val="center"/>
            <w:shd w:fill="D9EAF7"/>
          </w:tcPr>
          <w:p>
            <w:r/>
            <w:r>
              <w:rPr>
                <w:b/>
                <w:color w:val="17365D"/>
                <w:sz w:val="16"/>
              </w:rPr>
              <w:t>Version</w:t>
            </w:r>
          </w:p>
        </w:tc>
        <w:tc>
          <w:tcPr>
            <w:tcW w:type="dxa" w:w="5155"/>
            <w:vAlign w:val="center"/>
          </w:tcPr>
          <w:p>
            <w:r/>
            <w:r>
              <w:rPr>
                <w:b w:val="0"/>
                <w:sz w:val="16"/>
              </w:rPr>
              <w:t>1.1</w:t>
            </w:r>
          </w:p>
        </w:tc>
      </w:tr>
      <w:tr>
        <w:tc>
          <w:tcPr>
            <w:tcW w:type="dxa" w:w="5155"/>
            <w:vAlign w:val="center"/>
            <w:shd w:fill="D9EAF7"/>
          </w:tcPr>
          <w:p>
            <w:r/>
            <w:r>
              <w:rPr>
                <w:b/>
                <w:color w:val="17365D"/>
                <w:sz w:val="16"/>
              </w:rPr>
              <w:t>Policy Owner</w:t>
            </w:r>
          </w:p>
        </w:tc>
        <w:tc>
          <w:tcPr>
            <w:tcW w:type="dxa" w:w="5155"/>
            <w:vAlign w:val="center"/>
          </w:tcPr>
          <w:p>
            <w:r/>
            <w:r>
              <w:rPr>
                <w:b w:val="0"/>
                <w:sz w:val="16"/>
              </w:rPr>
              <w:t>Arjun Malhotra — Head of Security Operations</w:t>
            </w:r>
          </w:p>
        </w:tc>
      </w:tr>
      <w:tr>
        <w:tc>
          <w:tcPr>
            <w:tcW w:type="dxa" w:w="5155"/>
            <w:vAlign w:val="center"/>
            <w:shd w:fill="D9EAF7"/>
          </w:tcPr>
          <w:p>
            <w:r/>
            <w:r>
              <w:rPr>
                <w:b/>
                <w:color w:val="17365D"/>
                <w:sz w:val="16"/>
              </w:rPr>
              <w:t>Business Unit</w:t>
            </w:r>
          </w:p>
        </w:tc>
        <w:tc>
          <w:tcPr>
            <w:tcW w:type="dxa" w:w="5155"/>
            <w:vAlign w:val="center"/>
          </w:tcPr>
          <w:p>
            <w:r/>
            <w:r>
              <w:rPr>
                <w:b w:val="0"/>
                <w:sz w:val="16"/>
              </w:rPr>
              <w:t>Information Security / Technology</w:t>
            </w:r>
          </w:p>
        </w:tc>
      </w:tr>
      <w:tr>
        <w:tc>
          <w:tcPr>
            <w:tcW w:type="dxa" w:w="5155"/>
            <w:vAlign w:val="center"/>
            <w:shd w:fill="D9EAF7"/>
          </w:tcPr>
          <w:p>
            <w:r/>
            <w:r>
              <w:rPr>
                <w:b/>
                <w:color w:val="17365D"/>
                <w:sz w:val="16"/>
              </w:rPr>
              <w:t>Approving Authority</w:t>
            </w:r>
          </w:p>
        </w:tc>
        <w:tc>
          <w:tcPr>
            <w:tcW w:type="dxa" w:w="5155"/>
            <w:vAlign w:val="center"/>
          </w:tcPr>
          <w:p>
            <w:r/>
            <w:r>
              <w:rPr>
                <w:b w:val="0"/>
                <w:sz w:val="16"/>
              </w:rPr>
              <w:t>Chief Information Security Officer</w:t>
            </w:r>
          </w:p>
        </w:tc>
      </w:tr>
      <w:tr>
        <w:tc>
          <w:tcPr>
            <w:tcW w:type="dxa" w:w="5155"/>
            <w:vAlign w:val="center"/>
            <w:shd w:fill="D9EAF7"/>
          </w:tcPr>
          <w:p>
            <w:r/>
            <w:r>
              <w:rPr>
                <w:b/>
                <w:color w:val="17365D"/>
                <w:sz w:val="16"/>
              </w:rPr>
              <w:t>Effective Date</w:t>
            </w:r>
          </w:p>
        </w:tc>
        <w:tc>
          <w:tcPr>
            <w:tcW w:type="dxa" w:w="5155"/>
            <w:vAlign w:val="center"/>
          </w:tcPr>
          <w:p>
            <w:r/>
            <w:r>
              <w:rPr>
                <w:b w:val="0"/>
                <w:sz w:val="16"/>
              </w:rPr>
              <w:t>1 May 2026</w:t>
            </w:r>
          </w:p>
        </w:tc>
      </w:tr>
      <w:tr>
        <w:tc>
          <w:tcPr>
            <w:tcW w:type="dxa" w:w="5155"/>
            <w:vAlign w:val="center"/>
            <w:shd w:fill="D9EAF7"/>
          </w:tcPr>
          <w:p>
            <w:r/>
            <w:r>
              <w:rPr>
                <w:b/>
                <w:color w:val="17365D"/>
                <w:sz w:val="16"/>
              </w:rPr>
              <w:t>Previous Version</w:t>
            </w:r>
          </w:p>
        </w:tc>
        <w:tc>
          <w:tcPr>
            <w:tcW w:type="dxa" w:w="5155"/>
            <w:vAlign w:val="center"/>
          </w:tcPr>
          <w:p>
            <w:r/>
            <w:r>
              <w:rPr>
                <w:b w:val="0"/>
                <w:sz w:val="16"/>
              </w:rPr>
              <w:t>1.0</w:t>
            </w:r>
          </w:p>
        </w:tc>
      </w:tr>
      <w:tr>
        <w:tc>
          <w:tcPr>
            <w:tcW w:type="dxa" w:w="5155"/>
            <w:vAlign w:val="center"/>
            <w:shd w:fill="D9EAF7"/>
          </w:tcPr>
          <w:p>
            <w:r/>
            <w:r>
              <w:rPr>
                <w:b/>
                <w:color w:val="17365D"/>
                <w:sz w:val="16"/>
              </w:rPr>
              <w:t>Review Frequency</w:t>
            </w:r>
          </w:p>
        </w:tc>
        <w:tc>
          <w:tcPr>
            <w:tcW w:type="dxa" w:w="5155"/>
            <w:vAlign w:val="center"/>
          </w:tcPr>
          <w:p>
            <w:r/>
            <w:r>
              <w:rPr>
                <w:b w:val="0"/>
                <w:sz w:val="16"/>
              </w:rPr>
              <w:t>Annual / after material incident</w:t>
            </w:r>
          </w:p>
        </w:tc>
      </w:tr>
      <w:tr>
        <w:tc>
          <w:tcPr>
            <w:tcW w:type="dxa" w:w="5155"/>
            <w:vAlign w:val="center"/>
            <w:shd w:fill="D9EAF7"/>
          </w:tcPr>
          <w:p>
            <w:r/>
            <w:r>
              <w:rPr>
                <w:b/>
                <w:color w:val="17365D"/>
                <w:sz w:val="16"/>
              </w:rPr>
              <w:t>Classification</w:t>
            </w:r>
          </w:p>
        </w:tc>
        <w:tc>
          <w:tcPr>
            <w:tcW w:type="dxa" w:w="5155"/>
            <w:vAlign w:val="center"/>
          </w:tcPr>
          <w:p>
            <w:r/>
            <w:r>
              <w:rPr>
                <w:b w:val="0"/>
                <w:sz w:val="16"/>
              </w:rPr>
              <w:t>Internal — Restricted</w:t>
            </w:r>
          </w:p>
        </w:tc>
      </w:tr>
      <w:tr>
        <w:tc>
          <w:tcPr>
            <w:tcW w:type="dxa" w:w="5155"/>
            <w:vAlign w:val="center"/>
            <w:shd w:fill="D9EAF7"/>
          </w:tcPr>
          <w:p>
            <w:r/>
            <w:r>
              <w:rPr>
                <w:b/>
                <w:color w:val="17365D"/>
                <w:sz w:val="16"/>
              </w:rPr>
              <w:t>Status</w:t>
            </w:r>
          </w:p>
        </w:tc>
        <w:tc>
          <w:tcPr>
            <w:tcW w:type="dxa" w:w="5155"/>
            <w:vAlign w:val="center"/>
          </w:tcPr>
          <w:p>
            <w:r/>
            <w:r>
              <w:rPr>
                <w:b w:val="0"/>
                <w:sz w:val="16"/>
              </w:rPr>
              <w:t>Approved</w:t>
            </w:r>
          </w:p>
        </w:tc>
      </w:tr>
      <w:tr>
        <w:tc>
          <w:tcPr>
            <w:tcW w:type="dxa" w:w="5155"/>
            <w:vAlign w:val="center"/>
            <w:shd w:fill="D9EAF7"/>
          </w:tcPr>
          <w:p>
            <w:r/>
            <w:r>
              <w:rPr>
                <w:b/>
                <w:color w:val="17365D"/>
                <w:sz w:val="16"/>
              </w:rPr>
              <w:t>Supersedes</w:t>
            </w:r>
          </w:p>
        </w:tc>
        <w:tc>
          <w:tcPr>
            <w:tcW w:type="dxa" w:w="5155"/>
            <w:vAlign w:val="center"/>
          </w:tcPr>
          <w:p>
            <w:r/>
            <w:r>
              <w:rPr>
                <w:b w:val="0"/>
                <w:sz w:val="16"/>
              </w:rPr>
              <w:t>SIR-052 v1.0</w:t>
            </w:r>
          </w:p>
        </w:tc>
      </w:tr>
      <w:tr>
        <w:tc>
          <w:tcPr>
            <w:tcW w:type="dxa" w:w="5155"/>
            <w:vAlign w:val="center"/>
            <w:shd w:fill="D9EAF7"/>
          </w:tcPr>
          <w:p>
            <w:r/>
            <w:r>
              <w:rPr>
                <w:b/>
                <w:color w:val="17365D"/>
                <w:sz w:val="16"/>
              </w:rPr>
              <w:t>Related Documents</w:t>
            </w:r>
          </w:p>
        </w:tc>
        <w:tc>
          <w:tcPr>
            <w:tcW w:type="dxa" w:w="5155"/>
            <w:vAlign w:val="center"/>
          </w:tcPr>
          <w:p>
            <w:r/>
            <w:r>
              <w:rPr>
                <w:b w:val="0"/>
                <w:sz w:val="16"/>
              </w:rPr>
              <w:t>ISP-014; ACS-051; RMF-008; RAS-009; CBP-043; VRP-053; Business Continuity Procedure (future)</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Version</w:t>
            </w:r>
          </w:p>
        </w:tc>
        <w:tc>
          <w:tcPr>
            <w:tcW w:type="dxa" w:w="2577"/>
            <w:vAlign w:val="center"/>
            <w:shd w:fill="17365D"/>
          </w:tcPr>
          <w:p>
            <w:r/>
            <w:r>
              <w:rPr>
                <w:b/>
                <w:color w:val="FFFFFF"/>
                <w:sz w:val="15"/>
              </w:rPr>
              <w:t>Effective Date</w:t>
            </w:r>
          </w:p>
        </w:tc>
        <w:tc>
          <w:tcPr>
            <w:tcW w:type="dxa" w:w="2577"/>
            <w:vAlign w:val="center"/>
            <w:shd w:fill="17365D"/>
          </w:tcPr>
          <w:p>
            <w:r/>
            <w:r>
              <w:rPr>
                <w:b/>
                <w:color w:val="FFFFFF"/>
                <w:sz w:val="15"/>
              </w:rPr>
              <w:t>Change Summary</w:t>
            </w:r>
          </w:p>
        </w:tc>
        <w:tc>
          <w:tcPr>
            <w:tcW w:type="dxa" w:w="2577"/>
            <w:vAlign w:val="center"/>
            <w:shd w:fill="17365D"/>
          </w:tcPr>
          <w:p>
            <w:r/>
            <w:r>
              <w:rPr>
                <w:b/>
                <w:color w:val="FFFFFF"/>
                <w:sz w:val="15"/>
              </w:rPr>
              <w:t>Approving Authority</w:t>
            </w:r>
          </w:p>
        </w:tc>
      </w:tr>
      <w:tr>
        <w:tc>
          <w:tcPr>
            <w:tcW w:type="dxa" w:w="2577"/>
            <w:vAlign w:val="center"/>
          </w:tcPr>
          <w:p>
            <w:r/>
            <w:r>
              <w:rPr>
                <w:b w:val="0"/>
                <w:sz w:val="15"/>
              </w:rPr>
              <w:t>1.0</w:t>
            </w:r>
          </w:p>
        </w:tc>
        <w:tc>
          <w:tcPr>
            <w:tcW w:type="dxa" w:w="2577"/>
            <w:vAlign w:val="center"/>
          </w:tcPr>
          <w:p>
            <w:r/>
            <w:r>
              <w:rPr>
                <w:b w:val="0"/>
                <w:sz w:val="15"/>
              </w:rPr>
              <w:t>1 Oct 2025</w:t>
            </w:r>
          </w:p>
        </w:tc>
        <w:tc>
          <w:tcPr>
            <w:tcW w:type="dxa" w:w="2577"/>
            <w:vAlign w:val="center"/>
          </w:tcPr>
          <w:p>
            <w:r/>
            <w:r>
              <w:rPr>
                <w:b w:val="0"/>
                <w:sz w:val="15"/>
              </w:rPr>
              <w:t>Established enterprise incident lifecycle and severity model.</w:t>
            </w:r>
          </w:p>
        </w:tc>
        <w:tc>
          <w:tcPr>
            <w:tcW w:type="dxa" w:w="2577"/>
            <w:vAlign w:val="center"/>
          </w:tcPr>
          <w:p>
            <w:r/>
            <w:r>
              <w:rPr>
                <w:b w:val="0"/>
                <w:sz w:val="15"/>
              </w:rPr>
              <w:t>CISO</w:t>
            </w:r>
          </w:p>
        </w:tc>
      </w:tr>
      <w:tr>
        <w:tc>
          <w:tcPr>
            <w:tcW w:type="dxa" w:w="2577"/>
            <w:vAlign w:val="center"/>
          </w:tcPr>
          <w:p>
            <w:r/>
            <w:r>
              <w:rPr>
                <w:b w:val="0"/>
                <w:sz w:val="15"/>
              </w:rPr>
              <w:t>1.1</w:t>
            </w:r>
          </w:p>
        </w:tc>
        <w:tc>
          <w:tcPr>
            <w:tcW w:type="dxa" w:w="2577"/>
            <w:vAlign w:val="center"/>
          </w:tcPr>
          <w:p>
            <w:r/>
            <w:r>
              <w:rPr>
                <w:b w:val="0"/>
                <w:sz w:val="15"/>
              </w:rPr>
              <w:t>1 May 2026</w:t>
            </w:r>
          </w:p>
        </w:tc>
        <w:tc>
          <w:tcPr>
            <w:tcW w:type="dxa" w:w="2577"/>
            <w:vAlign w:val="center"/>
          </w:tcPr>
          <w:p>
            <w:r/>
            <w:r>
              <w:rPr>
                <w:b w:val="0"/>
                <w:sz w:val="15"/>
              </w:rPr>
              <w:t>Tightened SEV-1/SEV-2 notification, added cloud/vendor evidence and compliance parallel escalation.</w:t>
            </w:r>
          </w:p>
        </w:tc>
        <w:tc>
          <w:tcPr>
            <w:tcW w:type="dxa" w:w="2577"/>
            <w:vAlign w:val="center"/>
          </w:tcPr>
          <w:p>
            <w:r/>
            <w:r>
              <w:rPr>
                <w:b w:val="0"/>
                <w:sz w:val="15"/>
              </w:rPr>
              <w:t>CISO</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Procedure defines how Northstar identifies, records, triages, contains, investigates, eradicates, recovers from and learns from information-security incidents.</w:t>
      </w:r>
    </w:p>
    <w:p>
      <w:pPr>
        <w:pStyle w:val="Heading1"/>
      </w:pPr>
      <w:r>
        <w:t>2. Scope</w:t>
      </w:r>
    </w:p>
    <w:p>
      <w:r>
        <w:t>It covers suspected or confirmed events affecting confidentiality, integrity or availability of Northstar information or technology, including third-party environments where Northstar data or services are affected.</w:t>
      </w:r>
    </w:p>
    <w:p>
      <w:pPr>
        <w:pStyle w:val="ListBullet"/>
      </w:pPr>
      <w:r>
        <w:t>Unauthorized access or credential compromise.</w:t>
      </w:r>
    </w:p>
    <w:p>
      <w:pPr>
        <w:pStyle w:val="ListBullet"/>
      </w:pPr>
      <w:r>
        <w:t>Malware, ransomware or destructive activity.</w:t>
      </w:r>
    </w:p>
    <w:p>
      <w:pPr>
        <w:pStyle w:val="ListBullet"/>
      </w:pPr>
      <w:r>
        <w:t>Data leakage, loss or unintended disclosure.</w:t>
      </w:r>
    </w:p>
    <w:p>
      <w:pPr>
        <w:pStyle w:val="ListBullet"/>
      </w:pPr>
      <w:r>
        <w:t>Denial of service or material outage with security cause.</w:t>
      </w:r>
    </w:p>
    <w:p>
      <w:pPr>
        <w:pStyle w:val="ListBullet"/>
      </w:pPr>
      <w:r>
        <w:t>Cloud misconfiguration or public exposure.</w:t>
      </w:r>
    </w:p>
    <w:p>
      <w:pPr>
        <w:pStyle w:val="ListBullet"/>
      </w:pPr>
      <w:r>
        <w:t>Insider misuse or unauthorized privileged activity.</w:t>
      </w:r>
    </w:p>
    <w:p>
      <w:pPr>
        <w:pStyle w:val="ListBullet"/>
      </w:pPr>
      <w:r>
        <w:t>Vendor security incident affecting Northstar.</w:t>
      </w:r>
    </w:p>
    <w:p>
      <w:pPr>
        <w:pStyle w:val="ListBullet"/>
      </w:pPr>
      <w:r>
        <w:t>Security-control tampering or material logging loss.</w:t>
      </w:r>
    </w:p>
    <w:p>
      <w:pPr>
        <w:pStyle w:val="Heading1"/>
      </w:pPr>
      <w:r>
        <w:t>3. Incident vs Event</w:t>
      </w:r>
    </w:p>
    <w:p>
      <w:r>
        <w:t>A security event is an observable occurrence requiring assessment; an incident is an event or group of events that has, or credibly threatens, material security impact.</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Term</w:t>
            </w:r>
          </w:p>
        </w:tc>
        <w:tc>
          <w:tcPr>
            <w:tcW w:type="dxa" w:w="5155"/>
            <w:vAlign w:val="center"/>
            <w:shd w:fill="17365D"/>
          </w:tcPr>
          <w:p>
            <w:r/>
            <w:r>
              <w:rPr>
                <w:b/>
                <w:color w:val="FFFFFF"/>
                <w:sz w:val="15"/>
              </w:rPr>
              <w:t>Example</w:t>
            </w:r>
          </w:p>
        </w:tc>
      </w:tr>
      <w:tr>
        <w:tc>
          <w:tcPr>
            <w:tcW w:type="dxa" w:w="5155"/>
            <w:vAlign w:val="center"/>
          </w:tcPr>
          <w:p>
            <w:r/>
            <w:r>
              <w:rPr>
                <w:b w:val="0"/>
                <w:sz w:val="15"/>
              </w:rPr>
              <w:t>Event</w:t>
            </w:r>
          </w:p>
        </w:tc>
        <w:tc>
          <w:tcPr>
            <w:tcW w:type="dxa" w:w="5155"/>
            <w:vAlign w:val="center"/>
          </w:tcPr>
          <w:p>
            <w:r/>
            <w:r>
              <w:rPr>
                <w:b w:val="0"/>
                <w:sz w:val="15"/>
              </w:rPr>
              <w:t>Multiple failed logins from unusual location.</w:t>
            </w:r>
          </w:p>
        </w:tc>
      </w:tr>
      <w:tr>
        <w:tc>
          <w:tcPr>
            <w:tcW w:type="dxa" w:w="5155"/>
            <w:vAlign w:val="center"/>
          </w:tcPr>
          <w:p>
            <w:r/>
            <w:r>
              <w:rPr>
                <w:b w:val="0"/>
                <w:sz w:val="15"/>
              </w:rPr>
              <w:t>Incident</w:t>
            </w:r>
          </w:p>
        </w:tc>
        <w:tc>
          <w:tcPr>
            <w:tcW w:type="dxa" w:w="5155"/>
            <w:vAlign w:val="center"/>
          </w:tcPr>
          <w:p>
            <w:r/>
            <w:r>
              <w:rPr>
                <w:b w:val="0"/>
                <w:sz w:val="15"/>
              </w:rPr>
              <w:t>Compromised credentials used to access customer records.</w:t>
            </w:r>
          </w:p>
        </w:tc>
      </w:tr>
      <w:tr>
        <w:tc>
          <w:tcPr>
            <w:tcW w:type="dxa" w:w="5155"/>
            <w:vAlign w:val="center"/>
          </w:tcPr>
          <w:p>
            <w:r/>
            <w:r>
              <w:rPr>
                <w:b w:val="0"/>
                <w:sz w:val="15"/>
              </w:rPr>
              <w:t>Near miss</w:t>
            </w:r>
          </w:p>
        </w:tc>
        <w:tc>
          <w:tcPr>
            <w:tcW w:type="dxa" w:w="5155"/>
            <w:vAlign w:val="center"/>
          </w:tcPr>
          <w:p>
            <w:r/>
            <w:r>
              <w:rPr>
                <w:b w:val="0"/>
                <w:sz w:val="15"/>
              </w:rPr>
              <w:t>Public cloud bucket detected before data became accessible.</w:t>
            </w:r>
          </w:p>
        </w:tc>
      </w:tr>
      <w:tr>
        <w:tc>
          <w:tcPr>
            <w:tcW w:type="dxa" w:w="5155"/>
            <w:vAlign w:val="center"/>
          </w:tcPr>
          <w:p>
            <w:r/>
            <w:r>
              <w:rPr>
                <w:b w:val="0"/>
                <w:sz w:val="15"/>
              </w:rPr>
              <w:t>Control weakness</w:t>
            </w:r>
          </w:p>
        </w:tc>
        <w:tc>
          <w:tcPr>
            <w:tcW w:type="dxa" w:w="5155"/>
            <w:vAlign w:val="center"/>
          </w:tcPr>
          <w:p>
            <w:r/>
            <w:r>
              <w:rPr>
                <w:b w:val="0"/>
                <w:sz w:val="15"/>
              </w:rPr>
              <w:t>Endpoint agent missing on a device with no evidence of compromise.</w:t>
            </w:r>
          </w:p>
        </w:tc>
      </w:tr>
    </w:tbl>
    <w:p/>
    <w:p>
      <w:pPr>
        <w:pStyle w:val="Heading1"/>
      </w:pPr>
      <w:r>
        <w:t>4. Severity Model</w:t>
      </w:r>
    </w:p>
    <w:p>
      <w:r>
        <w:t>Initial severity is based on credible potential impact; final severity may change as facts improve.</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Severity</w:t>
            </w:r>
          </w:p>
        </w:tc>
        <w:tc>
          <w:tcPr>
            <w:tcW w:type="dxa" w:w="3437"/>
            <w:vAlign w:val="center"/>
            <w:shd w:fill="17365D"/>
          </w:tcPr>
          <w:p>
            <w:r/>
            <w:r>
              <w:rPr>
                <w:b/>
                <w:color w:val="FFFFFF"/>
                <w:sz w:val="15"/>
              </w:rPr>
              <w:t>Description</w:t>
            </w:r>
          </w:p>
        </w:tc>
        <w:tc>
          <w:tcPr>
            <w:tcW w:type="dxa" w:w="3437"/>
            <w:vAlign w:val="center"/>
            <w:shd w:fill="17365D"/>
          </w:tcPr>
          <w:p>
            <w:r/>
            <w:r>
              <w:rPr>
                <w:b/>
                <w:color w:val="FFFFFF"/>
                <w:sz w:val="15"/>
              </w:rPr>
              <w:t>Examples</w:t>
            </w:r>
          </w:p>
        </w:tc>
      </w:tr>
      <w:tr>
        <w:tc>
          <w:tcPr>
            <w:tcW w:type="dxa" w:w="3437"/>
            <w:vAlign w:val="center"/>
          </w:tcPr>
          <w:p>
            <w:r/>
            <w:r>
              <w:rPr>
                <w:b w:val="0"/>
                <w:sz w:val="15"/>
              </w:rPr>
              <w:t>SEV-1 Critical</w:t>
            </w:r>
          </w:p>
        </w:tc>
        <w:tc>
          <w:tcPr>
            <w:tcW w:type="dxa" w:w="3437"/>
            <w:vAlign w:val="center"/>
          </w:tcPr>
          <w:p>
            <w:r/>
            <w:r>
              <w:rPr>
                <w:b w:val="0"/>
                <w:sz w:val="15"/>
              </w:rPr>
              <w:t>Severe or potentially systemic impact; urgent executive response</w:t>
            </w:r>
          </w:p>
        </w:tc>
        <w:tc>
          <w:tcPr>
            <w:tcW w:type="dxa" w:w="3437"/>
            <w:vAlign w:val="center"/>
          </w:tcPr>
          <w:p>
            <w:r/>
            <w:r>
              <w:rPr>
                <w:b w:val="0"/>
                <w:sz w:val="15"/>
              </w:rPr>
              <w:t>Active ransomware across critical systems; confirmed large Restricted-data exfiltration; compromise of identity/key infrastructure.</w:t>
            </w:r>
          </w:p>
        </w:tc>
      </w:tr>
      <w:tr>
        <w:tc>
          <w:tcPr>
            <w:tcW w:type="dxa" w:w="3437"/>
            <w:vAlign w:val="center"/>
          </w:tcPr>
          <w:p>
            <w:r/>
            <w:r>
              <w:rPr>
                <w:b w:val="0"/>
                <w:sz w:val="15"/>
              </w:rPr>
              <w:t>SEV-2 High</w:t>
            </w:r>
          </w:p>
        </w:tc>
        <w:tc>
          <w:tcPr>
            <w:tcW w:type="dxa" w:w="3437"/>
            <w:vAlign w:val="center"/>
          </w:tcPr>
          <w:p>
            <w:r/>
            <w:r>
              <w:rPr>
                <w:b w:val="0"/>
                <w:sz w:val="15"/>
              </w:rPr>
              <w:t>Material but contained/limited impact</w:t>
            </w:r>
          </w:p>
        </w:tc>
        <w:tc>
          <w:tcPr>
            <w:tcW w:type="dxa" w:w="3437"/>
            <w:vAlign w:val="center"/>
          </w:tcPr>
          <w:p>
            <w:r/>
            <w:r>
              <w:rPr>
                <w:b w:val="0"/>
                <w:sz w:val="15"/>
              </w:rPr>
              <w:t>Privileged account compromise; material vendor incident; significant customer-data exposure; major security-driven outage.</w:t>
            </w:r>
          </w:p>
        </w:tc>
      </w:tr>
      <w:tr>
        <w:tc>
          <w:tcPr>
            <w:tcW w:type="dxa" w:w="3437"/>
            <w:vAlign w:val="center"/>
          </w:tcPr>
          <w:p>
            <w:r/>
            <w:r>
              <w:rPr>
                <w:b w:val="0"/>
                <w:sz w:val="15"/>
              </w:rPr>
              <w:t>SEV-3 Moderate</w:t>
            </w:r>
          </w:p>
        </w:tc>
        <w:tc>
          <w:tcPr>
            <w:tcW w:type="dxa" w:w="3437"/>
            <w:vAlign w:val="center"/>
          </w:tcPr>
          <w:p>
            <w:r/>
            <w:r>
              <w:rPr>
                <w:b w:val="0"/>
                <w:sz w:val="15"/>
              </w:rPr>
              <w:t>Limited impact requiring coordinated response</w:t>
            </w:r>
          </w:p>
        </w:tc>
        <w:tc>
          <w:tcPr>
            <w:tcW w:type="dxa" w:w="3437"/>
            <w:vAlign w:val="center"/>
          </w:tcPr>
          <w:p>
            <w:r/>
            <w:r>
              <w:rPr>
                <w:b w:val="0"/>
                <w:sz w:val="15"/>
              </w:rPr>
              <w:t>Single endpoint malware with contained spread; limited unauthorized access; security misconfiguration with some exposure.</w:t>
            </w:r>
          </w:p>
        </w:tc>
      </w:tr>
      <w:tr>
        <w:tc>
          <w:tcPr>
            <w:tcW w:type="dxa" w:w="3437"/>
            <w:vAlign w:val="center"/>
          </w:tcPr>
          <w:p>
            <w:r/>
            <w:r>
              <w:rPr>
                <w:b w:val="0"/>
                <w:sz w:val="15"/>
              </w:rPr>
              <w:t>SEV-4 Low</w:t>
            </w:r>
          </w:p>
        </w:tc>
        <w:tc>
          <w:tcPr>
            <w:tcW w:type="dxa" w:w="3437"/>
            <w:vAlign w:val="center"/>
          </w:tcPr>
          <w:p>
            <w:r/>
            <w:r>
              <w:rPr>
                <w:b w:val="0"/>
                <w:sz w:val="15"/>
              </w:rPr>
              <w:t>Minor localized issue or near miss</w:t>
            </w:r>
          </w:p>
        </w:tc>
        <w:tc>
          <w:tcPr>
            <w:tcW w:type="dxa" w:w="3437"/>
            <w:vAlign w:val="center"/>
          </w:tcPr>
          <w:p>
            <w:r/>
            <w:r>
              <w:rPr>
                <w:b w:val="0"/>
                <w:sz w:val="15"/>
              </w:rPr>
              <w:t>Blocked phishing attempt; low-impact control failure with no compromise.</w:t>
            </w:r>
          </w:p>
        </w:tc>
      </w:tr>
    </w:tbl>
    <w:p/>
    <w:p>
      <w:pPr>
        <w:pStyle w:val="Heading1"/>
      </w:pPr>
      <w:r>
        <w:t>5. Notification Targets</w:t>
      </w:r>
    </w:p>
    <w:p>
      <w:r>
        <w:t>Notification starts from reasonable awareness, not after complete investigation.</w:t>
      </w:r>
    </w:p>
    <w:p>
      <w:r>
        <w:t>These are internal response targets. A parallel potential C4 compliance breach under CBP-043 has a two-hour notification target; security SEV-1 escalation is intentionally faster.</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vAlign w:val="center"/>
            <w:shd w:fill="17365D"/>
          </w:tcPr>
          <w:p>
            <w:r/>
            <w:r>
              <w:rPr>
                <w:b/>
                <w:color w:val="FFFFFF"/>
                <w:sz w:val="15"/>
              </w:rPr>
              <w:t>Severity</w:t>
            </w:r>
          </w:p>
        </w:tc>
        <w:tc>
          <w:tcPr>
            <w:tcW w:type="dxa" w:w="2062"/>
            <w:vAlign w:val="center"/>
            <w:shd w:fill="17365D"/>
          </w:tcPr>
          <w:p>
            <w:r/>
            <w:r>
              <w:rPr>
                <w:b/>
                <w:color w:val="FFFFFF"/>
                <w:sz w:val="15"/>
              </w:rPr>
              <w:t>SOC/Security Lead</w:t>
            </w:r>
          </w:p>
        </w:tc>
        <w:tc>
          <w:tcPr>
            <w:tcW w:type="dxa" w:w="2062"/>
            <w:vAlign w:val="center"/>
            <w:shd w:fill="17365D"/>
          </w:tcPr>
          <w:p>
            <w:r/>
            <w:r>
              <w:rPr>
                <w:b/>
                <w:color w:val="FFFFFF"/>
                <w:sz w:val="15"/>
              </w:rPr>
              <w:t>CISO</w:t>
            </w:r>
          </w:p>
        </w:tc>
        <w:tc>
          <w:tcPr>
            <w:tcW w:type="dxa" w:w="2062"/>
            <w:vAlign w:val="center"/>
            <w:shd w:fill="17365D"/>
          </w:tcPr>
          <w:p>
            <w:r/>
            <w:r>
              <w:rPr>
                <w:b/>
                <w:color w:val="FFFFFF"/>
                <w:sz w:val="15"/>
              </w:rPr>
              <w:t>Business/System Owner</w:t>
            </w:r>
          </w:p>
        </w:tc>
        <w:tc>
          <w:tcPr>
            <w:tcW w:type="dxa" w:w="2062"/>
            <w:vAlign w:val="center"/>
            <w:shd w:fill="17365D"/>
          </w:tcPr>
          <w:p>
            <w:r/>
            <w:r>
              <w:rPr>
                <w:b/>
                <w:color w:val="FFFFFF"/>
                <w:sz w:val="15"/>
              </w:rPr>
              <w:t>Executive/Risk</w:t>
            </w:r>
          </w:p>
        </w:tc>
      </w:tr>
      <w:tr>
        <w:tc>
          <w:tcPr>
            <w:tcW w:type="dxa" w:w="2062"/>
            <w:vAlign w:val="center"/>
          </w:tcPr>
          <w:p>
            <w:r/>
            <w:r>
              <w:rPr>
                <w:b w:val="0"/>
                <w:sz w:val="15"/>
              </w:rPr>
              <w:t>SEV-1</w:t>
            </w:r>
          </w:p>
        </w:tc>
        <w:tc>
          <w:tcPr>
            <w:tcW w:type="dxa" w:w="2062"/>
            <w:vAlign w:val="center"/>
          </w:tcPr>
          <w:p>
            <w:r/>
            <w:r>
              <w:rPr>
                <w:b w:val="0"/>
                <w:sz w:val="15"/>
              </w:rPr>
              <w:t>Immediately; target ≤15 min</w:t>
            </w:r>
          </w:p>
        </w:tc>
        <w:tc>
          <w:tcPr>
            <w:tcW w:type="dxa" w:w="2062"/>
            <w:vAlign w:val="center"/>
          </w:tcPr>
          <w:p>
            <w:r/>
            <w:r>
              <w:rPr>
                <w:b w:val="0"/>
                <w:sz w:val="15"/>
              </w:rPr>
              <w:t>Target ≤15 min</w:t>
            </w:r>
          </w:p>
        </w:tc>
        <w:tc>
          <w:tcPr>
            <w:tcW w:type="dxa" w:w="2062"/>
            <w:vAlign w:val="center"/>
          </w:tcPr>
          <w:p>
            <w:r/>
            <w:r>
              <w:rPr>
                <w:b w:val="0"/>
                <w:sz w:val="15"/>
              </w:rPr>
              <w:t>Target ≤30 min</w:t>
            </w:r>
          </w:p>
        </w:tc>
        <w:tc>
          <w:tcPr>
            <w:tcW w:type="dxa" w:w="2062"/>
            <w:vAlign w:val="center"/>
          </w:tcPr>
          <w:p>
            <w:r/>
            <w:r>
              <w:rPr>
                <w:b w:val="0"/>
                <w:sz w:val="15"/>
              </w:rPr>
              <w:t>Target ≤30 min</w:t>
            </w:r>
          </w:p>
        </w:tc>
      </w:tr>
      <w:tr>
        <w:tc>
          <w:tcPr>
            <w:tcW w:type="dxa" w:w="2062"/>
            <w:vAlign w:val="center"/>
          </w:tcPr>
          <w:p>
            <w:r/>
            <w:r>
              <w:rPr>
                <w:b w:val="0"/>
                <w:sz w:val="15"/>
              </w:rPr>
              <w:t>SEV-2</w:t>
            </w:r>
          </w:p>
        </w:tc>
        <w:tc>
          <w:tcPr>
            <w:tcW w:type="dxa" w:w="2062"/>
            <w:vAlign w:val="center"/>
          </w:tcPr>
          <w:p>
            <w:r/>
            <w:r>
              <w:rPr>
                <w:b w:val="0"/>
                <w:sz w:val="15"/>
              </w:rPr>
              <w:t>Target ≤30 min</w:t>
            </w:r>
          </w:p>
        </w:tc>
        <w:tc>
          <w:tcPr>
            <w:tcW w:type="dxa" w:w="2062"/>
            <w:vAlign w:val="center"/>
          </w:tcPr>
          <w:p>
            <w:r/>
            <w:r>
              <w:rPr>
                <w:b w:val="0"/>
                <w:sz w:val="15"/>
              </w:rPr>
              <w:t>Target ≤30 min</w:t>
            </w:r>
          </w:p>
        </w:tc>
        <w:tc>
          <w:tcPr>
            <w:tcW w:type="dxa" w:w="2062"/>
            <w:vAlign w:val="center"/>
          </w:tcPr>
          <w:p>
            <w:r/>
            <w:r>
              <w:rPr>
                <w:b w:val="0"/>
                <w:sz w:val="15"/>
              </w:rPr>
              <w:t>Target ≤1 hour</w:t>
            </w:r>
          </w:p>
        </w:tc>
        <w:tc>
          <w:tcPr>
            <w:tcW w:type="dxa" w:w="2062"/>
            <w:vAlign w:val="center"/>
          </w:tcPr>
          <w:p>
            <w:r/>
            <w:r>
              <w:rPr>
                <w:b w:val="0"/>
                <w:sz w:val="15"/>
              </w:rPr>
              <w:t>As CISO directs; normally ≤2 hours</w:t>
            </w:r>
          </w:p>
        </w:tc>
      </w:tr>
      <w:tr>
        <w:tc>
          <w:tcPr>
            <w:tcW w:type="dxa" w:w="2062"/>
            <w:vAlign w:val="center"/>
          </w:tcPr>
          <w:p>
            <w:r/>
            <w:r>
              <w:rPr>
                <w:b w:val="0"/>
                <w:sz w:val="15"/>
              </w:rPr>
              <w:t>SEV-3</w:t>
            </w:r>
          </w:p>
        </w:tc>
        <w:tc>
          <w:tcPr>
            <w:tcW w:type="dxa" w:w="2062"/>
            <w:vAlign w:val="center"/>
          </w:tcPr>
          <w:p>
            <w:r/>
            <w:r>
              <w:rPr>
                <w:b w:val="0"/>
                <w:sz w:val="15"/>
              </w:rPr>
              <w:t>Target ≤4 hours</w:t>
            </w:r>
          </w:p>
        </w:tc>
        <w:tc>
          <w:tcPr>
            <w:tcW w:type="dxa" w:w="2062"/>
            <w:vAlign w:val="center"/>
          </w:tcPr>
          <w:p>
            <w:r/>
            <w:r>
              <w:rPr>
                <w:b w:val="0"/>
                <w:sz w:val="15"/>
              </w:rPr>
              <w:t>Daily/exception-based</w:t>
            </w:r>
          </w:p>
        </w:tc>
        <w:tc>
          <w:tcPr>
            <w:tcW w:type="dxa" w:w="2062"/>
            <w:vAlign w:val="center"/>
          </w:tcPr>
          <w:p>
            <w:r/>
            <w:r>
              <w:rPr>
                <w:b w:val="0"/>
                <w:sz w:val="15"/>
              </w:rPr>
              <w:t>Same business day</w:t>
            </w:r>
          </w:p>
        </w:tc>
        <w:tc>
          <w:tcPr>
            <w:tcW w:type="dxa" w:w="2062"/>
            <w:vAlign w:val="center"/>
          </w:tcPr>
          <w:p>
            <w:r/>
            <w:r>
              <w:rPr>
                <w:b w:val="0"/>
                <w:sz w:val="15"/>
              </w:rPr>
              <w:t>As needed</w:t>
            </w:r>
          </w:p>
        </w:tc>
      </w:tr>
      <w:tr>
        <w:tc>
          <w:tcPr>
            <w:tcW w:type="dxa" w:w="2062"/>
            <w:vAlign w:val="center"/>
          </w:tcPr>
          <w:p>
            <w:r/>
            <w:r>
              <w:rPr>
                <w:b w:val="0"/>
                <w:sz w:val="15"/>
              </w:rPr>
              <w:t>SEV-4</w:t>
            </w:r>
          </w:p>
        </w:tc>
        <w:tc>
          <w:tcPr>
            <w:tcW w:type="dxa" w:w="2062"/>
            <w:vAlign w:val="center"/>
          </w:tcPr>
          <w:p>
            <w:r/>
            <w:r>
              <w:rPr>
                <w:b w:val="0"/>
                <w:sz w:val="15"/>
              </w:rPr>
              <w:t>Record in queue</w:t>
            </w:r>
          </w:p>
        </w:tc>
        <w:tc>
          <w:tcPr>
            <w:tcW w:type="dxa" w:w="2062"/>
            <w:vAlign w:val="center"/>
          </w:tcPr>
          <w:p>
            <w:r/>
            <w:r>
              <w:rPr>
                <w:b w:val="0"/>
                <w:sz w:val="15"/>
              </w:rPr>
              <w:t>Periodic</w:t>
            </w:r>
          </w:p>
        </w:tc>
        <w:tc>
          <w:tcPr>
            <w:tcW w:type="dxa" w:w="2062"/>
            <w:vAlign w:val="center"/>
          </w:tcPr>
          <w:p>
            <w:r/>
            <w:r>
              <w:rPr>
                <w:b w:val="0"/>
                <w:sz w:val="15"/>
              </w:rPr>
              <w:t>As needed</w:t>
            </w:r>
          </w:p>
        </w:tc>
        <w:tc>
          <w:tcPr>
            <w:tcW w:type="dxa" w:w="2062"/>
            <w:vAlign w:val="center"/>
          </w:tcPr>
          <w:p>
            <w:r/>
            <w:r>
              <w:rPr>
                <w:b w:val="0"/>
                <w:sz w:val="15"/>
              </w:rPr>
              <w:t>Not normally</w:t>
            </w:r>
          </w:p>
        </w:tc>
      </w:tr>
    </w:tbl>
    <w:p/>
    <w:p>
      <w:pPr>
        <w:pStyle w:val="Heading1"/>
      </w:pPr>
      <w:r>
        <w:t>6. Reporting Channels</w:t>
      </w:r>
    </w:p>
    <w:p>
      <w:r>
        <w:t>Employees shall use approved Security/SOC reporting channels. If primary systems are unavailable or suspected compromised, use designated out-of-band channels.</w:t>
      </w:r>
    </w:p>
    <w:p>
      <w:pPr>
        <w:pStyle w:val="ListBullet"/>
      </w:pPr>
      <w:r>
        <w:t>Do not forward suspected malicious files broadly.</w:t>
      </w:r>
    </w:p>
    <w:p>
      <w:pPr>
        <w:pStyle w:val="ListBullet"/>
      </w:pPr>
      <w:r>
        <w:t>Do not investigate by repeatedly opening suspicious links or attachments.</w:t>
      </w:r>
    </w:p>
    <w:p>
      <w:pPr>
        <w:pStyle w:val="ListBullet"/>
      </w:pPr>
      <w:r>
        <w:t>Preserve evidence and note time, device, user and observed behavior.</w:t>
      </w:r>
    </w:p>
    <w:p>
      <w:pPr>
        <w:pStyle w:val="ListBullet"/>
      </w:pPr>
      <w:r>
        <w:t>If credentials may be compromised, contact Security promptly rather than only changing password privately.</w:t>
      </w:r>
    </w:p>
    <w:p>
      <w:pPr>
        <w:pStyle w:val="Heading1"/>
      </w:pPr>
      <w:r>
        <w:t>7. Initial Triage</w:t>
      </w:r>
    </w:p>
    <w:p>
      <w:r>
        <w:t>The incident coordinator shall establish known facts, affected identities/systems, data sensitivity, current activity, business impact and immediate containment options.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Triage Question</w:t>
            </w:r>
          </w:p>
        </w:tc>
        <w:tc>
          <w:tcPr>
            <w:tcW w:type="dxa" w:w="5155"/>
            <w:vAlign w:val="center"/>
            <w:shd w:fill="17365D"/>
          </w:tcPr>
          <w:p>
            <w:r/>
            <w:r>
              <w:rPr>
                <w:b/>
                <w:color w:val="FFFFFF"/>
                <w:sz w:val="15"/>
              </w:rPr>
              <w:t>Examples</w:t>
            </w:r>
          </w:p>
        </w:tc>
      </w:tr>
      <w:tr>
        <w:tc>
          <w:tcPr>
            <w:tcW w:type="dxa" w:w="5155"/>
            <w:vAlign w:val="center"/>
          </w:tcPr>
          <w:p>
            <w:r/>
            <w:r>
              <w:rPr>
                <w:b w:val="0"/>
                <w:sz w:val="15"/>
              </w:rPr>
              <w:t>What happened?</w:t>
            </w:r>
          </w:p>
        </w:tc>
        <w:tc>
          <w:tcPr>
            <w:tcW w:type="dxa" w:w="5155"/>
            <w:vAlign w:val="center"/>
          </w:tcPr>
          <w:p>
            <w:r/>
            <w:r>
              <w:rPr>
                <w:b w:val="0"/>
                <w:sz w:val="15"/>
              </w:rPr>
              <w:t>Alert, report, system behavior, vendor notice.</w:t>
            </w:r>
          </w:p>
        </w:tc>
      </w:tr>
      <w:tr>
        <w:tc>
          <w:tcPr>
            <w:tcW w:type="dxa" w:w="5155"/>
            <w:vAlign w:val="center"/>
          </w:tcPr>
          <w:p>
            <w:r/>
            <w:r>
              <w:rPr>
                <w:b w:val="0"/>
                <w:sz w:val="15"/>
              </w:rPr>
              <w:t>When?</w:t>
            </w:r>
          </w:p>
        </w:tc>
        <w:tc>
          <w:tcPr>
            <w:tcW w:type="dxa" w:w="5155"/>
            <w:vAlign w:val="center"/>
          </w:tcPr>
          <w:p>
            <w:r/>
            <w:r>
              <w:rPr>
                <w:b w:val="0"/>
                <w:sz w:val="15"/>
              </w:rPr>
              <w:t>First observed, likely start time, ongoing/not ongoing.</w:t>
            </w:r>
          </w:p>
        </w:tc>
      </w:tr>
      <w:tr>
        <w:tc>
          <w:tcPr>
            <w:tcW w:type="dxa" w:w="5155"/>
            <w:vAlign w:val="center"/>
          </w:tcPr>
          <w:p>
            <w:r/>
            <w:r>
              <w:rPr>
                <w:b w:val="0"/>
                <w:sz w:val="15"/>
              </w:rPr>
              <w:t>Where?</w:t>
            </w:r>
          </w:p>
        </w:tc>
        <w:tc>
          <w:tcPr>
            <w:tcW w:type="dxa" w:w="5155"/>
            <w:vAlign w:val="center"/>
          </w:tcPr>
          <w:p>
            <w:r/>
            <w:r>
              <w:rPr>
                <w:b w:val="0"/>
                <w:sz w:val="15"/>
              </w:rPr>
              <w:t>Endpoints, cloud tenant, application, branch, vendor.</w:t>
            </w:r>
          </w:p>
        </w:tc>
      </w:tr>
      <w:tr>
        <w:tc>
          <w:tcPr>
            <w:tcW w:type="dxa" w:w="5155"/>
            <w:vAlign w:val="center"/>
          </w:tcPr>
          <w:p>
            <w:r/>
            <w:r>
              <w:rPr>
                <w:b w:val="0"/>
                <w:sz w:val="15"/>
              </w:rPr>
              <w:t>Who/what identities?</w:t>
            </w:r>
          </w:p>
        </w:tc>
        <w:tc>
          <w:tcPr>
            <w:tcW w:type="dxa" w:w="5155"/>
            <w:vAlign w:val="center"/>
          </w:tcPr>
          <w:p>
            <w:r/>
            <w:r>
              <w:rPr>
                <w:b w:val="0"/>
                <w:sz w:val="15"/>
              </w:rPr>
              <w:t>User, privileged account, service account, external actor.</w:t>
            </w:r>
          </w:p>
        </w:tc>
      </w:tr>
      <w:tr>
        <w:tc>
          <w:tcPr>
            <w:tcW w:type="dxa" w:w="5155"/>
            <w:vAlign w:val="center"/>
          </w:tcPr>
          <w:p>
            <w:r/>
            <w:r>
              <w:rPr>
                <w:b w:val="0"/>
                <w:sz w:val="15"/>
              </w:rPr>
              <w:t>What data?</w:t>
            </w:r>
          </w:p>
        </w:tc>
        <w:tc>
          <w:tcPr>
            <w:tcW w:type="dxa" w:w="5155"/>
            <w:vAlign w:val="center"/>
          </w:tcPr>
          <w:p>
            <w:r/>
            <w:r>
              <w:rPr>
                <w:b w:val="0"/>
                <w:sz w:val="15"/>
              </w:rPr>
              <w:t>Public/Internal/Confidential/Restricted.</w:t>
            </w:r>
          </w:p>
        </w:tc>
      </w:tr>
      <w:tr>
        <w:tc>
          <w:tcPr>
            <w:tcW w:type="dxa" w:w="5155"/>
            <w:vAlign w:val="center"/>
          </w:tcPr>
          <w:p>
            <w:r/>
            <w:r>
              <w:rPr>
                <w:b w:val="0"/>
                <w:sz w:val="15"/>
              </w:rPr>
              <w:t>Impact?</w:t>
            </w:r>
          </w:p>
        </w:tc>
        <w:tc>
          <w:tcPr>
            <w:tcW w:type="dxa" w:w="5155"/>
            <w:vAlign w:val="center"/>
          </w:tcPr>
          <w:p>
            <w:r/>
            <w:r>
              <w:rPr>
                <w:b w:val="0"/>
                <w:sz w:val="15"/>
              </w:rPr>
              <w:t>Access, modification, deletion, outage, financial/customer impact.</w:t>
            </w:r>
          </w:p>
        </w:tc>
      </w:tr>
    </w:tbl>
    <w:p/>
    <w:p>
      <w:pPr>
        <w:pStyle w:val="Heading1"/>
      </w:pPr>
      <w:r>
        <w:t>8. Incident Command</w:t>
      </w:r>
    </w:p>
    <w:p>
      <w:r>
        <w:t>SEV-1 and material SEV-2 incidents shall have a named Incident Commander, Security Investigation Lead, Technology Lead and Business Lead. Compliance, Legal, Fraud Risk, Communications or Vendor Management join as needed.</w:t>
      </w:r>
    </w:p>
    <w:p>
      <w:pPr>
        <w:pStyle w:val="Heading1"/>
      </w:pPr>
      <w:r>
        <w:t>9. Containment</w:t>
      </w:r>
    </w:p>
    <w:p>
      <w:r>
        <w:t>Containment aims to stop ongoing harm while preserving service and evidence where possible.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Scenario</w:t>
            </w:r>
          </w:p>
        </w:tc>
        <w:tc>
          <w:tcPr>
            <w:tcW w:type="dxa" w:w="5155"/>
            <w:vAlign w:val="center"/>
            <w:shd w:fill="17365D"/>
          </w:tcPr>
          <w:p>
            <w:r/>
            <w:r>
              <w:rPr>
                <w:b/>
                <w:color w:val="FFFFFF"/>
                <w:sz w:val="15"/>
              </w:rPr>
              <w:t>Possible Containment</w:t>
            </w:r>
          </w:p>
        </w:tc>
      </w:tr>
      <w:tr>
        <w:tc>
          <w:tcPr>
            <w:tcW w:type="dxa" w:w="5155"/>
            <w:vAlign w:val="center"/>
          </w:tcPr>
          <w:p>
            <w:r/>
            <w:r>
              <w:rPr>
                <w:b w:val="0"/>
                <w:sz w:val="15"/>
              </w:rPr>
              <w:t>Compromised user</w:t>
            </w:r>
          </w:p>
        </w:tc>
        <w:tc>
          <w:tcPr>
            <w:tcW w:type="dxa" w:w="5155"/>
            <w:vAlign w:val="center"/>
          </w:tcPr>
          <w:p>
            <w:r/>
            <w:r>
              <w:rPr>
                <w:b w:val="0"/>
                <w:sz w:val="15"/>
              </w:rPr>
              <w:t>Disable/reset credentials, revoke sessions, enforce MFA reset.</w:t>
            </w:r>
          </w:p>
        </w:tc>
      </w:tr>
      <w:tr>
        <w:tc>
          <w:tcPr>
            <w:tcW w:type="dxa" w:w="5155"/>
            <w:vAlign w:val="center"/>
          </w:tcPr>
          <w:p>
            <w:r/>
            <w:r>
              <w:rPr>
                <w:b w:val="0"/>
                <w:sz w:val="15"/>
              </w:rPr>
              <w:t>Compromised privileged account</w:t>
            </w:r>
          </w:p>
        </w:tc>
        <w:tc>
          <w:tcPr>
            <w:tcW w:type="dxa" w:w="5155"/>
            <w:vAlign w:val="center"/>
          </w:tcPr>
          <w:p>
            <w:r/>
            <w:r>
              <w:rPr>
                <w:b w:val="0"/>
                <w:sz w:val="15"/>
              </w:rPr>
              <w:t>Disable privilege, rotate related secrets, isolate admin paths.</w:t>
            </w:r>
          </w:p>
        </w:tc>
      </w:tr>
      <w:tr>
        <w:tc>
          <w:tcPr>
            <w:tcW w:type="dxa" w:w="5155"/>
            <w:vAlign w:val="center"/>
          </w:tcPr>
          <w:p>
            <w:r/>
            <w:r>
              <w:rPr>
                <w:b w:val="0"/>
                <w:sz w:val="15"/>
              </w:rPr>
              <w:t>Malware endpoint</w:t>
            </w:r>
          </w:p>
        </w:tc>
        <w:tc>
          <w:tcPr>
            <w:tcW w:type="dxa" w:w="5155"/>
            <w:vAlign w:val="center"/>
          </w:tcPr>
          <w:p>
            <w:r/>
            <w:r>
              <w:rPr>
                <w:b w:val="0"/>
                <w:sz w:val="15"/>
              </w:rPr>
              <w:t>Network isolate, preserve memory/disk evidence as appropriate.</w:t>
            </w:r>
          </w:p>
        </w:tc>
      </w:tr>
      <w:tr>
        <w:tc>
          <w:tcPr>
            <w:tcW w:type="dxa" w:w="5155"/>
            <w:vAlign w:val="center"/>
          </w:tcPr>
          <w:p>
            <w:r/>
            <w:r>
              <w:rPr>
                <w:b w:val="0"/>
                <w:sz w:val="15"/>
              </w:rPr>
              <w:t>Cloud exposure</w:t>
            </w:r>
          </w:p>
        </w:tc>
        <w:tc>
          <w:tcPr>
            <w:tcW w:type="dxa" w:w="5155"/>
            <w:vAlign w:val="center"/>
          </w:tcPr>
          <w:p>
            <w:r/>
            <w:r>
              <w:rPr>
                <w:b w:val="0"/>
                <w:sz w:val="15"/>
              </w:rPr>
              <w:t>Remove public access, rotate secrets, capture configuration/logs.</w:t>
            </w:r>
          </w:p>
        </w:tc>
      </w:tr>
      <w:tr>
        <w:tc>
          <w:tcPr>
            <w:tcW w:type="dxa" w:w="5155"/>
            <w:vAlign w:val="center"/>
          </w:tcPr>
          <w:p>
            <w:r/>
            <w:r>
              <w:rPr>
                <w:b w:val="0"/>
                <w:sz w:val="15"/>
              </w:rPr>
              <w:t>Vendor incident</w:t>
            </w:r>
          </w:p>
        </w:tc>
        <w:tc>
          <w:tcPr>
            <w:tcW w:type="dxa" w:w="5155"/>
            <w:vAlign w:val="center"/>
          </w:tcPr>
          <w:p>
            <w:r/>
            <w:r>
              <w:rPr>
                <w:b w:val="0"/>
                <w:sz w:val="15"/>
              </w:rPr>
              <w:t>Suspend integration/access, switch to contingency process.</w:t>
            </w:r>
          </w:p>
        </w:tc>
      </w:tr>
      <w:tr>
        <w:tc>
          <w:tcPr>
            <w:tcW w:type="dxa" w:w="5155"/>
            <w:vAlign w:val="center"/>
          </w:tcPr>
          <w:p>
            <w:r/>
            <w:r>
              <w:rPr>
                <w:b w:val="0"/>
                <w:sz w:val="15"/>
              </w:rPr>
              <w:t>Data exfiltration</w:t>
            </w:r>
          </w:p>
        </w:tc>
        <w:tc>
          <w:tcPr>
            <w:tcW w:type="dxa" w:w="5155"/>
            <w:vAlign w:val="center"/>
          </w:tcPr>
          <w:p>
            <w:r/>
            <w:r>
              <w:rPr>
                <w:b w:val="0"/>
                <w:sz w:val="15"/>
              </w:rPr>
              <w:t>Block destination/channel, preserve logs, restrict affected accounts.</w:t>
            </w:r>
          </w:p>
        </w:tc>
      </w:tr>
    </w:tbl>
    <w:p/>
    <w:p>
      <w:pPr>
        <w:pStyle w:val="Heading1"/>
      </w:pPr>
      <w:r>
        <w:t>10. Evidence Preservation</w:t>
      </w:r>
    </w:p>
    <w:p>
      <w:r>
        <w:t>Evidence shall be preserved proportionately and with integrity.</w:t>
      </w:r>
    </w:p>
    <w:p>
      <w:pPr>
        <w:pStyle w:val="ListBullet"/>
      </w:pPr>
      <w:r>
        <w:t>Record who collected evidence and when.</w:t>
      </w:r>
    </w:p>
    <w:p>
      <w:pPr>
        <w:pStyle w:val="ListBullet"/>
      </w:pPr>
      <w:r>
        <w:t>Use read-only or forensic methods for material incidents where practicable.</w:t>
      </w:r>
    </w:p>
    <w:p>
      <w:pPr>
        <w:pStyle w:val="ListBullet"/>
      </w:pPr>
      <w:r>
        <w:t>Preserve relevant logs before retention windows expire.</w:t>
      </w:r>
    </w:p>
    <w:p>
      <w:pPr>
        <w:pStyle w:val="ListBullet"/>
      </w:pPr>
      <w:r>
        <w:t>Do not delete suspicious accounts, mailboxes or files before Security confirms evidence needs.</w:t>
      </w:r>
    </w:p>
    <w:p>
      <w:pPr>
        <w:pStyle w:val="ListBullet"/>
      </w:pPr>
      <w:r>
        <w:t>Record time zone and clock discrepancies when reconstructing events.</w:t>
      </w:r>
    </w:p>
    <w:p>
      <w:pPr>
        <w:pStyle w:val="Heading1"/>
      </w:pPr>
      <w:r>
        <w:t>11. Investigation</w:t>
      </w:r>
    </w:p>
    <w:p>
      <w:r>
        <w:t>Investigation shall distinguish confirmed fact, probable inference and unresolved hypothesis.</w:t>
      </w:r>
    </w:p>
    <w:p>
      <w:r>
        <w:t>The team should establish initial access, persistence, privilege, affected data, lateral movement, external communications, control failures and business impact.</w:t>
      </w:r>
    </w:p>
    <w:p>
      <w:r>
        <w:t>Do not delay containment solely to achieve perfect forensic certainty when credible ongoing harm exists.</w:t>
      </w:r>
    </w:p>
    <w:p>
      <w:pPr>
        <w:pStyle w:val="Heading1"/>
      </w:pPr>
      <w:r>
        <w:t>12. Credential and Secret Response</w:t>
      </w:r>
    </w:p>
    <w:p>
      <w:r>
        <w:t>Where credentials or secrets may be exposed, the incident lead shall coordinate reset/rotation in an order that avoids locking out recovery teams or allowing attacker persistence.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Credential</w:t>
            </w:r>
          </w:p>
        </w:tc>
        <w:tc>
          <w:tcPr>
            <w:tcW w:type="dxa" w:w="5155"/>
            <w:vAlign w:val="center"/>
            <w:shd w:fill="17365D"/>
          </w:tcPr>
          <w:p>
            <w:r/>
            <w:r>
              <w:rPr>
                <w:b/>
                <w:color w:val="FFFFFF"/>
                <w:sz w:val="15"/>
              </w:rPr>
              <w:t>Response</w:t>
            </w:r>
          </w:p>
        </w:tc>
      </w:tr>
      <w:tr>
        <w:tc>
          <w:tcPr>
            <w:tcW w:type="dxa" w:w="5155"/>
            <w:vAlign w:val="center"/>
          </w:tcPr>
          <w:p>
            <w:r/>
            <w:r>
              <w:rPr>
                <w:b w:val="0"/>
                <w:sz w:val="15"/>
              </w:rPr>
              <w:t>Workforce account</w:t>
            </w:r>
          </w:p>
        </w:tc>
        <w:tc>
          <w:tcPr>
            <w:tcW w:type="dxa" w:w="5155"/>
            <w:vAlign w:val="center"/>
          </w:tcPr>
          <w:p>
            <w:r/>
            <w:r>
              <w:rPr>
                <w:b w:val="0"/>
                <w:sz w:val="15"/>
              </w:rPr>
              <w:t>Revoke sessions; reset password; re-establish MFA if needed.</w:t>
            </w:r>
          </w:p>
        </w:tc>
      </w:tr>
      <w:tr>
        <w:tc>
          <w:tcPr>
            <w:tcW w:type="dxa" w:w="5155"/>
            <w:vAlign w:val="center"/>
          </w:tcPr>
          <w:p>
            <w:r/>
            <w:r>
              <w:rPr>
                <w:b w:val="0"/>
                <w:sz w:val="15"/>
              </w:rPr>
              <w:t>Privileged account</w:t>
            </w:r>
          </w:p>
        </w:tc>
        <w:tc>
          <w:tcPr>
            <w:tcW w:type="dxa" w:w="5155"/>
            <w:vAlign w:val="center"/>
          </w:tcPr>
          <w:p>
            <w:r/>
            <w:r>
              <w:rPr>
                <w:b w:val="0"/>
                <w:sz w:val="15"/>
              </w:rPr>
              <w:t>Disable/restrict; rotate; review privilege activity.</w:t>
            </w:r>
          </w:p>
        </w:tc>
      </w:tr>
      <w:tr>
        <w:tc>
          <w:tcPr>
            <w:tcW w:type="dxa" w:w="5155"/>
            <w:vAlign w:val="center"/>
          </w:tcPr>
          <w:p>
            <w:r/>
            <w:r>
              <w:rPr>
                <w:b w:val="0"/>
                <w:sz w:val="15"/>
              </w:rPr>
              <w:t>Service/API secret</w:t>
            </w:r>
          </w:p>
        </w:tc>
        <w:tc>
          <w:tcPr>
            <w:tcW w:type="dxa" w:w="5155"/>
            <w:vAlign w:val="center"/>
          </w:tcPr>
          <w:p>
            <w:r/>
            <w:r>
              <w:rPr>
                <w:b w:val="0"/>
                <w:sz w:val="15"/>
              </w:rPr>
              <w:t>Rotate dependent systems; search repositories/tickets/logs for exposure.</w:t>
            </w:r>
          </w:p>
        </w:tc>
      </w:tr>
      <w:tr>
        <w:tc>
          <w:tcPr>
            <w:tcW w:type="dxa" w:w="5155"/>
            <w:vAlign w:val="center"/>
          </w:tcPr>
          <w:p>
            <w:r/>
            <w:r>
              <w:rPr>
                <w:b w:val="0"/>
                <w:sz w:val="15"/>
              </w:rPr>
              <w:t>Key/certificate</w:t>
            </w:r>
          </w:p>
        </w:tc>
        <w:tc>
          <w:tcPr>
            <w:tcW w:type="dxa" w:w="5155"/>
            <w:vAlign w:val="center"/>
          </w:tcPr>
          <w:p>
            <w:r/>
            <w:r>
              <w:rPr>
                <w:b w:val="0"/>
                <w:sz w:val="15"/>
              </w:rPr>
              <w:t>Assess trust impact; revoke/replace if required; validate downstream systems.</w:t>
            </w:r>
          </w:p>
        </w:tc>
      </w:tr>
    </w:tbl>
    <w:p/>
    <w:p>
      <w:pPr>
        <w:pStyle w:val="Heading1"/>
      </w:pPr>
      <w:r>
        <w:t>13. Data Exposure Assessment</w:t>
      </w:r>
    </w:p>
    <w:p>
      <w:r>
        <w:t>For suspected data exposure, the team shall identify data class, records/population, access method, evidence of viewing/download, duration and parties involved.</w:t>
      </w:r>
    </w:p>
    <w:p>
      <w:r>
        <w:t>Absence of a download log does not always prove absence of access. The conclusion shall reflect logging limitations and reasonable evidence.</w:t>
      </w:r>
    </w:p>
    <w:p>
      <w:pPr>
        <w:pStyle w:val="Heading1"/>
      </w:pPr>
      <w:r>
        <w:t>14. Malware and Ransomware</w:t>
      </w:r>
    </w:p>
    <w:p>
      <w:r>
        <w:t>Ransomware or destructive malware affecting critical systems is normally SEV-1 until scope is understood.</w:t>
      </w:r>
    </w:p>
    <w:p>
      <w:pPr>
        <w:pStyle w:val="ListBullet"/>
      </w:pPr>
      <w:r>
        <w:t>Isolate affected systems and administrative paths.</w:t>
      </w:r>
    </w:p>
    <w:p>
      <w:pPr>
        <w:pStyle w:val="ListBullet"/>
      </w:pPr>
      <w:r>
        <w:t>Protect clean backups and identity infrastructure.</w:t>
      </w:r>
    </w:p>
    <w:p>
      <w:pPr>
        <w:pStyle w:val="ListBullet"/>
      </w:pPr>
      <w:r>
        <w:t>Do not reconnect systems until eradication criteria are met.</w:t>
      </w:r>
    </w:p>
    <w:p>
      <w:pPr>
        <w:pStyle w:val="ListBullet"/>
      </w:pPr>
      <w:r>
        <w:t>Coordinate business continuity and recovery sequencing.</w:t>
      </w:r>
    </w:p>
    <w:p>
      <w:pPr>
        <w:pStyle w:val="ListBullet"/>
      </w:pPr>
      <w:r>
        <w:t>Assess data theft separately from encryption/destruction.</w:t>
      </w:r>
    </w:p>
    <w:p>
      <w:pPr>
        <w:pStyle w:val="Heading1"/>
      </w:pPr>
      <w:r>
        <w:t>15. Cloud Incidents</w:t>
      </w:r>
    </w:p>
    <w:p>
      <w:r>
        <w:t>Cloud response shall preserve provider audit logs, identity events, network/security findings, storage configuration, keys/secrets and resource changes.</w:t>
      </w:r>
    </w:p>
    <w:p>
      <w:r>
        <w:t>Cloud-provider console access itself may be compromised; use independent identity and trusted devices for response where required.</w:t>
      </w:r>
    </w:p>
    <w:p>
      <w:pPr>
        <w:pStyle w:val="Heading1"/>
      </w:pPr>
      <w:r>
        <w:t>16. Non-Production Incidents</w:t>
      </w:r>
    </w:p>
    <w:p>
      <w:r>
        <w:t>A non-production label does not determine severity. Exposure of Restricted data, shared secrets, production credentials or connected infrastructure can make a non-production incident material.</w:t>
      </w:r>
    </w:p>
    <w:p>
      <w:pPr>
        <w:pStyle w:val="Heading1"/>
      </w:pPr>
      <w:r>
        <w:t>17. Third-Party Incidents</w:t>
      </w:r>
    </w:p>
    <w:p>
      <w:r>
        <w:t>Vendor incidents shall be coordinated with the business owner and VRP-053 process.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Requirement</w:t>
            </w:r>
          </w:p>
        </w:tc>
        <w:tc>
          <w:tcPr>
            <w:tcW w:type="dxa" w:w="5155"/>
            <w:vAlign w:val="center"/>
            <w:shd w:fill="17365D"/>
          </w:tcPr>
          <w:p>
            <w:r/>
            <w:r>
              <w:rPr>
                <w:b/>
                <w:color w:val="FFFFFF"/>
                <w:sz w:val="15"/>
              </w:rPr>
              <w:t>Expectation</w:t>
            </w:r>
          </w:p>
        </w:tc>
      </w:tr>
      <w:tr>
        <w:tc>
          <w:tcPr>
            <w:tcW w:type="dxa" w:w="5155"/>
            <w:vAlign w:val="center"/>
          </w:tcPr>
          <w:p>
            <w:r/>
            <w:r>
              <w:rPr>
                <w:b w:val="0"/>
                <w:sz w:val="15"/>
              </w:rPr>
              <w:t>Initial vendor notice</w:t>
            </w:r>
          </w:p>
        </w:tc>
        <w:tc>
          <w:tcPr>
            <w:tcW w:type="dxa" w:w="5155"/>
            <w:vAlign w:val="center"/>
          </w:tcPr>
          <w:p>
            <w:r/>
            <w:r>
              <w:rPr>
                <w:b w:val="0"/>
                <w:sz w:val="15"/>
              </w:rPr>
              <w:t>Capture time, scope, services/data affected and vendor contact.</w:t>
            </w:r>
          </w:p>
        </w:tc>
      </w:tr>
      <w:tr>
        <w:tc>
          <w:tcPr>
            <w:tcW w:type="dxa" w:w="5155"/>
            <w:vAlign w:val="center"/>
          </w:tcPr>
          <w:p>
            <w:r/>
            <w:r>
              <w:rPr>
                <w:b w:val="0"/>
                <w:sz w:val="15"/>
              </w:rPr>
              <w:t>Northstar access</w:t>
            </w:r>
          </w:p>
        </w:tc>
        <w:tc>
          <w:tcPr>
            <w:tcW w:type="dxa" w:w="5155"/>
            <w:vAlign w:val="center"/>
          </w:tcPr>
          <w:p>
            <w:r/>
            <w:r>
              <w:rPr>
                <w:b w:val="0"/>
                <w:sz w:val="15"/>
              </w:rPr>
              <w:t>Suspend or restrict if necessary.</w:t>
            </w:r>
          </w:p>
        </w:tc>
      </w:tr>
      <w:tr>
        <w:tc>
          <w:tcPr>
            <w:tcW w:type="dxa" w:w="5155"/>
            <w:vAlign w:val="center"/>
          </w:tcPr>
          <w:p>
            <w:r/>
            <w:r>
              <w:rPr>
                <w:b w:val="0"/>
                <w:sz w:val="15"/>
              </w:rPr>
              <w:t>Evidence</w:t>
            </w:r>
          </w:p>
        </w:tc>
        <w:tc>
          <w:tcPr>
            <w:tcW w:type="dxa" w:w="5155"/>
            <w:vAlign w:val="center"/>
          </w:tcPr>
          <w:p>
            <w:r/>
            <w:r>
              <w:rPr>
                <w:b w:val="0"/>
                <w:sz w:val="15"/>
              </w:rPr>
              <w:t>Request relevant logs, timeline and indicators.</w:t>
            </w:r>
          </w:p>
        </w:tc>
      </w:tr>
      <w:tr>
        <w:tc>
          <w:tcPr>
            <w:tcW w:type="dxa" w:w="5155"/>
            <w:vAlign w:val="center"/>
          </w:tcPr>
          <w:p>
            <w:r/>
            <w:r>
              <w:rPr>
                <w:b w:val="0"/>
                <w:sz w:val="15"/>
              </w:rPr>
              <w:t>Subprocessors</w:t>
            </w:r>
          </w:p>
        </w:tc>
        <w:tc>
          <w:tcPr>
            <w:tcW w:type="dxa" w:w="5155"/>
            <w:vAlign w:val="center"/>
          </w:tcPr>
          <w:p>
            <w:r/>
            <w:r>
              <w:rPr>
                <w:b w:val="0"/>
                <w:sz w:val="15"/>
              </w:rPr>
              <w:t>Identify downstream parties where applicable.</w:t>
            </w:r>
          </w:p>
        </w:tc>
      </w:tr>
      <w:tr>
        <w:tc>
          <w:tcPr>
            <w:tcW w:type="dxa" w:w="5155"/>
            <w:vAlign w:val="center"/>
          </w:tcPr>
          <w:p>
            <w:r/>
            <w:r>
              <w:rPr>
                <w:b w:val="0"/>
                <w:sz w:val="15"/>
              </w:rPr>
              <w:t>Recovery</w:t>
            </w:r>
          </w:p>
        </w:tc>
        <w:tc>
          <w:tcPr>
            <w:tcW w:type="dxa" w:w="5155"/>
            <w:vAlign w:val="center"/>
          </w:tcPr>
          <w:p>
            <w:r/>
            <w:r>
              <w:rPr>
                <w:b w:val="0"/>
                <w:sz w:val="15"/>
              </w:rPr>
              <w:t>Validate restored service and security conditions.</w:t>
            </w:r>
          </w:p>
        </w:tc>
      </w:tr>
      <w:tr>
        <w:tc>
          <w:tcPr>
            <w:tcW w:type="dxa" w:w="5155"/>
            <w:vAlign w:val="center"/>
          </w:tcPr>
          <w:p>
            <w:r/>
            <w:r>
              <w:rPr>
                <w:b w:val="0"/>
                <w:sz w:val="15"/>
              </w:rPr>
              <w:t>Follow-up</w:t>
            </w:r>
          </w:p>
        </w:tc>
        <w:tc>
          <w:tcPr>
            <w:tcW w:type="dxa" w:w="5155"/>
            <w:vAlign w:val="center"/>
          </w:tcPr>
          <w:p>
            <w:r/>
            <w:r>
              <w:rPr>
                <w:b w:val="0"/>
                <w:sz w:val="15"/>
              </w:rPr>
              <w:t>Document vendor root cause and remediation.</w:t>
            </w:r>
          </w:p>
        </w:tc>
      </w:tr>
    </w:tbl>
    <w:p/>
    <w:p>
      <w:pPr>
        <w:pStyle w:val="Heading1"/>
      </w:pPr>
      <w:r>
        <w:t>18. Fraud and Financial-Crime Interface</w:t>
      </w:r>
    </w:p>
    <w:p>
      <w:r>
        <w:t>Security incidents involving account takeover, document theft, mule activity, payment diversion or insider misuse shall be referred to Fraud Risk/AML where relevant. Security does not replace fraud or AML disposition authority.</w:t>
      </w:r>
    </w:p>
    <w:p>
      <w:pPr>
        <w:pStyle w:val="Heading1"/>
      </w:pPr>
      <w:r>
        <w:t>19. Compliance and Legal Interface</w:t>
      </w:r>
    </w:p>
    <w:p>
      <w:r>
        <w:t>Potential control breaches, customer impact or contractual obligations shall be referred to Compliance/Legal as facts emerge.</w:t>
      </w:r>
    </w:p>
    <w:p>
      <w:r>
        <w:t>A security incident severity is not the same as CBP-043 C1–C4 severity. The Incident Commander shall ensure parallel records are cross-referenced rather than forcing one classification system to replace the other.</w:t>
      </w:r>
    </w:p>
    <w:p>
      <w:pPr>
        <w:pStyle w:val="Heading1"/>
      </w:pPr>
      <w:r>
        <w:t>20. Communications</w:t>
      </w:r>
    </w:p>
    <w:p>
      <w:r>
        <w:t>External communications about material incidents are restricted to authorized functions. Employees shall not contact media, customers, regulators or counterparties on their own initiative unless their controlled role requires it.</w:t>
      </w:r>
    </w:p>
    <w:p>
      <w:pPr>
        <w:pStyle w:val="Heading1"/>
      </w:pPr>
      <w:r>
        <w:t>21. Eradication</w:t>
      </w:r>
    </w:p>
    <w:p>
      <w:r>
        <w:t>Eradication confirms the threat mechanism is removed or neutralized.</w:t>
      </w:r>
    </w:p>
    <w:p>
      <w:pPr>
        <w:pStyle w:val="ListBullet"/>
      </w:pPr>
      <w:r>
        <w:t>Remove malware/persistence.</w:t>
      </w:r>
    </w:p>
    <w:p>
      <w:pPr>
        <w:pStyle w:val="ListBullet"/>
      </w:pPr>
      <w:r>
        <w:t>Close exploited vulnerability or apply compensating control.</w:t>
      </w:r>
    </w:p>
    <w:p>
      <w:pPr>
        <w:pStyle w:val="ListBullet"/>
      </w:pPr>
      <w:r>
        <w:t>Rotate exposed credentials/secrets.</w:t>
      </w:r>
    </w:p>
    <w:p>
      <w:pPr>
        <w:pStyle w:val="ListBullet"/>
      </w:pPr>
      <w:r>
        <w:t>Remove unauthorized accounts/keys.</w:t>
      </w:r>
    </w:p>
    <w:p>
      <w:pPr>
        <w:pStyle w:val="ListBullet"/>
      </w:pPr>
      <w:r>
        <w:t>Correct insecure configuration.</w:t>
      </w:r>
    </w:p>
    <w:p>
      <w:pPr>
        <w:pStyle w:val="ListBullet"/>
      </w:pPr>
      <w:r>
        <w:t>Validate affected systems against known indicators.</w:t>
      </w:r>
    </w:p>
    <w:p>
      <w:pPr>
        <w:pStyle w:val="Heading1"/>
      </w:pPr>
      <w:r>
        <w:t>22. Recovery</w:t>
      </w:r>
    </w:p>
    <w:p>
      <w:r>
        <w:t>Recovery restores service in a controlled sequence and monitors for recurrence.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Step</w:t>
            </w:r>
          </w:p>
        </w:tc>
        <w:tc>
          <w:tcPr>
            <w:tcW w:type="dxa" w:w="5155"/>
            <w:vAlign w:val="center"/>
            <w:shd w:fill="17365D"/>
          </w:tcPr>
          <w:p>
            <w:r/>
            <w:r>
              <w:rPr>
                <w:b/>
                <w:color w:val="FFFFFF"/>
                <w:sz w:val="15"/>
              </w:rPr>
              <w:t>Requirement</w:t>
            </w:r>
          </w:p>
        </w:tc>
      </w:tr>
      <w:tr>
        <w:tc>
          <w:tcPr>
            <w:tcW w:type="dxa" w:w="5155"/>
            <w:vAlign w:val="center"/>
          </w:tcPr>
          <w:p>
            <w:r/>
            <w:r>
              <w:rPr>
                <w:b w:val="0"/>
                <w:sz w:val="15"/>
              </w:rPr>
              <w:t>Readiness</w:t>
            </w:r>
          </w:p>
        </w:tc>
        <w:tc>
          <w:tcPr>
            <w:tcW w:type="dxa" w:w="5155"/>
            <w:vAlign w:val="center"/>
          </w:tcPr>
          <w:p>
            <w:r/>
            <w:r>
              <w:rPr>
                <w:b w:val="0"/>
                <w:sz w:val="15"/>
              </w:rPr>
              <w:t>Owner confirms dependencies and containment conditions.</w:t>
            </w:r>
          </w:p>
        </w:tc>
      </w:tr>
      <w:tr>
        <w:tc>
          <w:tcPr>
            <w:tcW w:type="dxa" w:w="5155"/>
            <w:vAlign w:val="center"/>
          </w:tcPr>
          <w:p>
            <w:r/>
            <w:r>
              <w:rPr>
                <w:b w:val="0"/>
                <w:sz w:val="15"/>
              </w:rPr>
              <w:t>Restore</w:t>
            </w:r>
          </w:p>
        </w:tc>
        <w:tc>
          <w:tcPr>
            <w:tcW w:type="dxa" w:w="5155"/>
            <w:vAlign w:val="center"/>
          </w:tcPr>
          <w:p>
            <w:r/>
            <w:r>
              <w:rPr>
                <w:b w:val="0"/>
                <w:sz w:val="15"/>
              </w:rPr>
              <w:t>Use trusted images/backups where appropriate.</w:t>
            </w:r>
          </w:p>
        </w:tc>
      </w:tr>
      <w:tr>
        <w:tc>
          <w:tcPr>
            <w:tcW w:type="dxa" w:w="5155"/>
            <w:vAlign w:val="center"/>
          </w:tcPr>
          <w:p>
            <w:r/>
            <w:r>
              <w:rPr>
                <w:b w:val="0"/>
                <w:sz w:val="15"/>
              </w:rPr>
              <w:t>Validate</w:t>
            </w:r>
          </w:p>
        </w:tc>
        <w:tc>
          <w:tcPr>
            <w:tcW w:type="dxa" w:w="5155"/>
            <w:vAlign w:val="center"/>
          </w:tcPr>
          <w:p>
            <w:r/>
            <w:r>
              <w:rPr>
                <w:b w:val="0"/>
                <w:sz w:val="15"/>
              </w:rPr>
              <w:t>Security and technology verify expected configuration and access.</w:t>
            </w:r>
          </w:p>
        </w:tc>
      </w:tr>
      <w:tr>
        <w:tc>
          <w:tcPr>
            <w:tcW w:type="dxa" w:w="5155"/>
            <w:vAlign w:val="center"/>
          </w:tcPr>
          <w:p>
            <w:r/>
            <w:r>
              <w:rPr>
                <w:b w:val="0"/>
                <w:sz w:val="15"/>
              </w:rPr>
              <w:t>Monitor</w:t>
            </w:r>
          </w:p>
        </w:tc>
        <w:tc>
          <w:tcPr>
            <w:tcW w:type="dxa" w:w="5155"/>
            <w:vAlign w:val="center"/>
          </w:tcPr>
          <w:p>
            <w:r/>
            <w:r>
              <w:rPr>
                <w:b w:val="0"/>
                <w:sz w:val="15"/>
              </w:rPr>
              <w:t>Enhanced logging/detection after restoration.</w:t>
            </w:r>
          </w:p>
        </w:tc>
      </w:tr>
      <w:tr>
        <w:tc>
          <w:tcPr>
            <w:tcW w:type="dxa" w:w="5155"/>
            <w:vAlign w:val="center"/>
          </w:tcPr>
          <w:p>
            <w:r/>
            <w:r>
              <w:rPr>
                <w:b w:val="0"/>
                <w:sz w:val="15"/>
              </w:rPr>
              <w:t>Business acceptance</w:t>
            </w:r>
          </w:p>
        </w:tc>
        <w:tc>
          <w:tcPr>
            <w:tcW w:type="dxa" w:w="5155"/>
            <w:vAlign w:val="center"/>
          </w:tcPr>
          <w:p>
            <w:r/>
            <w:r>
              <w:rPr>
                <w:b w:val="0"/>
                <w:sz w:val="15"/>
              </w:rPr>
              <w:t>Business owner confirms service/customer operation.</w:t>
            </w:r>
          </w:p>
        </w:tc>
      </w:tr>
    </w:tbl>
    <w:p/>
    <w:p>
      <w:pPr>
        <w:pStyle w:val="Heading1"/>
      </w:pPr>
      <w:r>
        <w:t>23. Closure Criteria</w:t>
      </w:r>
    </w:p>
    <w:p>
      <w:r>
        <w:t>An incident may close when immediate threat is contained, required recovery completed, evidence preserved, impact assessed, actions assigned and required governance notifications completed.</w:t>
      </w:r>
    </w:p>
    <w:p>
      <w:pPr>
        <w:pStyle w:val="Heading1"/>
      </w:pPr>
      <w:r>
        <w:t>24. Root Cause and Lessons Learned</w:t>
      </w:r>
    </w:p>
    <w:p>
      <w:r>
        <w:t>SEV-1 and SEV-2 incidents require documented lessons learned and root-cause analysis unless the CISO approves an alternate record due to investigation constraints.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Area</w:t>
            </w:r>
          </w:p>
        </w:tc>
        <w:tc>
          <w:tcPr>
            <w:tcW w:type="dxa" w:w="5155"/>
            <w:vAlign w:val="center"/>
            <w:shd w:fill="17365D"/>
          </w:tcPr>
          <w:p>
            <w:r/>
            <w:r>
              <w:rPr>
                <w:b/>
                <w:color w:val="FFFFFF"/>
                <w:sz w:val="15"/>
              </w:rPr>
              <w:t>Questions</w:t>
            </w:r>
          </w:p>
        </w:tc>
      </w:tr>
      <w:tr>
        <w:tc>
          <w:tcPr>
            <w:tcW w:type="dxa" w:w="5155"/>
            <w:vAlign w:val="center"/>
          </w:tcPr>
          <w:p>
            <w:r/>
            <w:r>
              <w:rPr>
                <w:b w:val="0"/>
                <w:sz w:val="15"/>
              </w:rPr>
              <w:t>People</w:t>
            </w:r>
          </w:p>
        </w:tc>
        <w:tc>
          <w:tcPr>
            <w:tcW w:type="dxa" w:w="5155"/>
            <w:vAlign w:val="center"/>
          </w:tcPr>
          <w:p>
            <w:r/>
            <w:r>
              <w:rPr>
                <w:b w:val="0"/>
                <w:sz w:val="15"/>
              </w:rPr>
              <w:t>Training, role or malicious/accidental behavior?</w:t>
            </w:r>
          </w:p>
        </w:tc>
      </w:tr>
      <w:tr>
        <w:tc>
          <w:tcPr>
            <w:tcW w:type="dxa" w:w="5155"/>
            <w:vAlign w:val="center"/>
          </w:tcPr>
          <w:p>
            <w:r/>
            <w:r>
              <w:rPr>
                <w:b w:val="0"/>
                <w:sz w:val="15"/>
              </w:rPr>
              <w:t>Process</w:t>
            </w:r>
          </w:p>
        </w:tc>
        <w:tc>
          <w:tcPr>
            <w:tcW w:type="dxa" w:w="5155"/>
            <w:vAlign w:val="center"/>
          </w:tcPr>
          <w:p>
            <w:r/>
            <w:r>
              <w:rPr>
                <w:b w:val="0"/>
                <w:sz w:val="15"/>
              </w:rPr>
              <w:t>Was procedure missing, bypassed or unclear?</w:t>
            </w:r>
          </w:p>
        </w:tc>
      </w:tr>
      <w:tr>
        <w:tc>
          <w:tcPr>
            <w:tcW w:type="dxa" w:w="5155"/>
            <w:vAlign w:val="center"/>
          </w:tcPr>
          <w:p>
            <w:r/>
            <w:r>
              <w:rPr>
                <w:b w:val="0"/>
                <w:sz w:val="15"/>
              </w:rPr>
              <w:t>Technology</w:t>
            </w:r>
          </w:p>
        </w:tc>
        <w:tc>
          <w:tcPr>
            <w:tcW w:type="dxa" w:w="5155"/>
            <w:vAlign w:val="center"/>
          </w:tcPr>
          <w:p>
            <w:r/>
            <w:r>
              <w:rPr>
                <w:b w:val="0"/>
                <w:sz w:val="15"/>
              </w:rPr>
              <w:t>Vulnerability, configuration or control failure?</w:t>
            </w:r>
          </w:p>
        </w:tc>
      </w:tr>
      <w:tr>
        <w:tc>
          <w:tcPr>
            <w:tcW w:type="dxa" w:w="5155"/>
            <w:vAlign w:val="center"/>
          </w:tcPr>
          <w:p>
            <w:r/>
            <w:r>
              <w:rPr>
                <w:b w:val="0"/>
                <w:sz w:val="15"/>
              </w:rPr>
              <w:t>Third party</w:t>
            </w:r>
          </w:p>
        </w:tc>
        <w:tc>
          <w:tcPr>
            <w:tcW w:type="dxa" w:w="5155"/>
            <w:vAlign w:val="center"/>
          </w:tcPr>
          <w:p>
            <w:r/>
            <w:r>
              <w:rPr>
                <w:b w:val="0"/>
                <w:sz w:val="15"/>
              </w:rPr>
              <w:t>Vendor/subprocessor contribution?</w:t>
            </w:r>
          </w:p>
        </w:tc>
      </w:tr>
      <w:tr>
        <w:tc>
          <w:tcPr>
            <w:tcW w:type="dxa" w:w="5155"/>
            <w:vAlign w:val="center"/>
          </w:tcPr>
          <w:p>
            <w:r/>
            <w:r>
              <w:rPr>
                <w:b w:val="0"/>
                <w:sz w:val="15"/>
              </w:rPr>
              <w:t>Detection</w:t>
            </w:r>
          </w:p>
        </w:tc>
        <w:tc>
          <w:tcPr>
            <w:tcW w:type="dxa" w:w="5155"/>
            <w:vAlign w:val="center"/>
          </w:tcPr>
          <w:p>
            <w:r/>
            <w:r>
              <w:rPr>
                <w:b w:val="0"/>
                <w:sz w:val="15"/>
              </w:rPr>
              <w:t>Why was issue detected when it was?</w:t>
            </w:r>
          </w:p>
        </w:tc>
      </w:tr>
      <w:tr>
        <w:tc>
          <w:tcPr>
            <w:tcW w:type="dxa" w:w="5155"/>
            <w:vAlign w:val="center"/>
          </w:tcPr>
          <w:p>
            <w:r/>
            <w:r>
              <w:rPr>
                <w:b w:val="0"/>
                <w:sz w:val="15"/>
              </w:rPr>
              <w:t>Recovery</w:t>
            </w:r>
          </w:p>
        </w:tc>
        <w:tc>
          <w:tcPr>
            <w:tcW w:type="dxa" w:w="5155"/>
            <w:vAlign w:val="center"/>
          </w:tcPr>
          <w:p>
            <w:r/>
            <w:r>
              <w:rPr>
                <w:b w:val="0"/>
                <w:sz w:val="15"/>
              </w:rPr>
              <w:t>Were backups, access and communications effective?</w:t>
            </w:r>
          </w:p>
        </w:tc>
      </w:tr>
    </w:tbl>
    <w:p/>
    <w:p>
      <w:pPr>
        <w:pStyle w:val="Heading1"/>
      </w:pPr>
      <w:r>
        <w:t>25. Action Tracking</w:t>
      </w:r>
    </w:p>
    <w:p>
      <w:r>
        <w:t>Remediation actions shall have owner, due date, priority and evidence. Overdue actions require escalation; closure of the incident does not close remediation automatically.</w:t>
      </w:r>
    </w:p>
    <w:p>
      <w:pPr>
        <w:pStyle w:val="Heading1"/>
      </w:pPr>
      <w:r>
        <w:t>26. Post-Incident Monitoring</w:t>
      </w:r>
    </w:p>
    <w:p>
      <w:r>
        <w:t>Security may impose temporary enhanced monitoring, access restriction or transaction review after containment where residual risk remains.</w:t>
      </w:r>
    </w:p>
    <w:p>
      <w:pPr>
        <w:pStyle w:val="Heading1"/>
      </w:pPr>
      <w:r>
        <w:t>27. Scenario-Specific Playbooks</w:t>
      </w:r>
    </w:p>
    <w:p>
      <w:r>
        <w:t>Security Operations shall maintain detailed technical playbooks outside this Procedure for phishing, account compromise, malware, ransomware, cloud exposure, DDoS, data leakage and insider-risk scenarios. Those playbooks may change more frequently without changing this Procedure if control outcomes remain aligned.</w:t>
      </w:r>
    </w:p>
    <w:p>
      <w:pPr>
        <w:pStyle w:val="Heading1"/>
      </w:pPr>
      <w:r>
        <w:t>28. Metrics</w:t>
      </w:r>
    </w:p>
    <w:p>
      <w:r>
        <w:t>Security Operations shall track incident volume/severity, detection-to-triage time, containment time, repeat causes, vendor incidents, evidence gaps and overdue corrective actions.</w:t>
      </w:r>
    </w:p>
    <w:p>
      <w:pPr>
        <w:pStyle w:val="Heading1"/>
      </w:pPr>
      <w:r>
        <w:t>29. Historical and Transitional Provisions</w:t>
      </w:r>
    </w:p>
    <w:p>
      <w:r>
        <w:t>Version 1.1 tightens notification targets and formalizes parallel compliance escalation.</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Topic</w:t>
            </w:r>
          </w:p>
        </w:tc>
        <w:tc>
          <w:tcPr>
            <w:tcW w:type="dxa" w:w="2577"/>
            <w:vAlign w:val="center"/>
            <w:shd w:fill="17365D"/>
          </w:tcPr>
          <w:p>
            <w:r/>
            <w:r>
              <w:rPr>
                <w:b/>
                <w:color w:val="FFFFFF"/>
                <w:sz w:val="15"/>
              </w:rPr>
              <w:t>v1.0</w:t>
            </w:r>
          </w:p>
        </w:tc>
        <w:tc>
          <w:tcPr>
            <w:tcW w:type="dxa" w:w="2577"/>
            <w:vAlign w:val="center"/>
            <w:shd w:fill="17365D"/>
          </w:tcPr>
          <w:p>
            <w:r/>
            <w:r>
              <w:rPr>
                <w:b/>
                <w:color w:val="FFFFFF"/>
                <w:sz w:val="15"/>
              </w:rPr>
              <w:t>v1.1</w:t>
            </w:r>
          </w:p>
        </w:tc>
        <w:tc>
          <w:tcPr>
            <w:tcW w:type="dxa" w:w="2577"/>
            <w:vAlign w:val="center"/>
            <w:shd w:fill="17365D"/>
          </w:tcPr>
          <w:p>
            <w:r/>
            <w:r>
              <w:rPr>
                <w:b/>
                <w:color w:val="FFFFFF"/>
                <w:sz w:val="15"/>
              </w:rPr>
              <w:t>Treatment</w:t>
            </w:r>
          </w:p>
        </w:tc>
      </w:tr>
      <w:tr>
        <w:tc>
          <w:tcPr>
            <w:tcW w:type="dxa" w:w="2577"/>
            <w:vAlign w:val="center"/>
          </w:tcPr>
          <w:p>
            <w:r/>
            <w:r>
              <w:rPr>
                <w:b w:val="0"/>
                <w:sz w:val="15"/>
              </w:rPr>
              <w:t>SEV-1 CISO target</w:t>
            </w:r>
          </w:p>
        </w:tc>
        <w:tc>
          <w:tcPr>
            <w:tcW w:type="dxa" w:w="2577"/>
            <w:vAlign w:val="center"/>
          </w:tcPr>
          <w:p>
            <w:r/>
            <w:r>
              <w:rPr>
                <w:b w:val="0"/>
                <w:sz w:val="15"/>
              </w:rPr>
              <w:t>30 minutes</w:t>
            </w:r>
          </w:p>
        </w:tc>
        <w:tc>
          <w:tcPr>
            <w:tcW w:type="dxa" w:w="2577"/>
            <w:vAlign w:val="center"/>
          </w:tcPr>
          <w:p>
            <w:r/>
            <w:r>
              <w:rPr>
                <w:b w:val="0"/>
                <w:sz w:val="15"/>
              </w:rPr>
              <w:t>15 minutes</w:t>
            </w:r>
          </w:p>
        </w:tc>
        <w:tc>
          <w:tcPr>
            <w:tcW w:type="dxa" w:w="2577"/>
            <w:vAlign w:val="center"/>
          </w:tcPr>
          <w:p>
            <w:r/>
            <w:r>
              <w:rPr>
                <w:b w:val="0"/>
                <w:sz w:val="15"/>
              </w:rPr>
              <w:t>Current events use v1.1.</w:t>
            </w:r>
          </w:p>
        </w:tc>
      </w:tr>
      <w:tr>
        <w:tc>
          <w:tcPr>
            <w:tcW w:type="dxa" w:w="2577"/>
            <w:vAlign w:val="center"/>
          </w:tcPr>
          <w:p>
            <w:r/>
            <w:r>
              <w:rPr>
                <w:b w:val="0"/>
                <w:sz w:val="15"/>
              </w:rPr>
              <w:t>Vendor evidence</w:t>
            </w:r>
          </w:p>
        </w:tc>
        <w:tc>
          <w:tcPr>
            <w:tcW w:type="dxa" w:w="2577"/>
            <w:vAlign w:val="center"/>
          </w:tcPr>
          <w:p>
            <w:r/>
            <w:r>
              <w:rPr>
                <w:b w:val="0"/>
                <w:sz w:val="15"/>
              </w:rPr>
              <w:t>General coordination</w:t>
            </w:r>
          </w:p>
        </w:tc>
        <w:tc>
          <w:tcPr>
            <w:tcW w:type="dxa" w:w="2577"/>
            <w:vAlign w:val="center"/>
          </w:tcPr>
          <w:p>
            <w:r/>
            <w:r>
              <w:rPr>
                <w:b w:val="0"/>
                <w:sz w:val="15"/>
              </w:rPr>
              <w:t>Specific log/timeline/subprocessor evidence</w:t>
            </w:r>
          </w:p>
        </w:tc>
        <w:tc>
          <w:tcPr>
            <w:tcW w:type="dxa" w:w="2577"/>
            <w:vAlign w:val="center"/>
          </w:tcPr>
          <w:p>
            <w:r/>
            <w:r>
              <w:rPr>
                <w:b w:val="0"/>
                <w:sz w:val="15"/>
              </w:rPr>
              <w:t>Open vendor incidents adopt current evidence requests where feasible.</w:t>
            </w:r>
          </w:p>
        </w:tc>
      </w:tr>
      <w:tr>
        <w:tc>
          <w:tcPr>
            <w:tcW w:type="dxa" w:w="2577"/>
            <w:vAlign w:val="center"/>
          </w:tcPr>
          <w:p>
            <w:r/>
            <w:r>
              <w:rPr>
                <w:b w:val="0"/>
                <w:sz w:val="15"/>
              </w:rPr>
              <w:t>Compliance interface</w:t>
            </w:r>
          </w:p>
        </w:tc>
        <w:tc>
          <w:tcPr>
            <w:tcW w:type="dxa" w:w="2577"/>
            <w:vAlign w:val="center"/>
          </w:tcPr>
          <w:p>
            <w:r/>
            <w:r>
              <w:rPr>
                <w:b w:val="0"/>
                <w:sz w:val="15"/>
              </w:rPr>
              <w:t>Escalate material events</w:t>
            </w:r>
          </w:p>
        </w:tc>
        <w:tc>
          <w:tcPr>
            <w:tcW w:type="dxa" w:w="2577"/>
            <w:vAlign w:val="center"/>
          </w:tcPr>
          <w:p>
            <w:r/>
            <w:r>
              <w:rPr>
                <w:b w:val="0"/>
                <w:sz w:val="15"/>
              </w:rPr>
              <w:t>Explicit CBP-043 parallel classification</w:t>
            </w:r>
          </w:p>
        </w:tc>
        <w:tc>
          <w:tcPr>
            <w:tcW w:type="dxa" w:w="2577"/>
            <w:vAlign w:val="center"/>
          </w:tcPr>
          <w:p>
            <w:r/>
            <w:r>
              <w:rPr>
                <w:b w:val="0"/>
                <w:sz w:val="15"/>
              </w:rPr>
              <w:t>Historical incidents retain original labels; reopened issues use current governance.</w:t>
            </w:r>
          </w:p>
        </w:tc>
      </w:tr>
    </w:tbl>
    <w:p/>
    <w:p>
      <w:pPr>
        <w:pStyle w:val="Heading1"/>
      </w:pPr>
      <w:r>
        <w:t>Appendix A — Incident Severity Decision Matrix</w:t>
      </w:r>
    </w:p>
    <w:p>
      <w:r>
        <w:t>Use impact and credible scope together; when uncertain, use the higher reasonable initial severity.</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vAlign w:val="center"/>
            <w:shd w:fill="17365D"/>
          </w:tcPr>
          <w:p>
            <w:r/>
            <w:r>
              <w:rPr>
                <w:b/>
                <w:color w:val="FFFFFF"/>
                <w:sz w:val="15"/>
              </w:rPr>
              <w:t>Dimension</w:t>
            </w:r>
          </w:p>
        </w:tc>
        <w:tc>
          <w:tcPr>
            <w:tcW w:type="dxa" w:w="2062"/>
            <w:vAlign w:val="center"/>
            <w:shd w:fill="17365D"/>
          </w:tcPr>
          <w:p>
            <w:r/>
            <w:r>
              <w:rPr>
                <w:b/>
                <w:color w:val="FFFFFF"/>
                <w:sz w:val="15"/>
              </w:rPr>
              <w:t>SEV-4</w:t>
            </w:r>
          </w:p>
        </w:tc>
        <w:tc>
          <w:tcPr>
            <w:tcW w:type="dxa" w:w="2062"/>
            <w:vAlign w:val="center"/>
            <w:shd w:fill="17365D"/>
          </w:tcPr>
          <w:p>
            <w:r/>
            <w:r>
              <w:rPr>
                <w:b/>
                <w:color w:val="FFFFFF"/>
                <w:sz w:val="15"/>
              </w:rPr>
              <w:t>SEV-3</w:t>
            </w:r>
          </w:p>
        </w:tc>
        <w:tc>
          <w:tcPr>
            <w:tcW w:type="dxa" w:w="2062"/>
            <w:vAlign w:val="center"/>
            <w:shd w:fill="17365D"/>
          </w:tcPr>
          <w:p>
            <w:r/>
            <w:r>
              <w:rPr>
                <w:b/>
                <w:color w:val="FFFFFF"/>
                <w:sz w:val="15"/>
              </w:rPr>
              <w:t>SEV-2</w:t>
            </w:r>
          </w:p>
        </w:tc>
        <w:tc>
          <w:tcPr>
            <w:tcW w:type="dxa" w:w="2062"/>
            <w:vAlign w:val="center"/>
            <w:shd w:fill="17365D"/>
          </w:tcPr>
          <w:p>
            <w:r/>
            <w:r>
              <w:rPr>
                <w:b/>
                <w:color w:val="FFFFFF"/>
                <w:sz w:val="15"/>
              </w:rPr>
              <w:t>SEV-1</w:t>
            </w:r>
          </w:p>
        </w:tc>
      </w:tr>
      <w:tr>
        <w:tc>
          <w:tcPr>
            <w:tcW w:type="dxa" w:w="2062"/>
            <w:vAlign w:val="center"/>
          </w:tcPr>
          <w:p>
            <w:r/>
            <w:r>
              <w:rPr>
                <w:b w:val="0"/>
                <w:sz w:val="15"/>
              </w:rPr>
              <w:t>Data</w:t>
            </w:r>
          </w:p>
        </w:tc>
        <w:tc>
          <w:tcPr>
            <w:tcW w:type="dxa" w:w="2062"/>
            <w:vAlign w:val="center"/>
          </w:tcPr>
          <w:p>
            <w:r/>
            <w:r>
              <w:rPr>
                <w:b w:val="0"/>
                <w:sz w:val="15"/>
              </w:rPr>
              <w:t>No/low sensitivity</w:t>
            </w:r>
          </w:p>
        </w:tc>
        <w:tc>
          <w:tcPr>
            <w:tcW w:type="dxa" w:w="2062"/>
            <w:vAlign w:val="center"/>
          </w:tcPr>
          <w:p>
            <w:r/>
            <w:r>
              <w:rPr>
                <w:b w:val="0"/>
                <w:sz w:val="15"/>
              </w:rPr>
              <w:t>Limited Confidential</w:t>
            </w:r>
          </w:p>
        </w:tc>
        <w:tc>
          <w:tcPr>
            <w:tcW w:type="dxa" w:w="2062"/>
            <w:vAlign w:val="center"/>
          </w:tcPr>
          <w:p>
            <w:r/>
            <w:r>
              <w:rPr>
                <w:b w:val="0"/>
                <w:sz w:val="15"/>
              </w:rPr>
              <w:t>Material Confidential/limited Restricted</w:t>
            </w:r>
          </w:p>
        </w:tc>
        <w:tc>
          <w:tcPr>
            <w:tcW w:type="dxa" w:w="2062"/>
            <w:vAlign w:val="center"/>
          </w:tcPr>
          <w:p>
            <w:r/>
            <w:r>
              <w:rPr>
                <w:b w:val="0"/>
                <w:sz w:val="15"/>
              </w:rPr>
              <w:t>Large Restricted or critical secrets</w:t>
            </w:r>
          </w:p>
        </w:tc>
      </w:tr>
      <w:tr>
        <w:tc>
          <w:tcPr>
            <w:tcW w:type="dxa" w:w="2062"/>
            <w:vAlign w:val="center"/>
          </w:tcPr>
          <w:p>
            <w:r/>
            <w:r>
              <w:rPr>
                <w:b w:val="0"/>
                <w:sz w:val="15"/>
              </w:rPr>
              <w:t>Availability</w:t>
            </w:r>
          </w:p>
        </w:tc>
        <w:tc>
          <w:tcPr>
            <w:tcW w:type="dxa" w:w="2062"/>
            <w:vAlign w:val="center"/>
          </w:tcPr>
          <w:p>
            <w:r/>
            <w:r>
              <w:rPr>
                <w:b w:val="0"/>
                <w:sz w:val="15"/>
              </w:rPr>
              <w:t>No meaningful outage</w:t>
            </w:r>
          </w:p>
        </w:tc>
        <w:tc>
          <w:tcPr>
            <w:tcW w:type="dxa" w:w="2062"/>
            <w:vAlign w:val="center"/>
          </w:tcPr>
          <w:p>
            <w:r/>
            <w:r>
              <w:rPr>
                <w:b w:val="0"/>
                <w:sz w:val="15"/>
              </w:rPr>
              <w:t>Localized short outage</w:t>
            </w:r>
          </w:p>
        </w:tc>
        <w:tc>
          <w:tcPr>
            <w:tcW w:type="dxa" w:w="2062"/>
            <w:vAlign w:val="center"/>
          </w:tcPr>
          <w:p>
            <w:r/>
            <w:r>
              <w:rPr>
                <w:b w:val="0"/>
                <w:sz w:val="15"/>
              </w:rPr>
              <w:t>Material business service impact</w:t>
            </w:r>
          </w:p>
        </w:tc>
        <w:tc>
          <w:tcPr>
            <w:tcW w:type="dxa" w:w="2062"/>
            <w:vAlign w:val="center"/>
          </w:tcPr>
          <w:p>
            <w:r/>
            <w:r>
              <w:rPr>
                <w:b w:val="0"/>
                <w:sz w:val="15"/>
              </w:rPr>
              <w:t>Critical/systemic outage</w:t>
            </w:r>
          </w:p>
        </w:tc>
      </w:tr>
      <w:tr>
        <w:tc>
          <w:tcPr>
            <w:tcW w:type="dxa" w:w="2062"/>
            <w:vAlign w:val="center"/>
          </w:tcPr>
          <w:p>
            <w:r/>
            <w:r>
              <w:rPr>
                <w:b w:val="0"/>
                <w:sz w:val="15"/>
              </w:rPr>
              <w:t>Identity</w:t>
            </w:r>
          </w:p>
        </w:tc>
        <w:tc>
          <w:tcPr>
            <w:tcW w:type="dxa" w:w="2062"/>
            <w:vAlign w:val="center"/>
          </w:tcPr>
          <w:p>
            <w:r/>
            <w:r>
              <w:rPr>
                <w:b w:val="0"/>
                <w:sz w:val="15"/>
              </w:rPr>
              <w:t>Blocked attempt</w:t>
            </w:r>
          </w:p>
        </w:tc>
        <w:tc>
          <w:tcPr>
            <w:tcW w:type="dxa" w:w="2062"/>
            <w:vAlign w:val="center"/>
          </w:tcPr>
          <w:p>
            <w:r/>
            <w:r>
              <w:rPr>
                <w:b w:val="0"/>
                <w:sz w:val="15"/>
              </w:rPr>
              <w:t>Single user contained</w:t>
            </w:r>
          </w:p>
        </w:tc>
        <w:tc>
          <w:tcPr>
            <w:tcW w:type="dxa" w:w="2062"/>
            <w:vAlign w:val="center"/>
          </w:tcPr>
          <w:p>
            <w:r/>
            <w:r>
              <w:rPr>
                <w:b w:val="0"/>
                <w:sz w:val="15"/>
              </w:rPr>
              <w:t>Privileged or multiple users</w:t>
            </w:r>
          </w:p>
        </w:tc>
        <w:tc>
          <w:tcPr>
            <w:tcW w:type="dxa" w:w="2062"/>
            <w:vAlign w:val="center"/>
          </w:tcPr>
          <w:p>
            <w:r/>
            <w:r>
              <w:rPr>
                <w:b w:val="0"/>
                <w:sz w:val="15"/>
              </w:rPr>
              <w:t>Identity/security infrastructure compromise</w:t>
            </w:r>
          </w:p>
        </w:tc>
      </w:tr>
      <w:tr>
        <w:tc>
          <w:tcPr>
            <w:tcW w:type="dxa" w:w="2062"/>
            <w:vAlign w:val="center"/>
          </w:tcPr>
          <w:p>
            <w:r/>
            <w:r>
              <w:rPr>
                <w:b w:val="0"/>
                <w:sz w:val="15"/>
              </w:rPr>
              <w:t>Threat activity</w:t>
            </w:r>
          </w:p>
        </w:tc>
        <w:tc>
          <w:tcPr>
            <w:tcW w:type="dxa" w:w="2062"/>
            <w:vAlign w:val="center"/>
          </w:tcPr>
          <w:p>
            <w:r/>
            <w:r>
              <w:rPr>
                <w:b w:val="0"/>
                <w:sz w:val="15"/>
              </w:rPr>
              <w:t>Not active</w:t>
            </w:r>
          </w:p>
        </w:tc>
        <w:tc>
          <w:tcPr>
            <w:tcW w:type="dxa" w:w="2062"/>
            <w:vAlign w:val="center"/>
          </w:tcPr>
          <w:p>
            <w:r/>
            <w:r>
              <w:rPr>
                <w:b w:val="0"/>
                <w:sz w:val="15"/>
              </w:rPr>
              <w:t>Contained/local</w:t>
            </w:r>
          </w:p>
        </w:tc>
        <w:tc>
          <w:tcPr>
            <w:tcW w:type="dxa" w:w="2062"/>
            <w:vAlign w:val="center"/>
          </w:tcPr>
          <w:p>
            <w:r/>
            <w:r>
              <w:rPr>
                <w:b w:val="0"/>
                <w:sz w:val="15"/>
              </w:rPr>
              <w:t>Active material threat</w:t>
            </w:r>
          </w:p>
        </w:tc>
        <w:tc>
          <w:tcPr>
            <w:tcW w:type="dxa" w:w="2062"/>
            <w:vAlign w:val="center"/>
          </w:tcPr>
          <w:p>
            <w:r/>
            <w:r>
              <w:rPr>
                <w:b w:val="0"/>
                <w:sz w:val="15"/>
              </w:rPr>
              <w:t>Widespread/destructive/systemic</w:t>
            </w:r>
          </w:p>
        </w:tc>
      </w:tr>
      <w:tr>
        <w:tc>
          <w:tcPr>
            <w:tcW w:type="dxa" w:w="2062"/>
            <w:vAlign w:val="center"/>
          </w:tcPr>
          <w:p>
            <w:r/>
            <w:r>
              <w:rPr>
                <w:b w:val="0"/>
                <w:sz w:val="15"/>
              </w:rPr>
              <w:t>Customer/financial</w:t>
            </w:r>
          </w:p>
        </w:tc>
        <w:tc>
          <w:tcPr>
            <w:tcW w:type="dxa" w:w="2062"/>
            <w:vAlign w:val="center"/>
          </w:tcPr>
          <w:p>
            <w:r/>
            <w:r>
              <w:rPr>
                <w:b w:val="0"/>
                <w:sz w:val="15"/>
              </w:rPr>
              <w:t>Negligible</w:t>
            </w:r>
          </w:p>
        </w:tc>
        <w:tc>
          <w:tcPr>
            <w:tcW w:type="dxa" w:w="2062"/>
            <w:vAlign w:val="center"/>
          </w:tcPr>
          <w:p>
            <w:r/>
            <w:r>
              <w:rPr>
                <w:b w:val="0"/>
                <w:sz w:val="15"/>
              </w:rPr>
              <w:t>Limited</w:t>
            </w:r>
          </w:p>
        </w:tc>
        <w:tc>
          <w:tcPr>
            <w:tcW w:type="dxa" w:w="2062"/>
            <w:vAlign w:val="center"/>
          </w:tcPr>
          <w:p>
            <w:r/>
            <w:r>
              <w:rPr>
                <w:b w:val="0"/>
                <w:sz w:val="15"/>
              </w:rPr>
              <w:t>Material</w:t>
            </w:r>
          </w:p>
        </w:tc>
        <w:tc>
          <w:tcPr>
            <w:tcW w:type="dxa" w:w="2062"/>
            <w:vAlign w:val="center"/>
          </w:tcPr>
          <w:p>
            <w:r/>
            <w:r>
              <w:rPr>
                <w:b w:val="0"/>
                <w:sz w:val="15"/>
              </w:rPr>
              <w:t>Severe/systemic</w:t>
            </w:r>
          </w:p>
        </w:tc>
      </w:tr>
    </w:tbl>
    <w:p/>
    <w:p>
      <w:pPr>
        <w:pStyle w:val="Heading1"/>
      </w:pPr>
      <w:r>
        <w:t>Appendix B — First 60 Minutes Checklist</w:t>
      </w:r>
    </w:p>
    <w:p>
      <w:r>
        <w:t>The first hour should favor safety, containment and evidence over perfect documentation.</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Time</w:t>
            </w:r>
          </w:p>
        </w:tc>
        <w:tc>
          <w:tcPr>
            <w:tcW w:type="dxa" w:w="5155"/>
            <w:vAlign w:val="center"/>
            <w:shd w:fill="17365D"/>
          </w:tcPr>
          <w:p>
            <w:r/>
            <w:r>
              <w:rPr>
                <w:b/>
                <w:color w:val="FFFFFF"/>
                <w:sz w:val="15"/>
              </w:rPr>
              <w:t>Action</w:t>
            </w:r>
          </w:p>
        </w:tc>
      </w:tr>
      <w:tr>
        <w:tc>
          <w:tcPr>
            <w:tcW w:type="dxa" w:w="5155"/>
            <w:vAlign w:val="center"/>
          </w:tcPr>
          <w:p>
            <w:r/>
            <w:r>
              <w:rPr>
                <w:b w:val="0"/>
                <w:sz w:val="15"/>
              </w:rPr>
              <w:t>0–15 min</w:t>
            </w:r>
          </w:p>
        </w:tc>
        <w:tc>
          <w:tcPr>
            <w:tcW w:type="dxa" w:w="5155"/>
            <w:vAlign w:val="center"/>
          </w:tcPr>
          <w:p>
            <w:r/>
            <w:r>
              <w:rPr>
                <w:b w:val="0"/>
                <w:sz w:val="15"/>
              </w:rPr>
              <w:t>Create incident record; identify coordinator; preserve key evidence; start containment if ongoing harm.</w:t>
            </w:r>
          </w:p>
        </w:tc>
      </w:tr>
      <w:tr>
        <w:tc>
          <w:tcPr>
            <w:tcW w:type="dxa" w:w="5155"/>
            <w:vAlign w:val="center"/>
          </w:tcPr>
          <w:p>
            <w:r/>
            <w:r>
              <w:rPr>
                <w:b w:val="0"/>
                <w:sz w:val="15"/>
              </w:rPr>
              <w:t>15–30 min</w:t>
            </w:r>
          </w:p>
        </w:tc>
        <w:tc>
          <w:tcPr>
            <w:tcW w:type="dxa" w:w="5155"/>
            <w:vAlign w:val="center"/>
          </w:tcPr>
          <w:p>
            <w:r/>
            <w:r>
              <w:rPr>
                <w:b w:val="0"/>
                <w:sz w:val="15"/>
              </w:rPr>
              <w:t>Confirm initial severity; notify required leaders; identify affected identities/systems/data.</w:t>
            </w:r>
          </w:p>
        </w:tc>
      </w:tr>
      <w:tr>
        <w:tc>
          <w:tcPr>
            <w:tcW w:type="dxa" w:w="5155"/>
            <w:vAlign w:val="center"/>
          </w:tcPr>
          <w:p>
            <w:r/>
            <w:r>
              <w:rPr>
                <w:b w:val="0"/>
                <w:sz w:val="15"/>
              </w:rPr>
              <w:t>30–45 min</w:t>
            </w:r>
          </w:p>
        </w:tc>
        <w:tc>
          <w:tcPr>
            <w:tcW w:type="dxa" w:w="5155"/>
            <w:vAlign w:val="center"/>
          </w:tcPr>
          <w:p>
            <w:r/>
            <w:r>
              <w:rPr>
                <w:b w:val="0"/>
                <w:sz w:val="15"/>
              </w:rPr>
              <w:t>Set incident roles; establish trusted communications; capture timeline and hypotheses.</w:t>
            </w:r>
          </w:p>
        </w:tc>
      </w:tr>
      <w:tr>
        <w:tc>
          <w:tcPr>
            <w:tcW w:type="dxa" w:w="5155"/>
            <w:vAlign w:val="center"/>
          </w:tcPr>
          <w:p>
            <w:r/>
            <w:r>
              <w:rPr>
                <w:b w:val="0"/>
                <w:sz w:val="15"/>
              </w:rPr>
              <w:t>45–60 min</w:t>
            </w:r>
          </w:p>
        </w:tc>
        <w:tc>
          <w:tcPr>
            <w:tcW w:type="dxa" w:w="5155"/>
            <w:vAlign w:val="center"/>
          </w:tcPr>
          <w:p>
            <w:r/>
            <w:r>
              <w:rPr>
                <w:b w:val="0"/>
                <w:sz w:val="15"/>
              </w:rPr>
              <w:t>Confirm containment plan, evidence plan, business impact, vendor/fraud/compliance interfaces.</w:t>
            </w:r>
          </w:p>
        </w:tc>
      </w:tr>
    </w:tbl>
    <w:p/>
    <w:p>
      <w:pPr>
        <w:pStyle w:val="Heading1"/>
      </w:pPr>
      <w:r>
        <w:t>Appendix C — Evidence Register Fields</w:t>
      </w:r>
    </w:p>
    <w:p>
      <w:r>
        <w:t>Material incidents should maintain an evidence register.</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Field</w:t>
            </w:r>
          </w:p>
        </w:tc>
        <w:tc>
          <w:tcPr>
            <w:tcW w:type="dxa" w:w="5155"/>
            <w:vAlign w:val="center"/>
            <w:shd w:fill="17365D"/>
          </w:tcPr>
          <w:p>
            <w:r/>
            <w:r>
              <w:rPr>
                <w:b/>
                <w:color w:val="FFFFFF"/>
                <w:sz w:val="15"/>
              </w:rPr>
              <w:t>Example</w:t>
            </w:r>
          </w:p>
        </w:tc>
      </w:tr>
      <w:tr>
        <w:tc>
          <w:tcPr>
            <w:tcW w:type="dxa" w:w="5155"/>
            <w:vAlign w:val="center"/>
          </w:tcPr>
          <w:p>
            <w:r/>
            <w:r>
              <w:rPr>
                <w:b w:val="0"/>
                <w:sz w:val="15"/>
              </w:rPr>
              <w:t>Evidence ID</w:t>
            </w:r>
          </w:p>
        </w:tc>
        <w:tc>
          <w:tcPr>
            <w:tcW w:type="dxa" w:w="5155"/>
            <w:vAlign w:val="center"/>
          </w:tcPr>
          <w:p>
            <w:r/>
            <w:r>
              <w:rPr>
                <w:b w:val="0"/>
                <w:sz w:val="15"/>
              </w:rPr>
              <w:t>E-014</w:t>
            </w:r>
          </w:p>
        </w:tc>
      </w:tr>
      <w:tr>
        <w:tc>
          <w:tcPr>
            <w:tcW w:type="dxa" w:w="5155"/>
            <w:vAlign w:val="center"/>
          </w:tcPr>
          <w:p>
            <w:r/>
            <w:r>
              <w:rPr>
                <w:b w:val="0"/>
                <w:sz w:val="15"/>
              </w:rPr>
              <w:t>Description</w:t>
            </w:r>
          </w:p>
        </w:tc>
        <w:tc>
          <w:tcPr>
            <w:tcW w:type="dxa" w:w="5155"/>
            <w:vAlign w:val="center"/>
          </w:tcPr>
          <w:p>
            <w:r/>
            <w:r>
              <w:rPr>
                <w:b w:val="0"/>
                <w:sz w:val="15"/>
              </w:rPr>
              <w:t>Cloud audit log export for affected tenant</w:t>
            </w:r>
          </w:p>
        </w:tc>
      </w:tr>
      <w:tr>
        <w:tc>
          <w:tcPr>
            <w:tcW w:type="dxa" w:w="5155"/>
            <w:vAlign w:val="center"/>
          </w:tcPr>
          <w:p>
            <w:r/>
            <w:r>
              <w:rPr>
                <w:b w:val="0"/>
                <w:sz w:val="15"/>
              </w:rPr>
              <w:t>Collected by</w:t>
            </w:r>
          </w:p>
        </w:tc>
        <w:tc>
          <w:tcPr>
            <w:tcW w:type="dxa" w:w="5155"/>
            <w:vAlign w:val="center"/>
          </w:tcPr>
          <w:p>
            <w:r/>
            <w:r>
              <w:rPr>
                <w:b w:val="0"/>
                <w:sz w:val="15"/>
              </w:rPr>
              <w:t>Security analyst</w:t>
            </w:r>
          </w:p>
        </w:tc>
      </w:tr>
      <w:tr>
        <w:tc>
          <w:tcPr>
            <w:tcW w:type="dxa" w:w="5155"/>
            <w:vAlign w:val="center"/>
          </w:tcPr>
          <w:p>
            <w:r/>
            <w:r>
              <w:rPr>
                <w:b w:val="0"/>
                <w:sz w:val="15"/>
              </w:rPr>
              <w:t>Date/time/time zone</w:t>
            </w:r>
          </w:p>
        </w:tc>
        <w:tc>
          <w:tcPr>
            <w:tcW w:type="dxa" w:w="5155"/>
            <w:vAlign w:val="center"/>
          </w:tcPr>
          <w:p>
            <w:r/>
            <w:r>
              <w:rPr>
                <w:b w:val="0"/>
                <w:sz w:val="15"/>
              </w:rPr>
              <w:t>2026-05-04 14:22 IST</w:t>
            </w:r>
          </w:p>
        </w:tc>
      </w:tr>
      <w:tr>
        <w:tc>
          <w:tcPr>
            <w:tcW w:type="dxa" w:w="5155"/>
            <w:vAlign w:val="center"/>
          </w:tcPr>
          <w:p>
            <w:r/>
            <w:r>
              <w:rPr>
                <w:b w:val="0"/>
                <w:sz w:val="15"/>
              </w:rPr>
              <w:t>Source</w:t>
            </w:r>
          </w:p>
        </w:tc>
        <w:tc>
          <w:tcPr>
            <w:tcW w:type="dxa" w:w="5155"/>
            <w:vAlign w:val="center"/>
          </w:tcPr>
          <w:p>
            <w:r/>
            <w:r>
              <w:rPr>
                <w:b w:val="0"/>
                <w:sz w:val="15"/>
              </w:rPr>
              <w:t>Provider audit service</w:t>
            </w:r>
          </w:p>
        </w:tc>
      </w:tr>
      <w:tr>
        <w:tc>
          <w:tcPr>
            <w:tcW w:type="dxa" w:w="5155"/>
            <w:vAlign w:val="center"/>
          </w:tcPr>
          <w:p>
            <w:r/>
            <w:r>
              <w:rPr>
                <w:b w:val="0"/>
                <w:sz w:val="15"/>
              </w:rPr>
              <w:t>Integrity note</w:t>
            </w:r>
          </w:p>
        </w:tc>
        <w:tc>
          <w:tcPr>
            <w:tcW w:type="dxa" w:w="5155"/>
            <w:vAlign w:val="center"/>
          </w:tcPr>
          <w:p>
            <w:r/>
            <w:r>
              <w:rPr>
                <w:b w:val="0"/>
                <w:sz w:val="15"/>
              </w:rPr>
              <w:t>Export hash / immutable archive reference</w:t>
            </w:r>
          </w:p>
        </w:tc>
      </w:tr>
      <w:tr>
        <w:tc>
          <w:tcPr>
            <w:tcW w:type="dxa" w:w="5155"/>
            <w:vAlign w:val="center"/>
          </w:tcPr>
          <w:p>
            <w:r/>
            <w:r>
              <w:rPr>
                <w:b w:val="0"/>
                <w:sz w:val="15"/>
              </w:rPr>
              <w:t>Storage</w:t>
            </w:r>
          </w:p>
        </w:tc>
        <w:tc>
          <w:tcPr>
            <w:tcW w:type="dxa" w:w="5155"/>
            <w:vAlign w:val="center"/>
          </w:tcPr>
          <w:p>
            <w:r/>
            <w:r>
              <w:rPr>
                <w:b w:val="0"/>
                <w:sz w:val="15"/>
              </w:rPr>
              <w:t>Restricted incident repository</w:t>
            </w:r>
          </w:p>
        </w:tc>
      </w:tr>
      <w:tr>
        <w:tc>
          <w:tcPr>
            <w:tcW w:type="dxa" w:w="5155"/>
            <w:vAlign w:val="center"/>
          </w:tcPr>
          <w:p>
            <w:r/>
            <w:r>
              <w:rPr>
                <w:b w:val="0"/>
                <w:sz w:val="15"/>
              </w:rPr>
              <w:t>Access</w:t>
            </w:r>
          </w:p>
        </w:tc>
        <w:tc>
          <w:tcPr>
            <w:tcW w:type="dxa" w:w="5155"/>
            <w:vAlign w:val="center"/>
          </w:tcPr>
          <w:p>
            <w:r/>
            <w:r>
              <w:rPr>
                <w:b w:val="0"/>
                <w:sz w:val="15"/>
              </w:rPr>
              <w:t>Investigation team only</w:t>
            </w:r>
          </w:p>
        </w:tc>
      </w:tr>
    </w:tbl>
    <w:p/>
    <w:p>
      <w:pPr>
        <w:pStyle w:val="Heading1"/>
      </w:pPr>
      <w:r>
        <w:t>Appendix D — Recovery Decision Gate</w:t>
      </w:r>
    </w:p>
    <w:p>
      <w:r>
        <w:t>Before restoring a material system, confirm the following.</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Gate</w:t>
            </w:r>
          </w:p>
        </w:tc>
        <w:tc>
          <w:tcPr>
            <w:tcW w:type="dxa" w:w="5155"/>
            <w:vAlign w:val="center"/>
            <w:shd w:fill="17365D"/>
          </w:tcPr>
          <w:p>
            <w:r/>
            <w:r>
              <w:rPr>
                <w:b/>
                <w:color w:val="FFFFFF"/>
                <w:sz w:val="15"/>
              </w:rPr>
              <w:t>Evidence</w:t>
            </w:r>
          </w:p>
        </w:tc>
      </w:tr>
      <w:tr>
        <w:tc>
          <w:tcPr>
            <w:tcW w:type="dxa" w:w="5155"/>
            <w:vAlign w:val="center"/>
          </w:tcPr>
          <w:p>
            <w:r/>
            <w:r>
              <w:rPr>
                <w:b w:val="0"/>
                <w:sz w:val="15"/>
              </w:rPr>
              <w:t>Threat contained</w:t>
            </w:r>
          </w:p>
        </w:tc>
        <w:tc>
          <w:tcPr>
            <w:tcW w:type="dxa" w:w="5155"/>
            <w:vAlign w:val="center"/>
          </w:tcPr>
          <w:p>
            <w:r/>
            <w:r>
              <w:rPr>
                <w:b w:val="0"/>
                <w:sz w:val="15"/>
              </w:rPr>
              <w:t>No active indicators / blocked path</w:t>
            </w:r>
          </w:p>
        </w:tc>
      </w:tr>
      <w:tr>
        <w:tc>
          <w:tcPr>
            <w:tcW w:type="dxa" w:w="5155"/>
            <w:vAlign w:val="center"/>
          </w:tcPr>
          <w:p>
            <w:r/>
            <w:r>
              <w:rPr>
                <w:b w:val="0"/>
                <w:sz w:val="15"/>
              </w:rPr>
              <w:t>Credentials safe</w:t>
            </w:r>
          </w:p>
        </w:tc>
        <w:tc>
          <w:tcPr>
            <w:tcW w:type="dxa" w:w="5155"/>
            <w:vAlign w:val="center"/>
          </w:tcPr>
          <w:p>
            <w:r/>
            <w:r>
              <w:rPr>
                <w:b w:val="0"/>
                <w:sz w:val="15"/>
              </w:rPr>
              <w:t>Relevant reset/rotation complete</w:t>
            </w:r>
          </w:p>
        </w:tc>
      </w:tr>
      <w:tr>
        <w:tc>
          <w:tcPr>
            <w:tcW w:type="dxa" w:w="5155"/>
            <w:vAlign w:val="center"/>
          </w:tcPr>
          <w:p>
            <w:r/>
            <w:r>
              <w:rPr>
                <w:b w:val="0"/>
                <w:sz w:val="15"/>
              </w:rPr>
              <w:t>Vulnerability addressed</w:t>
            </w:r>
          </w:p>
        </w:tc>
        <w:tc>
          <w:tcPr>
            <w:tcW w:type="dxa" w:w="5155"/>
            <w:vAlign w:val="center"/>
          </w:tcPr>
          <w:p>
            <w:r/>
            <w:r>
              <w:rPr>
                <w:b w:val="0"/>
                <w:sz w:val="15"/>
              </w:rPr>
              <w:t>Patch/configuration/compensating control</w:t>
            </w:r>
          </w:p>
        </w:tc>
      </w:tr>
      <w:tr>
        <w:tc>
          <w:tcPr>
            <w:tcW w:type="dxa" w:w="5155"/>
            <w:vAlign w:val="center"/>
          </w:tcPr>
          <w:p>
            <w:r/>
            <w:r>
              <w:rPr>
                <w:b w:val="0"/>
                <w:sz w:val="15"/>
              </w:rPr>
              <w:t>Backup trusted</w:t>
            </w:r>
          </w:p>
        </w:tc>
        <w:tc>
          <w:tcPr>
            <w:tcW w:type="dxa" w:w="5155"/>
            <w:vAlign w:val="center"/>
          </w:tcPr>
          <w:p>
            <w:r/>
            <w:r>
              <w:rPr>
                <w:b w:val="0"/>
                <w:sz w:val="15"/>
              </w:rPr>
              <w:t>Recovery source validated</w:t>
            </w:r>
          </w:p>
        </w:tc>
      </w:tr>
      <w:tr>
        <w:tc>
          <w:tcPr>
            <w:tcW w:type="dxa" w:w="5155"/>
            <w:vAlign w:val="center"/>
          </w:tcPr>
          <w:p>
            <w:r/>
            <w:r>
              <w:rPr>
                <w:b w:val="0"/>
                <w:sz w:val="15"/>
              </w:rPr>
              <w:t>Access reviewed</w:t>
            </w:r>
          </w:p>
        </w:tc>
        <w:tc>
          <w:tcPr>
            <w:tcW w:type="dxa" w:w="5155"/>
            <w:vAlign w:val="center"/>
          </w:tcPr>
          <w:p>
            <w:r/>
            <w:r>
              <w:rPr>
                <w:b w:val="0"/>
                <w:sz w:val="15"/>
              </w:rPr>
              <w:t>Unauthorized accounts/keys removed</w:t>
            </w:r>
          </w:p>
        </w:tc>
      </w:tr>
      <w:tr>
        <w:tc>
          <w:tcPr>
            <w:tcW w:type="dxa" w:w="5155"/>
            <w:vAlign w:val="center"/>
          </w:tcPr>
          <w:p>
            <w:r/>
            <w:r>
              <w:rPr>
                <w:b w:val="0"/>
                <w:sz w:val="15"/>
              </w:rPr>
              <w:t>Monitoring ready</w:t>
            </w:r>
          </w:p>
        </w:tc>
        <w:tc>
          <w:tcPr>
            <w:tcW w:type="dxa" w:w="5155"/>
            <w:vAlign w:val="center"/>
          </w:tcPr>
          <w:p>
            <w:r/>
            <w:r>
              <w:rPr>
                <w:b w:val="0"/>
                <w:sz w:val="15"/>
              </w:rPr>
              <w:t>Enhanced detections/logging enabled</w:t>
            </w:r>
          </w:p>
        </w:tc>
      </w:tr>
      <w:tr>
        <w:tc>
          <w:tcPr>
            <w:tcW w:type="dxa" w:w="5155"/>
            <w:vAlign w:val="center"/>
          </w:tcPr>
          <w:p>
            <w:r/>
            <w:r>
              <w:rPr>
                <w:b w:val="0"/>
                <w:sz w:val="15"/>
              </w:rPr>
              <w:t>Business readiness</w:t>
            </w:r>
          </w:p>
        </w:tc>
        <w:tc>
          <w:tcPr>
            <w:tcW w:type="dxa" w:w="5155"/>
            <w:vAlign w:val="center"/>
          </w:tcPr>
          <w:p>
            <w:r/>
            <w:r>
              <w:rPr>
                <w:b w:val="0"/>
                <w:sz w:val="15"/>
              </w:rPr>
              <w:t>Dependencies and customer process confirmed</w:t>
            </w:r>
          </w:p>
        </w:tc>
      </w:tr>
    </w:tbl>
    <w:p/>
    <w:p>
      <w:pPr>
        <w:pStyle w:val="Heading1"/>
      </w:pPr>
      <w:r>
        <w:t>Appendix E — Incident Edge Cases</w:t>
      </w:r>
    </w:p>
    <w:p>
      <w:r>
        <w:t>These examples illustrate classification boundaries.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Scenario</w:t>
            </w:r>
          </w:p>
        </w:tc>
        <w:tc>
          <w:tcPr>
            <w:tcW w:type="dxa" w:w="5155"/>
            <w:vAlign w:val="center"/>
            <w:shd w:fill="17365D"/>
          </w:tcPr>
          <w:p>
            <w:r/>
            <w:r>
              <w:rPr>
                <w:b/>
                <w:color w:val="FFFFFF"/>
                <w:sz w:val="15"/>
              </w:rPr>
              <w:t>Likely Initial Treatment</w:t>
            </w:r>
          </w:p>
        </w:tc>
      </w:tr>
      <w:tr>
        <w:tc>
          <w:tcPr>
            <w:tcW w:type="dxa" w:w="5155"/>
            <w:vAlign w:val="center"/>
          </w:tcPr>
          <w:p>
            <w:r/>
            <w:r>
              <w:rPr>
                <w:b w:val="0"/>
                <w:sz w:val="15"/>
              </w:rPr>
              <w:t>Phishing email blocked, no click</w:t>
            </w:r>
          </w:p>
        </w:tc>
        <w:tc>
          <w:tcPr>
            <w:tcW w:type="dxa" w:w="5155"/>
            <w:vAlign w:val="center"/>
          </w:tcPr>
          <w:p>
            <w:r/>
            <w:r>
              <w:rPr>
                <w:b w:val="0"/>
                <w:sz w:val="15"/>
              </w:rPr>
              <w:t>SEV-4 event/near miss; campaign tracking if widespread.</w:t>
            </w:r>
          </w:p>
        </w:tc>
      </w:tr>
      <w:tr>
        <w:tc>
          <w:tcPr>
            <w:tcW w:type="dxa" w:w="5155"/>
            <w:vAlign w:val="center"/>
          </w:tcPr>
          <w:p>
            <w:r/>
            <w:r>
              <w:rPr>
                <w:b w:val="0"/>
                <w:sz w:val="15"/>
              </w:rPr>
              <w:t>Single laptop ransomware isolated; no sensitive data</w:t>
            </w:r>
          </w:p>
        </w:tc>
        <w:tc>
          <w:tcPr>
            <w:tcW w:type="dxa" w:w="5155"/>
            <w:vAlign w:val="center"/>
          </w:tcPr>
          <w:p>
            <w:r/>
            <w:r>
              <w:rPr>
                <w:b w:val="0"/>
                <w:sz w:val="15"/>
              </w:rPr>
              <w:t>SEV-3 initially; raise if spread/exfiltration evidence.</w:t>
            </w:r>
          </w:p>
        </w:tc>
      </w:tr>
      <w:tr>
        <w:tc>
          <w:tcPr>
            <w:tcW w:type="dxa" w:w="5155"/>
            <w:vAlign w:val="center"/>
          </w:tcPr>
          <w:p>
            <w:r/>
            <w:r>
              <w:rPr>
                <w:b w:val="0"/>
                <w:sz w:val="15"/>
              </w:rPr>
              <w:t>Vendor exposes small set of customer statements</w:t>
            </w:r>
          </w:p>
        </w:tc>
        <w:tc>
          <w:tcPr>
            <w:tcW w:type="dxa" w:w="5155"/>
            <w:vAlign w:val="center"/>
          </w:tcPr>
          <w:p>
            <w:r/>
            <w:r>
              <w:rPr>
                <w:b w:val="0"/>
                <w:sz w:val="15"/>
              </w:rPr>
              <w:t>SEV-2 until scope/customer impact confirmed.</w:t>
            </w:r>
          </w:p>
        </w:tc>
      </w:tr>
      <w:tr>
        <w:tc>
          <w:tcPr>
            <w:tcW w:type="dxa" w:w="5155"/>
            <w:vAlign w:val="center"/>
          </w:tcPr>
          <w:p>
            <w:r/>
            <w:r>
              <w:rPr>
                <w:b w:val="0"/>
                <w:sz w:val="15"/>
              </w:rPr>
              <w:t>Test environment contains production API key exposed publicly</w:t>
            </w:r>
          </w:p>
        </w:tc>
        <w:tc>
          <w:tcPr>
            <w:tcW w:type="dxa" w:w="5155"/>
            <w:vAlign w:val="center"/>
          </w:tcPr>
          <w:p>
            <w:r/>
            <w:r>
              <w:rPr>
                <w:b w:val="0"/>
                <w:sz w:val="15"/>
              </w:rPr>
              <w:t>At least SEV-2 due credential risk; potentially SEV-1 if key grants critical access.</w:t>
            </w:r>
          </w:p>
        </w:tc>
      </w:tr>
      <w:tr>
        <w:tc>
          <w:tcPr>
            <w:tcW w:type="dxa" w:w="5155"/>
            <w:vAlign w:val="center"/>
          </w:tcPr>
          <w:p>
            <w:r/>
            <w:r>
              <w:rPr>
                <w:b w:val="0"/>
                <w:sz w:val="15"/>
              </w:rPr>
              <w:t>Privileged account used outside approved change window</w:t>
            </w:r>
          </w:p>
        </w:tc>
        <w:tc>
          <w:tcPr>
            <w:tcW w:type="dxa" w:w="5155"/>
            <w:vAlign w:val="center"/>
          </w:tcPr>
          <w:p>
            <w:r/>
            <w:r>
              <w:rPr>
                <w:b w:val="0"/>
                <w:sz w:val="15"/>
              </w:rPr>
              <w:t>Investigate as SEV-2/SEV-3 depending actions; parallel access/compliance breach assessment.</w:t>
            </w:r>
          </w:p>
        </w:tc>
      </w:tr>
    </w:tbl>
    <w:p/>
    <w:p>
      <w:r>
        <w:br w:type="page"/>
      </w:r>
    </w:p>
    <w:p>
      <w:pPr>
        <w:pStyle w:val="Heading1"/>
      </w:pPr>
      <w:r>
        <w:t>Appendix F — Incident Role Cards</w:t>
      </w:r>
    </w:p>
    <w:p>
      <w:r>
        <w:t>Major incidents require explicit responsibilities to reduce confusion.</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Role</w:t>
            </w:r>
          </w:p>
        </w:tc>
        <w:tc>
          <w:tcPr>
            <w:tcW w:type="dxa" w:w="5155"/>
            <w:vAlign w:val="center"/>
            <w:shd w:fill="17365D"/>
          </w:tcPr>
          <w:p>
            <w:r/>
            <w:r>
              <w:rPr>
                <w:b/>
                <w:color w:val="FFFFFF"/>
                <w:sz w:val="15"/>
              </w:rPr>
              <w:t>Primary Duties</w:t>
            </w:r>
          </w:p>
        </w:tc>
      </w:tr>
      <w:tr>
        <w:tc>
          <w:tcPr>
            <w:tcW w:type="dxa" w:w="5155"/>
            <w:vAlign w:val="center"/>
          </w:tcPr>
          <w:p>
            <w:r/>
            <w:r>
              <w:rPr>
                <w:b w:val="0"/>
                <w:sz w:val="14"/>
              </w:rPr>
              <w:t>Incident Commander</w:t>
            </w:r>
          </w:p>
        </w:tc>
        <w:tc>
          <w:tcPr>
            <w:tcW w:type="dxa" w:w="5155"/>
            <w:vAlign w:val="center"/>
          </w:tcPr>
          <w:p>
            <w:r/>
            <w:r>
              <w:rPr>
                <w:b w:val="0"/>
                <w:sz w:val="14"/>
              </w:rPr>
              <w:t>Overall coordination, severity, decisions, cadence</w:t>
            </w:r>
          </w:p>
        </w:tc>
      </w:tr>
      <w:tr>
        <w:tc>
          <w:tcPr>
            <w:tcW w:type="dxa" w:w="5155"/>
            <w:vAlign w:val="center"/>
          </w:tcPr>
          <w:p>
            <w:r/>
            <w:r>
              <w:rPr>
                <w:b w:val="0"/>
                <w:sz w:val="14"/>
              </w:rPr>
              <w:t>Security Investigation Lead</w:t>
            </w:r>
          </w:p>
        </w:tc>
        <w:tc>
          <w:tcPr>
            <w:tcW w:type="dxa" w:w="5155"/>
            <w:vAlign w:val="center"/>
          </w:tcPr>
          <w:p>
            <w:r/>
            <w:r>
              <w:rPr>
                <w:b w:val="0"/>
                <w:sz w:val="14"/>
              </w:rPr>
              <w:t>Technical investigation, evidence, indicators</w:t>
            </w:r>
          </w:p>
        </w:tc>
      </w:tr>
      <w:tr>
        <w:tc>
          <w:tcPr>
            <w:tcW w:type="dxa" w:w="5155"/>
            <w:vAlign w:val="center"/>
          </w:tcPr>
          <w:p>
            <w:r/>
            <w:r>
              <w:rPr>
                <w:b w:val="0"/>
                <w:sz w:val="14"/>
              </w:rPr>
              <w:t>Technology Lead</w:t>
            </w:r>
          </w:p>
        </w:tc>
        <w:tc>
          <w:tcPr>
            <w:tcW w:type="dxa" w:w="5155"/>
            <w:vAlign w:val="center"/>
          </w:tcPr>
          <w:p>
            <w:r/>
            <w:r>
              <w:rPr>
                <w:b w:val="0"/>
                <w:sz w:val="14"/>
              </w:rPr>
              <w:t>Containment, infrastructure changes, recovery</w:t>
            </w:r>
          </w:p>
        </w:tc>
      </w:tr>
      <w:tr>
        <w:tc>
          <w:tcPr>
            <w:tcW w:type="dxa" w:w="5155"/>
            <w:vAlign w:val="center"/>
          </w:tcPr>
          <w:p>
            <w:r/>
            <w:r>
              <w:rPr>
                <w:b w:val="0"/>
                <w:sz w:val="14"/>
              </w:rPr>
              <w:t>Business Lead</w:t>
            </w:r>
          </w:p>
        </w:tc>
        <w:tc>
          <w:tcPr>
            <w:tcW w:type="dxa" w:w="5155"/>
            <w:vAlign w:val="center"/>
          </w:tcPr>
          <w:p>
            <w:r/>
            <w:r>
              <w:rPr>
                <w:b w:val="0"/>
                <w:sz w:val="14"/>
              </w:rPr>
              <w:t>Customer/service impact and business decisions</w:t>
            </w:r>
          </w:p>
        </w:tc>
      </w:tr>
      <w:tr>
        <w:tc>
          <w:tcPr>
            <w:tcW w:type="dxa" w:w="5155"/>
            <w:vAlign w:val="center"/>
          </w:tcPr>
          <w:p>
            <w:r/>
            <w:r>
              <w:rPr>
                <w:b w:val="0"/>
                <w:sz w:val="14"/>
              </w:rPr>
              <w:t>Communications Lead</w:t>
            </w:r>
          </w:p>
        </w:tc>
        <w:tc>
          <w:tcPr>
            <w:tcW w:type="dxa" w:w="5155"/>
            <w:vAlign w:val="center"/>
          </w:tcPr>
          <w:p>
            <w:r/>
            <w:r>
              <w:rPr>
                <w:b w:val="0"/>
                <w:sz w:val="14"/>
              </w:rPr>
              <w:t>Approved internal/external messaging</w:t>
            </w:r>
          </w:p>
        </w:tc>
      </w:tr>
      <w:tr>
        <w:tc>
          <w:tcPr>
            <w:tcW w:type="dxa" w:w="5155"/>
            <w:vAlign w:val="center"/>
          </w:tcPr>
          <w:p>
            <w:r/>
            <w:r>
              <w:rPr>
                <w:b w:val="0"/>
                <w:sz w:val="14"/>
              </w:rPr>
              <w:t>Compliance/Legal</w:t>
            </w:r>
          </w:p>
        </w:tc>
        <w:tc>
          <w:tcPr>
            <w:tcW w:type="dxa" w:w="5155"/>
            <w:vAlign w:val="center"/>
          </w:tcPr>
          <w:p>
            <w:r/>
            <w:r>
              <w:rPr>
                <w:b w:val="0"/>
                <w:sz w:val="14"/>
              </w:rPr>
              <w:t>Breach/obligation assessment and advice</w:t>
            </w:r>
          </w:p>
        </w:tc>
      </w:tr>
      <w:tr>
        <w:tc>
          <w:tcPr>
            <w:tcW w:type="dxa" w:w="5155"/>
            <w:vAlign w:val="center"/>
          </w:tcPr>
          <w:p>
            <w:r/>
            <w:r>
              <w:rPr>
                <w:b w:val="0"/>
                <w:sz w:val="14"/>
              </w:rPr>
              <w:t>Vendor Lead</w:t>
            </w:r>
          </w:p>
        </w:tc>
        <w:tc>
          <w:tcPr>
            <w:tcW w:type="dxa" w:w="5155"/>
            <w:vAlign w:val="center"/>
          </w:tcPr>
          <w:p>
            <w:r/>
            <w:r>
              <w:rPr>
                <w:b w:val="0"/>
                <w:sz w:val="14"/>
              </w:rPr>
              <w:t>Third-party coordination and evidence</w:t>
            </w:r>
          </w:p>
        </w:tc>
      </w:tr>
      <w:tr>
        <w:tc>
          <w:tcPr>
            <w:tcW w:type="dxa" w:w="5155"/>
            <w:vAlign w:val="center"/>
          </w:tcPr>
          <w:p>
            <w:r/>
            <w:r>
              <w:rPr>
                <w:b w:val="0"/>
                <w:sz w:val="14"/>
              </w:rPr>
              <w:t>Scribe</w:t>
            </w:r>
          </w:p>
        </w:tc>
        <w:tc>
          <w:tcPr>
            <w:tcW w:type="dxa" w:w="5155"/>
            <w:vAlign w:val="center"/>
          </w:tcPr>
          <w:p>
            <w:r/>
            <w:r>
              <w:rPr>
                <w:b w:val="0"/>
                <w:sz w:val="14"/>
              </w:rPr>
              <w:t>Timeline, decisions, actions and owners</w:t>
            </w:r>
          </w:p>
        </w:tc>
      </w:tr>
    </w:tbl>
    <w:p/>
    <w:p>
      <w:r>
        <w:br w:type="page"/>
      </w:r>
    </w:p>
    <w:p>
      <w:pPr>
        <w:pStyle w:val="Heading1"/>
      </w:pPr>
      <w:r>
        <w:t>Appendix G — Incident Timeline Standard</w:t>
      </w:r>
    </w:p>
    <w:p>
      <w:r>
        <w:t>The incident timeline should separate observation from decision and action.</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Timestamp Type</w:t>
            </w:r>
          </w:p>
        </w:tc>
        <w:tc>
          <w:tcPr>
            <w:tcW w:type="dxa" w:w="5155"/>
            <w:vAlign w:val="center"/>
            <w:shd w:fill="17365D"/>
          </w:tcPr>
          <w:p>
            <w:r/>
            <w:r>
              <w:rPr>
                <w:b/>
                <w:color w:val="FFFFFF"/>
                <w:sz w:val="15"/>
              </w:rPr>
              <w:t>Example</w:t>
            </w:r>
          </w:p>
        </w:tc>
      </w:tr>
      <w:tr>
        <w:tc>
          <w:tcPr>
            <w:tcW w:type="dxa" w:w="5155"/>
            <w:vAlign w:val="center"/>
          </w:tcPr>
          <w:p>
            <w:r/>
            <w:r>
              <w:rPr>
                <w:b w:val="0"/>
                <w:sz w:val="14"/>
              </w:rPr>
              <w:t>Detection</w:t>
            </w:r>
          </w:p>
        </w:tc>
        <w:tc>
          <w:tcPr>
            <w:tcW w:type="dxa" w:w="5155"/>
            <w:vAlign w:val="center"/>
          </w:tcPr>
          <w:p>
            <w:r/>
            <w:r>
              <w:rPr>
                <w:b w:val="0"/>
                <w:sz w:val="14"/>
              </w:rPr>
              <w:t>SOC alert generated 14:03 IST</w:t>
            </w:r>
          </w:p>
        </w:tc>
      </w:tr>
      <w:tr>
        <w:tc>
          <w:tcPr>
            <w:tcW w:type="dxa" w:w="5155"/>
            <w:vAlign w:val="center"/>
          </w:tcPr>
          <w:p>
            <w:r/>
            <w:r>
              <w:rPr>
                <w:b w:val="0"/>
                <w:sz w:val="14"/>
              </w:rPr>
              <w:t>Awareness</w:t>
            </w:r>
          </w:p>
        </w:tc>
        <w:tc>
          <w:tcPr>
            <w:tcW w:type="dxa" w:w="5155"/>
            <w:vAlign w:val="center"/>
          </w:tcPr>
          <w:p>
            <w:r/>
            <w:r>
              <w:rPr>
                <w:b w:val="0"/>
                <w:sz w:val="14"/>
              </w:rPr>
              <w:t>Analyst validated suspicious login 14:09</w:t>
            </w:r>
          </w:p>
        </w:tc>
      </w:tr>
      <w:tr>
        <w:tc>
          <w:tcPr>
            <w:tcW w:type="dxa" w:w="5155"/>
            <w:vAlign w:val="center"/>
          </w:tcPr>
          <w:p>
            <w:r/>
            <w:r>
              <w:rPr>
                <w:b w:val="0"/>
                <w:sz w:val="14"/>
              </w:rPr>
              <w:t>Notification</w:t>
            </w:r>
          </w:p>
        </w:tc>
        <w:tc>
          <w:tcPr>
            <w:tcW w:type="dxa" w:w="5155"/>
            <w:vAlign w:val="center"/>
          </w:tcPr>
          <w:p>
            <w:r/>
            <w:r>
              <w:rPr>
                <w:b w:val="0"/>
                <w:sz w:val="14"/>
              </w:rPr>
              <w:t>CISO informed 14:16</w:t>
            </w:r>
          </w:p>
        </w:tc>
      </w:tr>
      <w:tr>
        <w:tc>
          <w:tcPr>
            <w:tcW w:type="dxa" w:w="5155"/>
            <w:vAlign w:val="center"/>
          </w:tcPr>
          <w:p>
            <w:r/>
            <w:r>
              <w:rPr>
                <w:b w:val="0"/>
                <w:sz w:val="14"/>
              </w:rPr>
              <w:t>Decision</w:t>
            </w:r>
          </w:p>
        </w:tc>
        <w:tc>
          <w:tcPr>
            <w:tcW w:type="dxa" w:w="5155"/>
            <w:vAlign w:val="center"/>
          </w:tcPr>
          <w:p>
            <w:r/>
            <w:r>
              <w:rPr>
                <w:b w:val="0"/>
                <w:sz w:val="14"/>
              </w:rPr>
              <w:t>Disable privileged identity approved 14:20</w:t>
            </w:r>
          </w:p>
        </w:tc>
      </w:tr>
      <w:tr>
        <w:tc>
          <w:tcPr>
            <w:tcW w:type="dxa" w:w="5155"/>
            <w:vAlign w:val="center"/>
          </w:tcPr>
          <w:p>
            <w:r/>
            <w:r>
              <w:rPr>
                <w:b w:val="0"/>
                <w:sz w:val="14"/>
              </w:rPr>
              <w:t>Action</w:t>
            </w:r>
          </w:p>
        </w:tc>
        <w:tc>
          <w:tcPr>
            <w:tcW w:type="dxa" w:w="5155"/>
            <w:vAlign w:val="center"/>
          </w:tcPr>
          <w:p>
            <w:r/>
            <w:r>
              <w:rPr>
                <w:b w:val="0"/>
                <w:sz w:val="14"/>
              </w:rPr>
              <w:t>Identity disabled 14:22</w:t>
            </w:r>
          </w:p>
        </w:tc>
      </w:tr>
      <w:tr>
        <w:tc>
          <w:tcPr>
            <w:tcW w:type="dxa" w:w="5155"/>
            <w:vAlign w:val="center"/>
          </w:tcPr>
          <w:p>
            <w:r/>
            <w:r>
              <w:rPr>
                <w:b w:val="0"/>
                <w:sz w:val="14"/>
              </w:rPr>
              <w:t>Evidence</w:t>
            </w:r>
          </w:p>
        </w:tc>
        <w:tc>
          <w:tcPr>
            <w:tcW w:type="dxa" w:w="5155"/>
            <w:vAlign w:val="center"/>
          </w:tcPr>
          <w:p>
            <w:r/>
            <w:r>
              <w:rPr>
                <w:b w:val="0"/>
                <w:sz w:val="14"/>
              </w:rPr>
              <w:t>Cloud audit export preserved 14:28</w:t>
            </w:r>
          </w:p>
        </w:tc>
      </w:tr>
      <w:tr>
        <w:tc>
          <w:tcPr>
            <w:tcW w:type="dxa" w:w="5155"/>
            <w:vAlign w:val="center"/>
          </w:tcPr>
          <w:p>
            <w:r/>
            <w:r>
              <w:rPr>
                <w:b w:val="0"/>
                <w:sz w:val="14"/>
              </w:rPr>
              <w:t>Containment</w:t>
            </w:r>
          </w:p>
        </w:tc>
        <w:tc>
          <w:tcPr>
            <w:tcW w:type="dxa" w:w="5155"/>
            <w:vAlign w:val="center"/>
          </w:tcPr>
          <w:p>
            <w:r/>
            <w:r>
              <w:rPr>
                <w:b w:val="0"/>
                <w:sz w:val="14"/>
              </w:rPr>
              <w:t>External session revoked 14:35</w:t>
            </w:r>
          </w:p>
        </w:tc>
      </w:tr>
      <w:tr>
        <w:tc>
          <w:tcPr>
            <w:tcW w:type="dxa" w:w="5155"/>
            <w:vAlign w:val="center"/>
          </w:tcPr>
          <w:p>
            <w:r/>
            <w:r>
              <w:rPr>
                <w:b w:val="0"/>
                <w:sz w:val="14"/>
              </w:rPr>
              <w:t>Recovery</w:t>
            </w:r>
          </w:p>
        </w:tc>
        <w:tc>
          <w:tcPr>
            <w:tcW w:type="dxa" w:w="5155"/>
            <w:vAlign w:val="center"/>
          </w:tcPr>
          <w:p>
            <w:r/>
            <w:r>
              <w:rPr>
                <w:b w:val="0"/>
                <w:sz w:val="14"/>
              </w:rPr>
              <w:t>Service restored 18:40</w:t>
            </w:r>
          </w:p>
        </w:tc>
      </w:tr>
    </w:tbl>
    <w:p/>
    <w:p>
      <w:r>
        <w:br w:type="page"/>
      </w:r>
    </w:p>
    <w:p>
      <w:pPr>
        <w:pStyle w:val="Heading1"/>
      </w:pPr>
      <w:r>
        <w:t>Appendix H — Phishing / Mailbox Compromise Playbook Summary</w:t>
      </w:r>
    </w:p>
    <w:p>
      <w:r>
        <w:t>This summary defines management steps; technical tooling may vary.</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Stage</w:t>
            </w:r>
          </w:p>
        </w:tc>
        <w:tc>
          <w:tcPr>
            <w:tcW w:type="dxa" w:w="5155"/>
            <w:vAlign w:val="center"/>
            <w:shd w:fill="17365D"/>
          </w:tcPr>
          <w:p>
            <w:r/>
            <w:r>
              <w:rPr>
                <w:b/>
                <w:color w:val="FFFFFF"/>
                <w:sz w:val="15"/>
              </w:rPr>
              <w:t>Action</w:t>
            </w:r>
          </w:p>
        </w:tc>
      </w:tr>
      <w:tr>
        <w:tc>
          <w:tcPr>
            <w:tcW w:type="dxa" w:w="5155"/>
            <w:vAlign w:val="center"/>
          </w:tcPr>
          <w:p>
            <w:r/>
            <w:r>
              <w:rPr>
                <w:b w:val="0"/>
                <w:sz w:val="14"/>
              </w:rPr>
              <w:t>Report</w:t>
            </w:r>
          </w:p>
        </w:tc>
        <w:tc>
          <w:tcPr>
            <w:tcW w:type="dxa" w:w="5155"/>
            <w:vAlign w:val="center"/>
          </w:tcPr>
          <w:p>
            <w:r/>
            <w:r>
              <w:rPr>
                <w:b w:val="0"/>
                <w:sz w:val="14"/>
              </w:rPr>
              <w:t>Capture sender, subject, message, user actions</w:t>
            </w:r>
          </w:p>
        </w:tc>
      </w:tr>
      <w:tr>
        <w:tc>
          <w:tcPr>
            <w:tcW w:type="dxa" w:w="5155"/>
            <w:vAlign w:val="center"/>
          </w:tcPr>
          <w:p>
            <w:r/>
            <w:r>
              <w:rPr>
                <w:b w:val="0"/>
                <w:sz w:val="14"/>
              </w:rPr>
              <w:t>Triage</w:t>
            </w:r>
          </w:p>
        </w:tc>
        <w:tc>
          <w:tcPr>
            <w:tcW w:type="dxa" w:w="5155"/>
            <w:vAlign w:val="center"/>
          </w:tcPr>
          <w:p>
            <w:r/>
            <w:r>
              <w:rPr>
                <w:b w:val="0"/>
                <w:sz w:val="14"/>
              </w:rPr>
              <w:t>Determine click/credential entry/MFA approval</w:t>
            </w:r>
          </w:p>
        </w:tc>
      </w:tr>
      <w:tr>
        <w:tc>
          <w:tcPr>
            <w:tcW w:type="dxa" w:w="5155"/>
            <w:vAlign w:val="center"/>
          </w:tcPr>
          <w:p>
            <w:r/>
            <w:r>
              <w:rPr>
                <w:b w:val="0"/>
                <w:sz w:val="14"/>
              </w:rPr>
              <w:t>Contain</w:t>
            </w:r>
          </w:p>
        </w:tc>
        <w:tc>
          <w:tcPr>
            <w:tcW w:type="dxa" w:w="5155"/>
            <w:vAlign w:val="center"/>
          </w:tcPr>
          <w:p>
            <w:r/>
            <w:r>
              <w:rPr>
                <w:b w:val="0"/>
                <w:sz w:val="14"/>
              </w:rPr>
              <w:t>Reset/revoke sessions; block indicators</w:t>
            </w:r>
          </w:p>
        </w:tc>
      </w:tr>
      <w:tr>
        <w:tc>
          <w:tcPr>
            <w:tcW w:type="dxa" w:w="5155"/>
            <w:vAlign w:val="center"/>
          </w:tcPr>
          <w:p>
            <w:r/>
            <w:r>
              <w:rPr>
                <w:b w:val="0"/>
                <w:sz w:val="14"/>
              </w:rPr>
              <w:t>Investigate</w:t>
            </w:r>
          </w:p>
        </w:tc>
        <w:tc>
          <w:tcPr>
            <w:tcW w:type="dxa" w:w="5155"/>
            <w:vAlign w:val="center"/>
          </w:tcPr>
          <w:p>
            <w:r/>
            <w:r>
              <w:rPr>
                <w:b w:val="0"/>
                <w:sz w:val="14"/>
              </w:rPr>
              <w:t>Mailbox rules, sent mail, OAuth grants, sign-ins</w:t>
            </w:r>
          </w:p>
        </w:tc>
      </w:tr>
      <w:tr>
        <w:tc>
          <w:tcPr>
            <w:tcW w:type="dxa" w:w="5155"/>
            <w:vAlign w:val="center"/>
          </w:tcPr>
          <w:p>
            <w:r/>
            <w:r>
              <w:rPr>
                <w:b w:val="0"/>
                <w:sz w:val="14"/>
              </w:rPr>
              <w:t>Scope</w:t>
            </w:r>
          </w:p>
        </w:tc>
        <w:tc>
          <w:tcPr>
            <w:tcW w:type="dxa" w:w="5155"/>
            <w:vAlign w:val="center"/>
          </w:tcPr>
          <w:p>
            <w:r/>
            <w:r>
              <w:rPr>
                <w:b w:val="0"/>
                <w:sz w:val="14"/>
              </w:rPr>
              <w:t>Search campaign recipients and related indicators</w:t>
            </w:r>
          </w:p>
        </w:tc>
      </w:tr>
      <w:tr>
        <w:tc>
          <w:tcPr>
            <w:tcW w:type="dxa" w:w="5155"/>
            <w:vAlign w:val="center"/>
          </w:tcPr>
          <w:p>
            <w:r/>
            <w:r>
              <w:rPr>
                <w:b w:val="0"/>
                <w:sz w:val="14"/>
              </w:rPr>
              <w:t>Data</w:t>
            </w:r>
          </w:p>
        </w:tc>
        <w:tc>
          <w:tcPr>
            <w:tcW w:type="dxa" w:w="5155"/>
            <w:vAlign w:val="center"/>
          </w:tcPr>
          <w:p>
            <w:r/>
            <w:r>
              <w:rPr>
                <w:b w:val="0"/>
                <w:sz w:val="14"/>
              </w:rPr>
              <w:t>Assess mailbox/customer information accessed</w:t>
            </w:r>
          </w:p>
        </w:tc>
      </w:tr>
      <w:tr>
        <w:tc>
          <w:tcPr>
            <w:tcW w:type="dxa" w:w="5155"/>
            <w:vAlign w:val="center"/>
          </w:tcPr>
          <w:p>
            <w:r/>
            <w:r>
              <w:rPr>
                <w:b w:val="0"/>
                <w:sz w:val="14"/>
              </w:rPr>
              <w:t>Recover</w:t>
            </w:r>
          </w:p>
        </w:tc>
        <w:tc>
          <w:tcPr>
            <w:tcW w:type="dxa" w:w="5155"/>
            <w:vAlign w:val="center"/>
          </w:tcPr>
          <w:p>
            <w:r/>
            <w:r>
              <w:rPr>
                <w:b w:val="0"/>
                <w:sz w:val="14"/>
              </w:rPr>
              <w:t>Re-secure identity and validate user device</w:t>
            </w:r>
          </w:p>
        </w:tc>
      </w:tr>
      <w:tr>
        <w:tc>
          <w:tcPr>
            <w:tcW w:type="dxa" w:w="5155"/>
            <w:vAlign w:val="center"/>
          </w:tcPr>
          <w:p>
            <w:r/>
            <w:r>
              <w:rPr>
                <w:b w:val="0"/>
                <w:sz w:val="14"/>
              </w:rPr>
              <w:t>Learn</w:t>
            </w:r>
          </w:p>
        </w:tc>
        <w:tc>
          <w:tcPr>
            <w:tcW w:type="dxa" w:w="5155"/>
            <w:vAlign w:val="center"/>
          </w:tcPr>
          <w:p>
            <w:r/>
            <w:r>
              <w:rPr>
                <w:b w:val="0"/>
                <w:sz w:val="14"/>
              </w:rPr>
              <w:t>Update controls/training if pattern repeats</w:t>
            </w:r>
          </w:p>
        </w:tc>
      </w:tr>
    </w:tbl>
    <w:p/>
    <w:p>
      <w:r>
        <w:br w:type="page"/>
      </w:r>
    </w:p>
    <w:p>
      <w:pPr>
        <w:pStyle w:val="Heading1"/>
      </w:pPr>
      <w:r>
        <w:t>Appendix I — Ransomware Decision Checklist</w:t>
      </w:r>
    </w:p>
    <w:p>
      <w:r>
        <w:t>Ransomware response shall protect identity and recovery systems early.</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Question</w:t>
            </w:r>
          </w:p>
        </w:tc>
        <w:tc>
          <w:tcPr>
            <w:tcW w:type="dxa" w:w="5155"/>
            <w:vAlign w:val="center"/>
            <w:shd w:fill="17365D"/>
          </w:tcPr>
          <w:p>
            <w:r/>
            <w:r>
              <w:rPr>
                <w:b/>
                <w:color w:val="FFFFFF"/>
                <w:sz w:val="15"/>
              </w:rPr>
              <w:t>Why It Matters</w:t>
            </w:r>
          </w:p>
        </w:tc>
      </w:tr>
      <w:tr>
        <w:tc>
          <w:tcPr>
            <w:tcW w:type="dxa" w:w="5155"/>
            <w:vAlign w:val="center"/>
          </w:tcPr>
          <w:p>
            <w:r/>
            <w:r>
              <w:rPr>
                <w:b w:val="0"/>
                <w:sz w:val="14"/>
              </w:rPr>
              <w:t>Is identity infrastructure affected?</w:t>
            </w:r>
          </w:p>
        </w:tc>
        <w:tc>
          <w:tcPr>
            <w:tcW w:type="dxa" w:w="5155"/>
            <w:vAlign w:val="center"/>
          </w:tcPr>
          <w:p>
            <w:r/>
            <w:r>
              <w:rPr>
                <w:b w:val="0"/>
                <w:sz w:val="14"/>
              </w:rPr>
              <w:t>Attacker may re-enter restored systems</w:t>
            </w:r>
          </w:p>
        </w:tc>
      </w:tr>
      <w:tr>
        <w:tc>
          <w:tcPr>
            <w:tcW w:type="dxa" w:w="5155"/>
            <w:vAlign w:val="center"/>
          </w:tcPr>
          <w:p>
            <w:r/>
            <w:r>
              <w:rPr>
                <w:b w:val="0"/>
                <w:sz w:val="14"/>
              </w:rPr>
              <w:t>Are backups reachable from compromised credentials?</w:t>
            </w:r>
          </w:p>
        </w:tc>
        <w:tc>
          <w:tcPr>
            <w:tcW w:type="dxa" w:w="5155"/>
            <w:vAlign w:val="center"/>
          </w:tcPr>
          <w:p>
            <w:r/>
            <w:r>
              <w:rPr>
                <w:b w:val="0"/>
                <w:sz w:val="14"/>
              </w:rPr>
              <w:t>Backups may be destroyed/encrypted</w:t>
            </w:r>
          </w:p>
        </w:tc>
      </w:tr>
      <w:tr>
        <w:tc>
          <w:tcPr>
            <w:tcW w:type="dxa" w:w="5155"/>
            <w:vAlign w:val="center"/>
          </w:tcPr>
          <w:p>
            <w:r/>
            <w:r>
              <w:rPr>
                <w:b w:val="0"/>
                <w:sz w:val="14"/>
              </w:rPr>
              <w:t>Is data exfiltration suspected?</w:t>
            </w:r>
          </w:p>
        </w:tc>
        <w:tc>
          <w:tcPr>
            <w:tcW w:type="dxa" w:w="5155"/>
            <w:vAlign w:val="center"/>
          </w:tcPr>
          <w:p>
            <w:r/>
            <w:r>
              <w:rPr>
                <w:b w:val="0"/>
                <w:sz w:val="14"/>
              </w:rPr>
              <w:t>Confidentiality impact separate from outage</w:t>
            </w:r>
          </w:p>
        </w:tc>
      </w:tr>
      <w:tr>
        <w:tc>
          <w:tcPr>
            <w:tcW w:type="dxa" w:w="5155"/>
            <w:vAlign w:val="center"/>
          </w:tcPr>
          <w:p>
            <w:r/>
            <w:r>
              <w:rPr>
                <w:b w:val="0"/>
                <w:sz w:val="14"/>
              </w:rPr>
              <w:t>Which systems are business-critical?</w:t>
            </w:r>
          </w:p>
        </w:tc>
        <w:tc>
          <w:tcPr>
            <w:tcW w:type="dxa" w:w="5155"/>
            <w:vAlign w:val="center"/>
          </w:tcPr>
          <w:p>
            <w:r/>
            <w:r>
              <w:rPr>
                <w:b w:val="0"/>
                <w:sz w:val="14"/>
              </w:rPr>
              <w:t>Prioritize containment/recovery</w:t>
            </w:r>
          </w:p>
        </w:tc>
      </w:tr>
      <w:tr>
        <w:tc>
          <w:tcPr>
            <w:tcW w:type="dxa" w:w="5155"/>
            <w:vAlign w:val="center"/>
          </w:tcPr>
          <w:p>
            <w:r/>
            <w:r>
              <w:rPr>
                <w:b w:val="0"/>
                <w:sz w:val="14"/>
              </w:rPr>
              <w:t>Is lateral movement ongoing?</w:t>
            </w:r>
          </w:p>
        </w:tc>
        <w:tc>
          <w:tcPr>
            <w:tcW w:type="dxa" w:w="5155"/>
            <w:vAlign w:val="center"/>
          </w:tcPr>
          <w:p>
            <w:r/>
            <w:r>
              <w:rPr>
                <w:b w:val="0"/>
                <w:sz w:val="14"/>
              </w:rPr>
              <w:t>Network isolation may be needed</w:t>
            </w:r>
          </w:p>
        </w:tc>
      </w:tr>
      <w:tr>
        <w:tc>
          <w:tcPr>
            <w:tcW w:type="dxa" w:w="5155"/>
            <w:vAlign w:val="center"/>
          </w:tcPr>
          <w:p>
            <w:r/>
            <w:r>
              <w:rPr>
                <w:b w:val="0"/>
                <w:sz w:val="14"/>
              </w:rPr>
              <w:t>Are privileged secrets exposed?</w:t>
            </w:r>
          </w:p>
        </w:tc>
        <w:tc>
          <w:tcPr>
            <w:tcW w:type="dxa" w:w="5155"/>
            <w:vAlign w:val="center"/>
          </w:tcPr>
          <w:p>
            <w:r/>
            <w:r>
              <w:rPr>
                <w:b w:val="0"/>
                <w:sz w:val="14"/>
              </w:rPr>
              <w:t>Rotate before recovery</w:t>
            </w:r>
          </w:p>
        </w:tc>
      </w:tr>
      <w:tr>
        <w:tc>
          <w:tcPr>
            <w:tcW w:type="dxa" w:w="5155"/>
            <w:vAlign w:val="center"/>
          </w:tcPr>
          <w:p>
            <w:r/>
            <w:r>
              <w:rPr>
                <w:b w:val="0"/>
                <w:sz w:val="14"/>
              </w:rPr>
              <w:t>Can clean environment be established?</w:t>
            </w:r>
          </w:p>
        </w:tc>
        <w:tc>
          <w:tcPr>
            <w:tcW w:type="dxa" w:w="5155"/>
            <w:vAlign w:val="center"/>
          </w:tcPr>
          <w:p>
            <w:r/>
            <w:r>
              <w:rPr>
                <w:b w:val="0"/>
                <w:sz w:val="14"/>
              </w:rPr>
              <w:t>Avoid restoring into compromised trust zone</w:t>
            </w:r>
          </w:p>
        </w:tc>
      </w:tr>
      <w:tr>
        <w:tc>
          <w:tcPr>
            <w:tcW w:type="dxa" w:w="5155"/>
            <w:vAlign w:val="center"/>
          </w:tcPr>
          <w:p>
            <w:r/>
            <w:r>
              <w:rPr>
                <w:b w:val="0"/>
                <w:sz w:val="14"/>
              </w:rPr>
              <w:t>What manual continuity exists?</w:t>
            </w:r>
          </w:p>
        </w:tc>
        <w:tc>
          <w:tcPr>
            <w:tcW w:type="dxa" w:w="5155"/>
            <w:vAlign w:val="center"/>
          </w:tcPr>
          <w:p>
            <w:r/>
            <w:r>
              <w:rPr>
                <w:b w:val="0"/>
                <w:sz w:val="14"/>
              </w:rPr>
              <w:t>Support business while systems remain offline</w:t>
            </w:r>
          </w:p>
        </w:tc>
      </w:tr>
    </w:tbl>
    <w:p/>
    <w:p>
      <w:r>
        <w:br w:type="page"/>
      </w:r>
    </w:p>
    <w:p>
      <w:pPr>
        <w:pStyle w:val="Heading1"/>
      </w:pPr>
      <w:r>
        <w:t>Appendix J — Data Exposure Assessment Worksheet</w:t>
      </w:r>
    </w:p>
    <w:p>
      <w:r>
        <w:t>The investigation shall document uncertainty rather than assume the best or worst case.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Field</w:t>
            </w:r>
          </w:p>
        </w:tc>
        <w:tc>
          <w:tcPr>
            <w:tcW w:type="dxa" w:w="5155"/>
            <w:vAlign w:val="center"/>
            <w:shd w:fill="17365D"/>
          </w:tcPr>
          <w:p>
            <w:r/>
            <w:r>
              <w:rPr>
                <w:b/>
                <w:color w:val="FFFFFF"/>
                <w:sz w:val="15"/>
              </w:rPr>
              <w:t>Possible Values</w:t>
            </w:r>
          </w:p>
        </w:tc>
      </w:tr>
      <w:tr>
        <w:tc>
          <w:tcPr>
            <w:tcW w:type="dxa" w:w="5155"/>
            <w:vAlign w:val="center"/>
          </w:tcPr>
          <w:p>
            <w:r/>
            <w:r>
              <w:rPr>
                <w:b w:val="0"/>
                <w:sz w:val="14"/>
              </w:rPr>
              <w:t>Data class</w:t>
            </w:r>
          </w:p>
        </w:tc>
        <w:tc>
          <w:tcPr>
            <w:tcW w:type="dxa" w:w="5155"/>
            <w:vAlign w:val="center"/>
          </w:tcPr>
          <w:p>
            <w:r/>
            <w:r>
              <w:rPr>
                <w:b w:val="0"/>
                <w:sz w:val="14"/>
              </w:rPr>
              <w:t>Internal / Confidential / Restricted</w:t>
            </w:r>
          </w:p>
        </w:tc>
      </w:tr>
      <w:tr>
        <w:tc>
          <w:tcPr>
            <w:tcW w:type="dxa" w:w="5155"/>
            <w:vAlign w:val="center"/>
          </w:tcPr>
          <w:p>
            <w:r/>
            <w:r>
              <w:rPr>
                <w:b w:val="0"/>
                <w:sz w:val="14"/>
              </w:rPr>
              <w:t>Population</w:t>
            </w:r>
          </w:p>
        </w:tc>
        <w:tc>
          <w:tcPr>
            <w:tcW w:type="dxa" w:w="5155"/>
            <w:vAlign w:val="center"/>
          </w:tcPr>
          <w:p>
            <w:r/>
            <w:r>
              <w:rPr>
                <w:b w:val="0"/>
                <w:sz w:val="14"/>
              </w:rPr>
              <w:t>Known count / estimated range / unknown</w:t>
            </w:r>
          </w:p>
        </w:tc>
      </w:tr>
      <w:tr>
        <w:tc>
          <w:tcPr>
            <w:tcW w:type="dxa" w:w="5155"/>
            <w:vAlign w:val="center"/>
          </w:tcPr>
          <w:p>
            <w:r/>
            <w:r>
              <w:rPr>
                <w:b w:val="0"/>
                <w:sz w:val="14"/>
              </w:rPr>
              <w:t>Exposure path</w:t>
            </w:r>
          </w:p>
        </w:tc>
        <w:tc>
          <w:tcPr>
            <w:tcW w:type="dxa" w:w="5155"/>
            <w:vAlign w:val="center"/>
          </w:tcPr>
          <w:p>
            <w:r/>
            <w:r>
              <w:rPr>
                <w:b w:val="0"/>
                <w:sz w:val="14"/>
              </w:rPr>
              <w:t>Email / cloud / endpoint / API / vendor</w:t>
            </w:r>
          </w:p>
        </w:tc>
      </w:tr>
      <w:tr>
        <w:tc>
          <w:tcPr>
            <w:tcW w:type="dxa" w:w="5155"/>
            <w:vAlign w:val="center"/>
          </w:tcPr>
          <w:p>
            <w:r/>
            <w:r>
              <w:rPr>
                <w:b w:val="0"/>
                <w:sz w:val="14"/>
              </w:rPr>
              <w:t>Access evidence</w:t>
            </w:r>
          </w:p>
        </w:tc>
        <w:tc>
          <w:tcPr>
            <w:tcW w:type="dxa" w:w="5155"/>
            <w:vAlign w:val="center"/>
          </w:tcPr>
          <w:p>
            <w:r/>
            <w:r>
              <w:rPr>
                <w:b w:val="0"/>
                <w:sz w:val="14"/>
              </w:rPr>
              <w:t>Viewed / downloaded / public / no evidence</w:t>
            </w:r>
          </w:p>
        </w:tc>
      </w:tr>
      <w:tr>
        <w:tc>
          <w:tcPr>
            <w:tcW w:type="dxa" w:w="5155"/>
            <w:vAlign w:val="center"/>
          </w:tcPr>
          <w:p>
            <w:r/>
            <w:r>
              <w:rPr>
                <w:b w:val="0"/>
                <w:sz w:val="14"/>
              </w:rPr>
              <w:t>Duration</w:t>
            </w:r>
          </w:p>
        </w:tc>
        <w:tc>
          <w:tcPr>
            <w:tcW w:type="dxa" w:w="5155"/>
            <w:vAlign w:val="center"/>
          </w:tcPr>
          <w:p>
            <w:r/>
            <w:r>
              <w:rPr>
                <w:b w:val="0"/>
                <w:sz w:val="14"/>
              </w:rPr>
              <w:t>Minutes/hours/days/unknown</w:t>
            </w:r>
          </w:p>
        </w:tc>
      </w:tr>
      <w:tr>
        <w:tc>
          <w:tcPr>
            <w:tcW w:type="dxa" w:w="5155"/>
            <w:vAlign w:val="center"/>
          </w:tcPr>
          <w:p>
            <w:r/>
            <w:r>
              <w:rPr>
                <w:b w:val="0"/>
                <w:sz w:val="14"/>
              </w:rPr>
              <w:t>Actor</w:t>
            </w:r>
          </w:p>
        </w:tc>
        <w:tc>
          <w:tcPr>
            <w:tcW w:type="dxa" w:w="5155"/>
            <w:vAlign w:val="center"/>
          </w:tcPr>
          <w:p>
            <w:r/>
            <w:r>
              <w:rPr>
                <w:b w:val="0"/>
                <w:sz w:val="14"/>
              </w:rPr>
              <w:t>Known recipient / compromised account / public</w:t>
            </w:r>
          </w:p>
        </w:tc>
      </w:tr>
      <w:tr>
        <w:tc>
          <w:tcPr>
            <w:tcW w:type="dxa" w:w="5155"/>
            <w:vAlign w:val="center"/>
          </w:tcPr>
          <w:p>
            <w:r/>
            <w:r>
              <w:rPr>
                <w:b w:val="0"/>
                <w:sz w:val="14"/>
              </w:rPr>
              <w:t>Containment</w:t>
            </w:r>
          </w:p>
        </w:tc>
        <w:tc>
          <w:tcPr>
            <w:tcW w:type="dxa" w:w="5155"/>
            <w:vAlign w:val="center"/>
          </w:tcPr>
          <w:p>
            <w:r/>
            <w:r>
              <w:rPr>
                <w:b w:val="0"/>
                <w:sz w:val="14"/>
              </w:rPr>
              <w:t>Access removed / link revoked / credentials reset</w:t>
            </w:r>
          </w:p>
        </w:tc>
      </w:tr>
      <w:tr>
        <w:tc>
          <w:tcPr>
            <w:tcW w:type="dxa" w:w="5155"/>
            <w:vAlign w:val="center"/>
          </w:tcPr>
          <w:p>
            <w:r/>
            <w:r>
              <w:rPr>
                <w:b w:val="0"/>
                <w:sz w:val="14"/>
              </w:rPr>
              <w:t>Residual uncertainty</w:t>
            </w:r>
          </w:p>
        </w:tc>
        <w:tc>
          <w:tcPr>
            <w:tcW w:type="dxa" w:w="5155"/>
            <w:vAlign w:val="center"/>
          </w:tcPr>
          <w:p>
            <w:r/>
            <w:r>
              <w:rPr>
                <w:b w:val="0"/>
                <w:sz w:val="14"/>
              </w:rPr>
              <w:t>Logging gap / external copy unknown</w:t>
            </w:r>
          </w:p>
        </w:tc>
      </w:tr>
    </w:tbl>
    <w:p/>
    <w:p>
      <w:r>
        <w:br w:type="page"/>
      </w:r>
    </w:p>
    <w:p>
      <w:pPr>
        <w:pStyle w:val="Heading1"/>
      </w:pPr>
      <w:r>
        <w:t>Appendix K — Cloud Incident Evidence Checklist</w:t>
      </w:r>
    </w:p>
    <w:p>
      <w:r>
        <w:t>Cloud evidence may be short-lived or distributed across services.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Evidence</w:t>
            </w:r>
          </w:p>
        </w:tc>
        <w:tc>
          <w:tcPr>
            <w:tcW w:type="dxa" w:w="5155"/>
            <w:vAlign w:val="center"/>
            <w:shd w:fill="17365D"/>
          </w:tcPr>
          <w:p>
            <w:r/>
            <w:r>
              <w:rPr>
                <w:b/>
                <w:color w:val="FFFFFF"/>
                <w:sz w:val="15"/>
              </w:rPr>
              <w:t>Purpose</w:t>
            </w:r>
          </w:p>
        </w:tc>
      </w:tr>
      <w:tr>
        <w:tc>
          <w:tcPr>
            <w:tcW w:type="dxa" w:w="5155"/>
            <w:vAlign w:val="center"/>
          </w:tcPr>
          <w:p>
            <w:r/>
            <w:r>
              <w:rPr>
                <w:b w:val="0"/>
                <w:sz w:val="14"/>
              </w:rPr>
              <w:t>Control-plane audit</w:t>
            </w:r>
          </w:p>
        </w:tc>
        <w:tc>
          <w:tcPr>
            <w:tcW w:type="dxa" w:w="5155"/>
            <w:vAlign w:val="center"/>
          </w:tcPr>
          <w:p>
            <w:r/>
            <w:r>
              <w:rPr>
                <w:b w:val="0"/>
                <w:sz w:val="14"/>
              </w:rPr>
              <w:t>Who changed resources/policies/keys</w:t>
            </w:r>
          </w:p>
        </w:tc>
      </w:tr>
      <w:tr>
        <w:tc>
          <w:tcPr>
            <w:tcW w:type="dxa" w:w="5155"/>
            <w:vAlign w:val="center"/>
          </w:tcPr>
          <w:p>
            <w:r/>
            <w:r>
              <w:rPr>
                <w:b w:val="0"/>
                <w:sz w:val="14"/>
              </w:rPr>
              <w:t>Identity sign-ins</w:t>
            </w:r>
          </w:p>
        </w:tc>
        <w:tc>
          <w:tcPr>
            <w:tcW w:type="dxa" w:w="5155"/>
            <w:vAlign w:val="center"/>
          </w:tcPr>
          <w:p>
            <w:r/>
            <w:r>
              <w:rPr>
                <w:b w:val="0"/>
                <w:sz w:val="14"/>
              </w:rPr>
              <w:t>Compromised accounts/tokens</w:t>
            </w:r>
          </w:p>
        </w:tc>
      </w:tr>
      <w:tr>
        <w:tc>
          <w:tcPr>
            <w:tcW w:type="dxa" w:w="5155"/>
            <w:vAlign w:val="center"/>
          </w:tcPr>
          <w:p>
            <w:r/>
            <w:r>
              <w:rPr>
                <w:b w:val="0"/>
                <w:sz w:val="14"/>
              </w:rPr>
              <w:t>Storage access logs</w:t>
            </w:r>
          </w:p>
        </w:tc>
        <w:tc>
          <w:tcPr>
            <w:tcW w:type="dxa" w:w="5155"/>
            <w:vAlign w:val="center"/>
          </w:tcPr>
          <w:p>
            <w:r/>
            <w:r>
              <w:rPr>
                <w:b w:val="0"/>
                <w:sz w:val="14"/>
              </w:rPr>
              <w:t>Object/file access</w:t>
            </w:r>
          </w:p>
        </w:tc>
      </w:tr>
      <w:tr>
        <w:tc>
          <w:tcPr>
            <w:tcW w:type="dxa" w:w="5155"/>
            <w:vAlign w:val="center"/>
          </w:tcPr>
          <w:p>
            <w:r/>
            <w:r>
              <w:rPr>
                <w:b w:val="0"/>
                <w:sz w:val="14"/>
              </w:rPr>
              <w:t>Network flow/gateway logs</w:t>
            </w:r>
          </w:p>
        </w:tc>
        <w:tc>
          <w:tcPr>
            <w:tcW w:type="dxa" w:w="5155"/>
            <w:vAlign w:val="center"/>
          </w:tcPr>
          <w:p>
            <w:r/>
            <w:r>
              <w:rPr>
                <w:b w:val="0"/>
                <w:sz w:val="14"/>
              </w:rPr>
              <w:t>External communications</w:t>
            </w:r>
          </w:p>
        </w:tc>
      </w:tr>
      <w:tr>
        <w:tc>
          <w:tcPr>
            <w:tcW w:type="dxa" w:w="5155"/>
            <w:vAlign w:val="center"/>
          </w:tcPr>
          <w:p>
            <w:r/>
            <w:r>
              <w:rPr>
                <w:b w:val="0"/>
                <w:sz w:val="14"/>
              </w:rPr>
              <w:t>Security findings</w:t>
            </w:r>
          </w:p>
        </w:tc>
        <w:tc>
          <w:tcPr>
            <w:tcW w:type="dxa" w:w="5155"/>
            <w:vAlign w:val="center"/>
          </w:tcPr>
          <w:p>
            <w:r/>
            <w:r>
              <w:rPr>
                <w:b w:val="0"/>
                <w:sz w:val="14"/>
              </w:rPr>
              <w:t>Provider detections</w:t>
            </w:r>
          </w:p>
        </w:tc>
      </w:tr>
      <w:tr>
        <w:tc>
          <w:tcPr>
            <w:tcW w:type="dxa" w:w="5155"/>
            <w:vAlign w:val="center"/>
          </w:tcPr>
          <w:p>
            <w:r/>
            <w:r>
              <w:rPr>
                <w:b w:val="0"/>
                <w:sz w:val="14"/>
              </w:rPr>
              <w:t>Key-management logs</w:t>
            </w:r>
          </w:p>
        </w:tc>
        <w:tc>
          <w:tcPr>
            <w:tcW w:type="dxa" w:w="5155"/>
            <w:vAlign w:val="center"/>
          </w:tcPr>
          <w:p>
            <w:r/>
            <w:r>
              <w:rPr>
                <w:b w:val="0"/>
                <w:sz w:val="14"/>
              </w:rPr>
              <w:t>Secret/key use</w:t>
            </w:r>
          </w:p>
        </w:tc>
      </w:tr>
      <w:tr>
        <w:tc>
          <w:tcPr>
            <w:tcW w:type="dxa" w:w="5155"/>
            <w:vAlign w:val="center"/>
          </w:tcPr>
          <w:p>
            <w:r/>
            <w:r>
              <w:rPr>
                <w:b w:val="0"/>
                <w:sz w:val="14"/>
              </w:rPr>
              <w:t>Resource snapshots/config</w:t>
            </w:r>
          </w:p>
        </w:tc>
        <w:tc>
          <w:tcPr>
            <w:tcW w:type="dxa" w:w="5155"/>
            <w:vAlign w:val="center"/>
          </w:tcPr>
          <w:p>
            <w:r/>
            <w:r>
              <w:rPr>
                <w:b w:val="0"/>
                <w:sz w:val="14"/>
              </w:rPr>
              <w:t>Exposure and persistence</w:t>
            </w:r>
          </w:p>
        </w:tc>
      </w:tr>
      <w:tr>
        <w:tc>
          <w:tcPr>
            <w:tcW w:type="dxa" w:w="5155"/>
            <w:vAlign w:val="center"/>
          </w:tcPr>
          <w:p>
            <w:r/>
            <w:r>
              <w:rPr>
                <w:b w:val="0"/>
                <w:sz w:val="14"/>
              </w:rPr>
              <w:t>Billing/resource creation</w:t>
            </w:r>
          </w:p>
        </w:tc>
        <w:tc>
          <w:tcPr>
            <w:tcW w:type="dxa" w:w="5155"/>
            <w:vAlign w:val="center"/>
          </w:tcPr>
          <w:p>
            <w:r/>
            <w:r>
              <w:rPr>
                <w:b w:val="0"/>
                <w:sz w:val="14"/>
              </w:rPr>
              <w:t>Unauthorized compute or services</w:t>
            </w:r>
          </w:p>
        </w:tc>
      </w:tr>
    </w:tbl>
    <w:p/>
    <w:p>
      <w:r>
        <w:br w:type="page"/>
      </w:r>
    </w:p>
    <w:p>
      <w:pPr>
        <w:pStyle w:val="Heading1"/>
      </w:pPr>
      <w:r>
        <w:t>Appendix L — Incident Communications Cadence</w:t>
      </w:r>
    </w:p>
    <w:p>
      <w:r>
        <w:t>SEV-1/SEV-2 incidents should use predictable updates.</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Severity</w:t>
            </w:r>
          </w:p>
        </w:tc>
        <w:tc>
          <w:tcPr>
            <w:tcW w:type="dxa" w:w="2577"/>
            <w:vAlign w:val="center"/>
            <w:shd w:fill="17365D"/>
          </w:tcPr>
          <w:p>
            <w:r/>
            <w:r>
              <w:rPr>
                <w:b/>
                <w:color w:val="FFFFFF"/>
                <w:sz w:val="15"/>
              </w:rPr>
              <w:t>Initial Update</w:t>
            </w:r>
          </w:p>
        </w:tc>
        <w:tc>
          <w:tcPr>
            <w:tcW w:type="dxa" w:w="2577"/>
            <w:vAlign w:val="center"/>
            <w:shd w:fill="17365D"/>
          </w:tcPr>
          <w:p>
            <w:r/>
            <w:r>
              <w:rPr>
                <w:b/>
                <w:color w:val="FFFFFF"/>
                <w:sz w:val="15"/>
              </w:rPr>
              <w:t>Ongoing Cadence</w:t>
            </w:r>
          </w:p>
        </w:tc>
        <w:tc>
          <w:tcPr>
            <w:tcW w:type="dxa" w:w="2577"/>
            <w:vAlign w:val="center"/>
            <w:shd w:fill="17365D"/>
          </w:tcPr>
          <w:p>
            <w:r/>
            <w:r>
              <w:rPr>
                <w:b/>
                <w:color w:val="FFFFFF"/>
                <w:sz w:val="15"/>
              </w:rPr>
              <w:t>Closure/Transition</w:t>
            </w:r>
          </w:p>
        </w:tc>
      </w:tr>
      <w:tr>
        <w:tc>
          <w:tcPr>
            <w:tcW w:type="dxa" w:w="2577"/>
            <w:vAlign w:val="center"/>
          </w:tcPr>
          <w:p>
            <w:r/>
            <w:r>
              <w:rPr>
                <w:b w:val="0"/>
                <w:sz w:val="14"/>
              </w:rPr>
              <w:t>SEV-1</w:t>
            </w:r>
          </w:p>
        </w:tc>
        <w:tc>
          <w:tcPr>
            <w:tcW w:type="dxa" w:w="2577"/>
            <w:vAlign w:val="center"/>
          </w:tcPr>
          <w:p>
            <w:r/>
            <w:r>
              <w:rPr>
                <w:b w:val="0"/>
                <w:sz w:val="14"/>
              </w:rPr>
              <w:t>Within 30 min executive target</w:t>
            </w:r>
          </w:p>
        </w:tc>
        <w:tc>
          <w:tcPr>
            <w:tcW w:type="dxa" w:w="2577"/>
            <w:vAlign w:val="center"/>
          </w:tcPr>
          <w:p>
            <w:r/>
            <w:r>
              <w:rPr>
                <w:b w:val="0"/>
                <w:sz w:val="14"/>
              </w:rPr>
              <w:t>Every 30–60 min or as Incident Commander sets</w:t>
            </w:r>
          </w:p>
        </w:tc>
        <w:tc>
          <w:tcPr>
            <w:tcW w:type="dxa" w:w="2577"/>
            <w:vAlign w:val="center"/>
          </w:tcPr>
          <w:p>
            <w:r/>
            <w:r>
              <w:rPr>
                <w:b w:val="0"/>
                <w:sz w:val="14"/>
              </w:rPr>
              <w:t>Recovery milestone + lessons-learned plan</w:t>
            </w:r>
          </w:p>
        </w:tc>
      </w:tr>
      <w:tr>
        <w:tc>
          <w:tcPr>
            <w:tcW w:type="dxa" w:w="2577"/>
            <w:vAlign w:val="center"/>
          </w:tcPr>
          <w:p>
            <w:r/>
            <w:r>
              <w:rPr>
                <w:b w:val="0"/>
                <w:sz w:val="14"/>
              </w:rPr>
              <w:t>SEV-2</w:t>
            </w:r>
          </w:p>
        </w:tc>
        <w:tc>
          <w:tcPr>
            <w:tcW w:type="dxa" w:w="2577"/>
            <w:vAlign w:val="center"/>
          </w:tcPr>
          <w:p>
            <w:r/>
            <w:r>
              <w:rPr>
                <w:b w:val="0"/>
                <w:sz w:val="14"/>
              </w:rPr>
              <w:t>Within 2h executive as directed</w:t>
            </w:r>
          </w:p>
        </w:tc>
        <w:tc>
          <w:tcPr>
            <w:tcW w:type="dxa" w:w="2577"/>
            <w:vAlign w:val="center"/>
          </w:tcPr>
          <w:p>
            <w:r/>
            <w:r>
              <w:rPr>
                <w:b w:val="0"/>
                <w:sz w:val="14"/>
              </w:rPr>
              <w:t>Every 2–4h while active</w:t>
            </w:r>
          </w:p>
        </w:tc>
        <w:tc>
          <w:tcPr>
            <w:tcW w:type="dxa" w:w="2577"/>
            <w:vAlign w:val="center"/>
          </w:tcPr>
          <w:p>
            <w:r/>
            <w:r>
              <w:rPr>
                <w:b w:val="0"/>
                <w:sz w:val="14"/>
              </w:rPr>
              <w:t>Business/security closure summary</w:t>
            </w:r>
          </w:p>
        </w:tc>
      </w:tr>
      <w:tr>
        <w:tc>
          <w:tcPr>
            <w:tcW w:type="dxa" w:w="2577"/>
            <w:vAlign w:val="center"/>
          </w:tcPr>
          <w:p>
            <w:r/>
            <w:r>
              <w:rPr>
                <w:b w:val="0"/>
                <w:sz w:val="14"/>
              </w:rPr>
              <w:t>SEV-3</w:t>
            </w:r>
          </w:p>
        </w:tc>
        <w:tc>
          <w:tcPr>
            <w:tcW w:type="dxa" w:w="2577"/>
            <w:vAlign w:val="center"/>
          </w:tcPr>
          <w:p>
            <w:r/>
            <w:r>
              <w:rPr>
                <w:b w:val="0"/>
                <w:sz w:val="14"/>
              </w:rPr>
              <w:t>Same-day owner update</w:t>
            </w:r>
          </w:p>
        </w:tc>
        <w:tc>
          <w:tcPr>
            <w:tcW w:type="dxa" w:w="2577"/>
            <w:vAlign w:val="center"/>
          </w:tcPr>
          <w:p>
            <w:r/>
            <w:r>
              <w:rPr>
                <w:b w:val="0"/>
                <w:sz w:val="14"/>
              </w:rPr>
              <w:t>Daily if unresolved</w:t>
            </w:r>
          </w:p>
        </w:tc>
        <w:tc>
          <w:tcPr>
            <w:tcW w:type="dxa" w:w="2577"/>
            <w:vAlign w:val="center"/>
          </w:tcPr>
          <w:p>
            <w:r/>
            <w:r>
              <w:rPr>
                <w:b w:val="0"/>
                <w:sz w:val="14"/>
              </w:rPr>
              <w:t>Case close note</w:t>
            </w:r>
          </w:p>
        </w:tc>
      </w:tr>
      <w:tr>
        <w:tc>
          <w:tcPr>
            <w:tcW w:type="dxa" w:w="2577"/>
            <w:vAlign w:val="center"/>
          </w:tcPr>
          <w:p>
            <w:r/>
            <w:r>
              <w:rPr>
                <w:b w:val="0"/>
                <w:sz w:val="14"/>
              </w:rPr>
              <w:t>SEV-4</w:t>
            </w:r>
          </w:p>
        </w:tc>
        <w:tc>
          <w:tcPr>
            <w:tcW w:type="dxa" w:w="2577"/>
            <w:vAlign w:val="center"/>
          </w:tcPr>
          <w:p>
            <w:r/>
            <w:r>
              <w:rPr>
                <w:b w:val="0"/>
                <w:sz w:val="14"/>
              </w:rPr>
              <w:t>Queue record</w:t>
            </w:r>
          </w:p>
        </w:tc>
        <w:tc>
          <w:tcPr>
            <w:tcW w:type="dxa" w:w="2577"/>
            <w:vAlign w:val="center"/>
          </w:tcPr>
          <w:p>
            <w:r/>
            <w:r>
              <w:rPr>
                <w:b w:val="0"/>
                <w:sz w:val="14"/>
              </w:rPr>
              <w:t>As needed</w:t>
            </w:r>
          </w:p>
        </w:tc>
        <w:tc>
          <w:tcPr>
            <w:tcW w:type="dxa" w:w="2577"/>
            <w:vAlign w:val="center"/>
          </w:tcPr>
          <w:p>
            <w:r/>
            <w:r>
              <w:rPr>
                <w:b w:val="0"/>
                <w:sz w:val="14"/>
              </w:rPr>
              <w:t>Routine closure</w:t>
            </w:r>
          </w:p>
        </w:tc>
      </w:tr>
    </w:tbl>
    <w:p/>
    <w:p>
      <w:r>
        <w:br w:type="page"/>
      </w:r>
    </w:p>
    <w:p>
      <w:pPr>
        <w:pStyle w:val="Heading1"/>
      </w:pPr>
      <w:r>
        <w:t>Appendix M — Vendor Incident Questions</w:t>
      </w:r>
    </w:p>
    <w:p>
      <w:r>
        <w:t>Northstar shall ask questions that support its own risk assessment rather than wait only for a vendor’s final report.</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Question</w:t>
            </w:r>
          </w:p>
        </w:tc>
        <w:tc>
          <w:tcPr>
            <w:tcW w:type="dxa" w:w="5155"/>
            <w:vAlign w:val="center"/>
            <w:shd w:fill="17365D"/>
          </w:tcPr>
          <w:p>
            <w:r/>
            <w:r>
              <w:rPr>
                <w:b/>
                <w:color w:val="FFFFFF"/>
                <w:sz w:val="15"/>
              </w:rPr>
              <w:t>Purpose</w:t>
            </w:r>
          </w:p>
        </w:tc>
      </w:tr>
      <w:tr>
        <w:tc>
          <w:tcPr>
            <w:tcW w:type="dxa" w:w="5155"/>
            <w:vAlign w:val="center"/>
          </w:tcPr>
          <w:p>
            <w:r/>
            <w:r>
              <w:rPr>
                <w:b w:val="0"/>
                <w:sz w:val="14"/>
              </w:rPr>
              <w:t>When did vendor become aware?</w:t>
            </w:r>
          </w:p>
        </w:tc>
        <w:tc>
          <w:tcPr>
            <w:tcW w:type="dxa" w:w="5155"/>
            <w:vAlign w:val="center"/>
          </w:tcPr>
          <w:p>
            <w:r/>
            <w:r>
              <w:rPr>
                <w:b w:val="0"/>
                <w:sz w:val="14"/>
              </w:rPr>
              <w:t>Timeline and contract performance</w:t>
            </w:r>
          </w:p>
        </w:tc>
      </w:tr>
      <w:tr>
        <w:tc>
          <w:tcPr>
            <w:tcW w:type="dxa" w:w="5155"/>
            <w:vAlign w:val="center"/>
          </w:tcPr>
          <w:p>
            <w:r/>
            <w:r>
              <w:rPr>
                <w:b w:val="0"/>
                <w:sz w:val="14"/>
              </w:rPr>
              <w:t>What Northstar services/data were affected?</w:t>
            </w:r>
          </w:p>
        </w:tc>
        <w:tc>
          <w:tcPr>
            <w:tcW w:type="dxa" w:w="5155"/>
            <w:vAlign w:val="center"/>
          </w:tcPr>
          <w:p>
            <w:r/>
            <w:r>
              <w:rPr>
                <w:b w:val="0"/>
                <w:sz w:val="14"/>
              </w:rPr>
              <w:t>Scope</w:t>
            </w:r>
          </w:p>
        </w:tc>
      </w:tr>
      <w:tr>
        <w:tc>
          <w:tcPr>
            <w:tcW w:type="dxa" w:w="5155"/>
            <w:vAlign w:val="center"/>
          </w:tcPr>
          <w:p>
            <w:r/>
            <w:r>
              <w:rPr>
                <w:b w:val="0"/>
                <w:sz w:val="14"/>
              </w:rPr>
              <w:t>Was access/exfiltration confirmed?</w:t>
            </w:r>
          </w:p>
        </w:tc>
        <w:tc>
          <w:tcPr>
            <w:tcW w:type="dxa" w:w="5155"/>
            <w:vAlign w:val="center"/>
          </w:tcPr>
          <w:p>
            <w:r/>
            <w:r>
              <w:rPr>
                <w:b w:val="0"/>
                <w:sz w:val="14"/>
              </w:rPr>
              <w:t>Impact</w:t>
            </w:r>
          </w:p>
        </w:tc>
      </w:tr>
      <w:tr>
        <w:tc>
          <w:tcPr>
            <w:tcW w:type="dxa" w:w="5155"/>
            <w:vAlign w:val="center"/>
          </w:tcPr>
          <w:p>
            <w:r/>
            <w:r>
              <w:rPr>
                <w:b w:val="0"/>
                <w:sz w:val="14"/>
              </w:rPr>
              <w:t>What containment is complete?</w:t>
            </w:r>
          </w:p>
        </w:tc>
        <w:tc>
          <w:tcPr>
            <w:tcW w:type="dxa" w:w="5155"/>
            <w:vAlign w:val="center"/>
          </w:tcPr>
          <w:p>
            <w:r/>
            <w:r>
              <w:rPr>
                <w:b w:val="0"/>
                <w:sz w:val="14"/>
              </w:rPr>
              <w:t>Ongoing risk</w:t>
            </w:r>
          </w:p>
        </w:tc>
      </w:tr>
      <w:tr>
        <w:tc>
          <w:tcPr>
            <w:tcW w:type="dxa" w:w="5155"/>
            <w:vAlign w:val="center"/>
          </w:tcPr>
          <w:p>
            <w:r/>
            <w:r>
              <w:rPr>
                <w:b w:val="0"/>
                <w:sz w:val="14"/>
              </w:rPr>
              <w:t>Which credentials/integrations are affected?</w:t>
            </w:r>
          </w:p>
        </w:tc>
        <w:tc>
          <w:tcPr>
            <w:tcW w:type="dxa" w:w="5155"/>
            <w:vAlign w:val="center"/>
          </w:tcPr>
          <w:p>
            <w:r/>
            <w:r>
              <w:rPr>
                <w:b w:val="0"/>
                <w:sz w:val="14"/>
              </w:rPr>
              <w:t>Northstar actions</w:t>
            </w:r>
          </w:p>
        </w:tc>
      </w:tr>
      <w:tr>
        <w:tc>
          <w:tcPr>
            <w:tcW w:type="dxa" w:w="5155"/>
            <w:vAlign w:val="center"/>
          </w:tcPr>
          <w:p>
            <w:r/>
            <w:r>
              <w:rPr>
                <w:b w:val="0"/>
                <w:sz w:val="14"/>
              </w:rPr>
              <w:t>Which subprocessors are involved?</w:t>
            </w:r>
          </w:p>
        </w:tc>
        <w:tc>
          <w:tcPr>
            <w:tcW w:type="dxa" w:w="5155"/>
            <w:vAlign w:val="center"/>
          </w:tcPr>
          <w:p>
            <w:r/>
            <w:r>
              <w:rPr>
                <w:b w:val="0"/>
                <w:sz w:val="14"/>
              </w:rPr>
              <w:t>Fourth-party scope</w:t>
            </w:r>
          </w:p>
        </w:tc>
      </w:tr>
      <w:tr>
        <w:tc>
          <w:tcPr>
            <w:tcW w:type="dxa" w:w="5155"/>
            <w:vAlign w:val="center"/>
          </w:tcPr>
          <w:p>
            <w:r/>
            <w:r>
              <w:rPr>
                <w:b w:val="0"/>
                <w:sz w:val="14"/>
              </w:rPr>
              <w:t>What logs/IOCs can be shared?</w:t>
            </w:r>
          </w:p>
        </w:tc>
        <w:tc>
          <w:tcPr>
            <w:tcW w:type="dxa" w:w="5155"/>
            <w:vAlign w:val="center"/>
          </w:tcPr>
          <w:p>
            <w:r/>
            <w:r>
              <w:rPr>
                <w:b w:val="0"/>
                <w:sz w:val="14"/>
              </w:rPr>
              <w:t>Independent investigation</w:t>
            </w:r>
          </w:p>
        </w:tc>
      </w:tr>
      <w:tr>
        <w:tc>
          <w:tcPr>
            <w:tcW w:type="dxa" w:w="5155"/>
            <w:vAlign w:val="center"/>
          </w:tcPr>
          <w:p>
            <w:r/>
            <w:r>
              <w:rPr>
                <w:b w:val="0"/>
                <w:sz w:val="14"/>
              </w:rPr>
              <w:t>What recovery controls remain?</w:t>
            </w:r>
          </w:p>
        </w:tc>
        <w:tc>
          <w:tcPr>
            <w:tcW w:type="dxa" w:w="5155"/>
            <w:vAlign w:val="center"/>
          </w:tcPr>
          <w:p>
            <w:r/>
            <w:r>
              <w:rPr>
                <w:b w:val="0"/>
                <w:sz w:val="14"/>
              </w:rPr>
              <w:t>Safe restoration</w:t>
            </w:r>
          </w:p>
        </w:tc>
      </w:tr>
      <w:tr>
        <w:tc>
          <w:tcPr>
            <w:tcW w:type="dxa" w:w="5155"/>
            <w:vAlign w:val="center"/>
          </w:tcPr>
          <w:p>
            <w:r/>
            <w:r>
              <w:rPr>
                <w:b w:val="0"/>
                <w:sz w:val="14"/>
              </w:rPr>
              <w:t>What remediation is committed?</w:t>
            </w:r>
          </w:p>
        </w:tc>
        <w:tc>
          <w:tcPr>
            <w:tcW w:type="dxa" w:w="5155"/>
            <w:vAlign w:val="center"/>
          </w:tcPr>
          <w:p>
            <w:r/>
            <w:r>
              <w:rPr>
                <w:b w:val="0"/>
                <w:sz w:val="14"/>
              </w:rPr>
              <w:t>Third-party risk follow-up</w:t>
            </w:r>
          </w:p>
        </w:tc>
      </w:tr>
    </w:tbl>
    <w:p/>
    <w:p>
      <w:r>
        <w:br w:type="page"/>
      </w:r>
    </w:p>
    <w:p>
      <w:pPr>
        <w:pStyle w:val="Heading1"/>
      </w:pPr>
      <w:r>
        <w:t>Appendix N — Incident Closure Package</w:t>
      </w:r>
    </w:p>
    <w:p>
      <w:r>
        <w:t>Material incidents require a consistent closure record.</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Component</w:t>
            </w:r>
          </w:p>
        </w:tc>
        <w:tc>
          <w:tcPr>
            <w:tcW w:type="dxa" w:w="5155"/>
            <w:vAlign w:val="center"/>
            <w:shd w:fill="17365D"/>
          </w:tcPr>
          <w:p>
            <w:r/>
            <w:r>
              <w:rPr>
                <w:b/>
                <w:color w:val="FFFFFF"/>
                <w:sz w:val="15"/>
              </w:rPr>
              <w:t>Minimum Content</w:t>
            </w:r>
          </w:p>
        </w:tc>
      </w:tr>
      <w:tr>
        <w:tc>
          <w:tcPr>
            <w:tcW w:type="dxa" w:w="5155"/>
            <w:vAlign w:val="center"/>
          </w:tcPr>
          <w:p>
            <w:r/>
            <w:r>
              <w:rPr>
                <w:b w:val="0"/>
                <w:sz w:val="14"/>
              </w:rPr>
              <w:t>Executive summary</w:t>
            </w:r>
          </w:p>
        </w:tc>
        <w:tc>
          <w:tcPr>
            <w:tcW w:type="dxa" w:w="5155"/>
            <w:vAlign w:val="center"/>
          </w:tcPr>
          <w:p>
            <w:r/>
            <w:r>
              <w:rPr>
                <w:b w:val="0"/>
                <w:sz w:val="14"/>
              </w:rPr>
              <w:t>What happened and material impact</w:t>
            </w:r>
          </w:p>
        </w:tc>
      </w:tr>
      <w:tr>
        <w:tc>
          <w:tcPr>
            <w:tcW w:type="dxa" w:w="5155"/>
            <w:vAlign w:val="center"/>
          </w:tcPr>
          <w:p>
            <w:r/>
            <w:r>
              <w:rPr>
                <w:b w:val="0"/>
                <w:sz w:val="14"/>
              </w:rPr>
              <w:t>Final severity</w:t>
            </w:r>
          </w:p>
        </w:tc>
        <w:tc>
          <w:tcPr>
            <w:tcW w:type="dxa" w:w="5155"/>
            <w:vAlign w:val="center"/>
          </w:tcPr>
          <w:p>
            <w:r/>
            <w:r>
              <w:rPr>
                <w:b w:val="0"/>
                <w:sz w:val="14"/>
              </w:rPr>
              <w:t>Reason and any changes from initial rating</w:t>
            </w:r>
          </w:p>
        </w:tc>
      </w:tr>
      <w:tr>
        <w:tc>
          <w:tcPr>
            <w:tcW w:type="dxa" w:w="5155"/>
            <w:vAlign w:val="center"/>
          </w:tcPr>
          <w:p>
            <w:r/>
            <w:r>
              <w:rPr>
                <w:b w:val="0"/>
                <w:sz w:val="14"/>
              </w:rPr>
              <w:t>Timeline</w:t>
            </w:r>
          </w:p>
        </w:tc>
        <w:tc>
          <w:tcPr>
            <w:tcW w:type="dxa" w:w="5155"/>
            <w:vAlign w:val="center"/>
          </w:tcPr>
          <w:p>
            <w:r/>
            <w:r>
              <w:rPr>
                <w:b w:val="0"/>
                <w:sz w:val="14"/>
              </w:rPr>
              <w:t>Detection through recovery</w:t>
            </w:r>
          </w:p>
        </w:tc>
      </w:tr>
      <w:tr>
        <w:tc>
          <w:tcPr>
            <w:tcW w:type="dxa" w:w="5155"/>
            <w:vAlign w:val="center"/>
          </w:tcPr>
          <w:p>
            <w:r/>
            <w:r>
              <w:rPr>
                <w:b w:val="0"/>
                <w:sz w:val="14"/>
              </w:rPr>
              <w:t>Root cause</w:t>
            </w:r>
          </w:p>
        </w:tc>
        <w:tc>
          <w:tcPr>
            <w:tcW w:type="dxa" w:w="5155"/>
            <w:vAlign w:val="center"/>
          </w:tcPr>
          <w:p>
            <w:r/>
            <w:r>
              <w:rPr>
                <w:b w:val="0"/>
                <w:sz w:val="14"/>
              </w:rPr>
              <w:t>Technical/process/people/vendor factors</w:t>
            </w:r>
          </w:p>
        </w:tc>
      </w:tr>
      <w:tr>
        <w:tc>
          <w:tcPr>
            <w:tcW w:type="dxa" w:w="5155"/>
            <w:vAlign w:val="center"/>
          </w:tcPr>
          <w:p>
            <w:r/>
            <w:r>
              <w:rPr>
                <w:b w:val="0"/>
                <w:sz w:val="14"/>
              </w:rPr>
              <w:t>Data impact</w:t>
            </w:r>
          </w:p>
        </w:tc>
        <w:tc>
          <w:tcPr>
            <w:tcW w:type="dxa" w:w="5155"/>
            <w:vAlign w:val="center"/>
          </w:tcPr>
          <w:p>
            <w:r/>
            <w:r>
              <w:rPr>
                <w:b w:val="0"/>
                <w:sz w:val="14"/>
              </w:rPr>
              <w:t>Class/population/exposure conclusion</w:t>
            </w:r>
          </w:p>
        </w:tc>
      </w:tr>
      <w:tr>
        <w:tc>
          <w:tcPr>
            <w:tcW w:type="dxa" w:w="5155"/>
            <w:vAlign w:val="center"/>
          </w:tcPr>
          <w:p>
            <w:r/>
            <w:r>
              <w:rPr>
                <w:b w:val="0"/>
                <w:sz w:val="14"/>
              </w:rPr>
              <w:t>Actions</w:t>
            </w:r>
          </w:p>
        </w:tc>
        <w:tc>
          <w:tcPr>
            <w:tcW w:type="dxa" w:w="5155"/>
            <w:vAlign w:val="center"/>
          </w:tcPr>
          <w:p>
            <w:r/>
            <w:r>
              <w:rPr>
                <w:b w:val="0"/>
                <w:sz w:val="14"/>
              </w:rPr>
              <w:t>Completed and open corrective actions</w:t>
            </w:r>
          </w:p>
        </w:tc>
      </w:tr>
      <w:tr>
        <w:tc>
          <w:tcPr>
            <w:tcW w:type="dxa" w:w="5155"/>
            <w:vAlign w:val="center"/>
          </w:tcPr>
          <w:p>
            <w:r/>
            <w:r>
              <w:rPr>
                <w:b w:val="0"/>
                <w:sz w:val="14"/>
              </w:rPr>
              <w:t>Control failures</w:t>
            </w:r>
          </w:p>
        </w:tc>
        <w:tc>
          <w:tcPr>
            <w:tcW w:type="dxa" w:w="5155"/>
            <w:vAlign w:val="center"/>
          </w:tcPr>
          <w:p>
            <w:r/>
            <w:r>
              <w:rPr>
                <w:b w:val="0"/>
                <w:sz w:val="14"/>
              </w:rPr>
              <w:t>Linked compliance/risk findings</w:t>
            </w:r>
          </w:p>
        </w:tc>
      </w:tr>
      <w:tr>
        <w:tc>
          <w:tcPr>
            <w:tcW w:type="dxa" w:w="5155"/>
            <w:vAlign w:val="center"/>
          </w:tcPr>
          <w:p>
            <w:r/>
            <w:r>
              <w:rPr>
                <w:b w:val="0"/>
                <w:sz w:val="14"/>
              </w:rPr>
              <w:t>Evidence index</w:t>
            </w:r>
          </w:p>
        </w:tc>
        <w:tc>
          <w:tcPr>
            <w:tcW w:type="dxa" w:w="5155"/>
            <w:vAlign w:val="center"/>
          </w:tcPr>
          <w:p>
            <w:r/>
            <w:r>
              <w:rPr>
                <w:b w:val="0"/>
                <w:sz w:val="14"/>
              </w:rPr>
              <w:t>Preserved logs/files</w:t>
            </w:r>
          </w:p>
        </w:tc>
      </w:tr>
      <w:tr>
        <w:tc>
          <w:tcPr>
            <w:tcW w:type="dxa" w:w="5155"/>
            <w:vAlign w:val="center"/>
          </w:tcPr>
          <w:p>
            <w:r/>
            <w:r>
              <w:rPr>
                <w:b w:val="0"/>
                <w:sz w:val="14"/>
              </w:rPr>
              <w:t>Lessons learned</w:t>
            </w:r>
          </w:p>
        </w:tc>
        <w:tc>
          <w:tcPr>
            <w:tcW w:type="dxa" w:w="5155"/>
            <w:vAlign w:val="center"/>
          </w:tcPr>
          <w:p>
            <w:r/>
            <w:r>
              <w:rPr>
                <w:b w:val="0"/>
                <w:sz w:val="14"/>
              </w:rPr>
              <w:t>Changes to detection, process, training or architecture</w:t>
            </w:r>
          </w:p>
        </w:tc>
      </w:tr>
    </w:tbl>
    <w:p/>
    <w:p>
      <w:r>
        <w:br w:type="page"/>
      </w:r>
    </w:p>
    <w:p>
      <w:pPr>
        <w:pStyle w:val="Heading1"/>
      </w:pPr>
      <w:r>
        <w:t>Appendix O — Tabletop Exercise Scenarios</w:t>
      </w:r>
    </w:p>
    <w:p>
      <w:r>
        <w:t>Exercises should test decision-making rather than only technical response.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Scenario</w:t>
            </w:r>
          </w:p>
        </w:tc>
        <w:tc>
          <w:tcPr>
            <w:tcW w:type="dxa" w:w="5155"/>
            <w:vAlign w:val="center"/>
            <w:shd w:fill="17365D"/>
          </w:tcPr>
          <w:p>
            <w:r/>
            <w:r>
              <w:rPr>
                <w:b/>
                <w:color w:val="FFFFFF"/>
                <w:sz w:val="15"/>
              </w:rPr>
              <w:t>Key Decisions Tested</w:t>
            </w:r>
          </w:p>
        </w:tc>
      </w:tr>
      <w:tr>
        <w:tc>
          <w:tcPr>
            <w:tcW w:type="dxa" w:w="5155"/>
            <w:vAlign w:val="center"/>
          </w:tcPr>
          <w:p>
            <w:r/>
            <w:r>
              <w:rPr>
                <w:b w:val="0"/>
                <w:sz w:val="14"/>
              </w:rPr>
              <w:t>Ransomware on servicing platform</w:t>
            </w:r>
          </w:p>
        </w:tc>
        <w:tc>
          <w:tcPr>
            <w:tcW w:type="dxa" w:w="5155"/>
            <w:vAlign w:val="center"/>
          </w:tcPr>
          <w:p>
            <w:r/>
            <w:r>
              <w:rPr>
                <w:b w:val="0"/>
                <w:sz w:val="14"/>
              </w:rPr>
              <w:t>Isolation vs availability, backup trust, customer continuity</w:t>
            </w:r>
          </w:p>
        </w:tc>
      </w:tr>
      <w:tr>
        <w:tc>
          <w:tcPr>
            <w:tcW w:type="dxa" w:w="5155"/>
            <w:vAlign w:val="center"/>
          </w:tcPr>
          <w:p>
            <w:r/>
            <w:r>
              <w:rPr>
                <w:b w:val="0"/>
                <w:sz w:val="14"/>
              </w:rPr>
              <w:t>Cloud storage exposure</w:t>
            </w:r>
          </w:p>
        </w:tc>
        <w:tc>
          <w:tcPr>
            <w:tcW w:type="dxa" w:w="5155"/>
            <w:vAlign w:val="center"/>
          </w:tcPr>
          <w:p>
            <w:r/>
            <w:r>
              <w:rPr>
                <w:b w:val="0"/>
                <w:sz w:val="14"/>
              </w:rPr>
              <w:t>Containment, data scope, vendor/provider evidence</w:t>
            </w:r>
          </w:p>
        </w:tc>
      </w:tr>
      <w:tr>
        <w:tc>
          <w:tcPr>
            <w:tcW w:type="dxa" w:w="5155"/>
            <w:vAlign w:val="center"/>
          </w:tcPr>
          <w:p>
            <w:r/>
            <w:r>
              <w:rPr>
                <w:b w:val="0"/>
                <w:sz w:val="14"/>
              </w:rPr>
              <w:t>Privileged insider misuse</w:t>
            </w:r>
          </w:p>
        </w:tc>
        <w:tc>
          <w:tcPr>
            <w:tcW w:type="dxa" w:w="5155"/>
            <w:vAlign w:val="center"/>
          </w:tcPr>
          <w:p>
            <w:r/>
            <w:r>
              <w:rPr>
                <w:b w:val="0"/>
                <w:sz w:val="14"/>
              </w:rPr>
              <w:t>Access restriction, evidence preservation, HR/Legal interface</w:t>
            </w:r>
          </w:p>
        </w:tc>
      </w:tr>
      <w:tr>
        <w:tc>
          <w:tcPr>
            <w:tcW w:type="dxa" w:w="5155"/>
            <w:vAlign w:val="center"/>
          </w:tcPr>
          <w:p>
            <w:r/>
            <w:r>
              <w:rPr>
                <w:b w:val="0"/>
                <w:sz w:val="14"/>
              </w:rPr>
              <w:t>Critical vendor breach</w:t>
            </w:r>
          </w:p>
        </w:tc>
        <w:tc>
          <w:tcPr>
            <w:tcW w:type="dxa" w:w="5155"/>
            <w:vAlign w:val="center"/>
          </w:tcPr>
          <w:p>
            <w:r/>
            <w:r>
              <w:rPr>
                <w:b w:val="0"/>
                <w:sz w:val="14"/>
              </w:rPr>
              <w:t>Suspend integration, alternate service, contract escalation</w:t>
            </w:r>
          </w:p>
        </w:tc>
      </w:tr>
      <w:tr>
        <w:tc>
          <w:tcPr>
            <w:tcW w:type="dxa" w:w="5155"/>
            <w:vAlign w:val="center"/>
          </w:tcPr>
          <w:p>
            <w:r/>
            <w:r>
              <w:rPr>
                <w:b w:val="0"/>
                <w:sz w:val="14"/>
              </w:rPr>
              <w:t>Identity-provider compromise</w:t>
            </w:r>
          </w:p>
        </w:tc>
        <w:tc>
          <w:tcPr>
            <w:tcW w:type="dxa" w:w="5155"/>
            <w:vAlign w:val="center"/>
          </w:tcPr>
          <w:p>
            <w:r/>
            <w:r>
              <w:rPr>
                <w:b w:val="0"/>
                <w:sz w:val="14"/>
              </w:rPr>
              <w:t>Trusted communications, account recovery, admin path</w:t>
            </w:r>
          </w:p>
        </w:tc>
      </w:tr>
      <w:tr>
        <w:tc>
          <w:tcPr>
            <w:tcW w:type="dxa" w:w="5155"/>
            <w:vAlign w:val="center"/>
          </w:tcPr>
          <w:p>
            <w:r/>
            <w:r>
              <w:rPr>
                <w:b w:val="0"/>
                <w:sz w:val="14"/>
              </w:rPr>
              <w:t>Data sent to wrong external party</w:t>
            </w:r>
          </w:p>
        </w:tc>
        <w:tc>
          <w:tcPr>
            <w:tcW w:type="dxa" w:w="5155"/>
            <w:vAlign w:val="center"/>
          </w:tcPr>
          <w:p>
            <w:r/>
            <w:r>
              <w:rPr>
                <w:b w:val="0"/>
                <w:sz w:val="14"/>
              </w:rPr>
              <w:t>Recall/contain, exposure assessment, customer/compliance interface</w:t>
            </w:r>
          </w:p>
        </w:tc>
      </w:tr>
    </w:tbl>
    <w:p/>
    <w:p>
      <w:r>
        <w:br w:type="page"/>
      </w:r>
    </w:p>
    <w:p>
      <w:pPr>
        <w:pStyle w:val="Heading1"/>
      </w:pPr>
      <w:r>
        <w:t>Appendix P — Incident Quality Review</w:t>
      </w:r>
    </w:p>
    <w:p>
      <w:r>
        <w:t>Security QA should test whether the incident record supports the decisions made.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Review Point</w:t>
            </w:r>
          </w:p>
        </w:tc>
        <w:tc>
          <w:tcPr>
            <w:tcW w:type="dxa" w:w="5155"/>
            <w:vAlign w:val="center"/>
            <w:shd w:fill="17365D"/>
          </w:tcPr>
          <w:p>
            <w:r/>
            <w:r>
              <w:rPr>
                <w:b/>
                <w:color w:val="FFFFFF"/>
                <w:sz w:val="15"/>
              </w:rPr>
              <w:t>Quality Standard</w:t>
            </w:r>
          </w:p>
        </w:tc>
      </w:tr>
      <w:tr>
        <w:tc>
          <w:tcPr>
            <w:tcW w:type="dxa" w:w="5155"/>
            <w:vAlign w:val="center"/>
          </w:tcPr>
          <w:p>
            <w:r/>
            <w:r>
              <w:rPr>
                <w:b w:val="0"/>
                <w:sz w:val="14"/>
              </w:rPr>
              <w:t>Severity</w:t>
            </w:r>
          </w:p>
        </w:tc>
        <w:tc>
          <w:tcPr>
            <w:tcW w:type="dxa" w:w="5155"/>
            <w:vAlign w:val="center"/>
          </w:tcPr>
          <w:p>
            <w:r/>
            <w:r>
              <w:rPr>
                <w:b w:val="0"/>
                <w:sz w:val="14"/>
              </w:rPr>
              <w:t>Supported by impact/scope facts</w:t>
            </w:r>
          </w:p>
        </w:tc>
      </w:tr>
      <w:tr>
        <w:tc>
          <w:tcPr>
            <w:tcW w:type="dxa" w:w="5155"/>
            <w:vAlign w:val="center"/>
          </w:tcPr>
          <w:p>
            <w:r/>
            <w:r>
              <w:rPr>
                <w:b w:val="0"/>
                <w:sz w:val="14"/>
              </w:rPr>
              <w:t>Notification</w:t>
            </w:r>
          </w:p>
        </w:tc>
        <w:tc>
          <w:tcPr>
            <w:tcW w:type="dxa" w:w="5155"/>
            <w:vAlign w:val="center"/>
          </w:tcPr>
          <w:p>
            <w:r/>
            <w:r>
              <w:rPr>
                <w:b w:val="0"/>
                <w:sz w:val="14"/>
              </w:rPr>
              <w:t>Timely based on awareness time</w:t>
            </w:r>
          </w:p>
        </w:tc>
      </w:tr>
      <w:tr>
        <w:tc>
          <w:tcPr>
            <w:tcW w:type="dxa" w:w="5155"/>
            <w:vAlign w:val="center"/>
          </w:tcPr>
          <w:p>
            <w:r/>
            <w:r>
              <w:rPr>
                <w:b w:val="0"/>
                <w:sz w:val="14"/>
              </w:rPr>
              <w:t>Containment</w:t>
            </w:r>
          </w:p>
        </w:tc>
        <w:tc>
          <w:tcPr>
            <w:tcW w:type="dxa" w:w="5155"/>
            <w:vAlign w:val="center"/>
          </w:tcPr>
          <w:p>
            <w:r/>
            <w:r>
              <w:rPr>
                <w:b w:val="0"/>
                <w:sz w:val="14"/>
              </w:rPr>
              <w:t>Actions recorded with rationale</w:t>
            </w:r>
          </w:p>
        </w:tc>
      </w:tr>
      <w:tr>
        <w:tc>
          <w:tcPr>
            <w:tcW w:type="dxa" w:w="5155"/>
            <w:vAlign w:val="center"/>
          </w:tcPr>
          <w:p>
            <w:r/>
            <w:r>
              <w:rPr>
                <w:b w:val="0"/>
                <w:sz w:val="14"/>
              </w:rPr>
              <w:t>Evidence</w:t>
            </w:r>
          </w:p>
        </w:tc>
        <w:tc>
          <w:tcPr>
            <w:tcW w:type="dxa" w:w="5155"/>
            <w:vAlign w:val="center"/>
          </w:tcPr>
          <w:p>
            <w:r/>
            <w:r>
              <w:rPr>
                <w:b w:val="0"/>
                <w:sz w:val="14"/>
              </w:rPr>
              <w:t>Preserved before destruction/retention loss</w:t>
            </w:r>
          </w:p>
        </w:tc>
      </w:tr>
      <w:tr>
        <w:tc>
          <w:tcPr>
            <w:tcW w:type="dxa" w:w="5155"/>
            <w:vAlign w:val="center"/>
          </w:tcPr>
          <w:p>
            <w:r/>
            <w:r>
              <w:rPr>
                <w:b w:val="0"/>
                <w:sz w:val="14"/>
              </w:rPr>
              <w:t>Data impact</w:t>
            </w:r>
          </w:p>
        </w:tc>
        <w:tc>
          <w:tcPr>
            <w:tcW w:type="dxa" w:w="5155"/>
            <w:vAlign w:val="center"/>
          </w:tcPr>
          <w:p>
            <w:r/>
            <w:r>
              <w:rPr>
                <w:b w:val="0"/>
                <w:sz w:val="14"/>
              </w:rPr>
              <w:t>Conclusion reflects uncertainty/logging limits</w:t>
            </w:r>
          </w:p>
        </w:tc>
      </w:tr>
      <w:tr>
        <w:tc>
          <w:tcPr>
            <w:tcW w:type="dxa" w:w="5155"/>
            <w:vAlign w:val="center"/>
          </w:tcPr>
          <w:p>
            <w:r/>
            <w:r>
              <w:rPr>
                <w:b w:val="0"/>
                <w:sz w:val="14"/>
              </w:rPr>
              <w:t>Recovery</w:t>
            </w:r>
          </w:p>
        </w:tc>
        <w:tc>
          <w:tcPr>
            <w:tcW w:type="dxa" w:w="5155"/>
            <w:vAlign w:val="center"/>
          </w:tcPr>
          <w:p>
            <w:r/>
            <w:r>
              <w:rPr>
                <w:b w:val="0"/>
                <w:sz w:val="14"/>
              </w:rPr>
              <w:t>Security gates documented</w:t>
            </w:r>
          </w:p>
        </w:tc>
      </w:tr>
      <w:tr>
        <w:tc>
          <w:tcPr>
            <w:tcW w:type="dxa" w:w="5155"/>
            <w:vAlign w:val="center"/>
          </w:tcPr>
          <w:p>
            <w:r/>
            <w:r>
              <w:rPr>
                <w:b w:val="0"/>
                <w:sz w:val="14"/>
              </w:rPr>
              <w:t>Root cause</w:t>
            </w:r>
          </w:p>
        </w:tc>
        <w:tc>
          <w:tcPr>
            <w:tcW w:type="dxa" w:w="5155"/>
            <w:vAlign w:val="center"/>
          </w:tcPr>
          <w:p>
            <w:r/>
            <w:r>
              <w:rPr>
                <w:b w:val="0"/>
                <w:sz w:val="14"/>
              </w:rPr>
              <w:t>Addresses underlying failure, not symptom only</w:t>
            </w:r>
          </w:p>
        </w:tc>
      </w:tr>
      <w:tr>
        <w:tc>
          <w:tcPr>
            <w:tcW w:type="dxa" w:w="5155"/>
            <w:vAlign w:val="center"/>
          </w:tcPr>
          <w:p>
            <w:r/>
            <w:r>
              <w:rPr>
                <w:b w:val="0"/>
                <w:sz w:val="14"/>
              </w:rPr>
              <w:t>Actions</w:t>
            </w:r>
          </w:p>
        </w:tc>
        <w:tc>
          <w:tcPr>
            <w:tcW w:type="dxa" w:w="5155"/>
            <w:vAlign w:val="center"/>
          </w:tcPr>
          <w:p>
            <w:r/>
            <w:r>
              <w:rPr>
                <w:b w:val="0"/>
                <w:sz w:val="14"/>
              </w:rPr>
              <w:t>Named owners/dates/evidence</w:t>
            </w:r>
          </w:p>
        </w:tc>
      </w:tr>
      <w:tr>
        <w:tc>
          <w:tcPr>
            <w:tcW w:type="dxa" w:w="5155"/>
            <w:vAlign w:val="center"/>
          </w:tcPr>
          <w:p>
            <w:r/>
            <w:r>
              <w:rPr>
                <w:b w:val="0"/>
                <w:sz w:val="14"/>
              </w:rPr>
              <w:t>Parallel records</w:t>
            </w:r>
          </w:p>
        </w:tc>
        <w:tc>
          <w:tcPr>
            <w:tcW w:type="dxa" w:w="5155"/>
            <w:vAlign w:val="center"/>
          </w:tcPr>
          <w:p>
            <w:r/>
            <w:r>
              <w:rPr>
                <w:b w:val="0"/>
                <w:sz w:val="14"/>
              </w:rPr>
              <w:t>Compliance/fraud/vendor cases cross-referenced</w:t>
            </w:r>
          </w:p>
        </w:tc>
      </w:tr>
    </w:tbl>
    <w:p/>
    <w:sectPr w:rsidR="00FC693F" w:rsidRPr="0006063C" w:rsidSect="00034616">
      <w:headerReference w:type="default" r:id="rId9"/>
      <w:footerReference w:type="default" r:id="rId10"/>
      <w:pgSz w:w="12240" w:h="15840"/>
      <w:pgMar w:top="893"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