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Information Security Policy</w:t>
      </w:r>
    </w:p>
    <w:p>
      <w:pPr>
        <w:jc w:val="center"/>
      </w:pPr>
      <w:r>
        <w:rPr>
          <w:sz w:val="20"/>
        </w:rPr>
        <w:t>ISP-014  |  Version 2.0  |  Internal — Confidential</w:t>
      </w:r>
    </w:p>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D9EAF7"/>
          </w:tcPr>
          <w:p>
            <w:r/>
            <w:r>
              <w:rPr>
                <w:b/>
                <w:color w:val="17365D"/>
                <w:sz w:val="16"/>
              </w:rPr>
              <w:t>Document ID</w:t>
            </w:r>
          </w:p>
        </w:tc>
        <w:tc>
          <w:tcPr>
            <w:tcW w:type="dxa" w:w="5155"/>
            <w:vAlign w:val="center"/>
          </w:tcPr>
          <w:p>
            <w:r/>
            <w:r>
              <w:rPr>
                <w:b w:val="0"/>
                <w:sz w:val="16"/>
              </w:rPr>
              <w:t>ISP-014</w:t>
            </w:r>
          </w:p>
        </w:tc>
      </w:tr>
      <w:tr>
        <w:tc>
          <w:tcPr>
            <w:tcW w:type="dxa" w:w="5155"/>
            <w:vAlign w:val="center"/>
            <w:shd w:fill="D9EAF7"/>
          </w:tcPr>
          <w:p>
            <w:r/>
            <w:r>
              <w:rPr>
                <w:b/>
                <w:color w:val="17365D"/>
                <w:sz w:val="16"/>
              </w:rPr>
              <w:t>Document Title</w:t>
            </w:r>
          </w:p>
        </w:tc>
        <w:tc>
          <w:tcPr>
            <w:tcW w:type="dxa" w:w="5155"/>
            <w:vAlign w:val="center"/>
          </w:tcPr>
          <w:p>
            <w:r/>
            <w:r>
              <w:rPr>
                <w:b w:val="0"/>
                <w:sz w:val="16"/>
              </w:rPr>
              <w:t>Information Security Policy</w:t>
            </w:r>
          </w:p>
        </w:tc>
      </w:tr>
      <w:tr>
        <w:tc>
          <w:tcPr>
            <w:tcW w:type="dxa" w:w="5155"/>
            <w:vAlign w:val="center"/>
            <w:shd w:fill="D9EAF7"/>
          </w:tcPr>
          <w:p>
            <w:r/>
            <w:r>
              <w:rPr>
                <w:b/>
                <w:color w:val="17365D"/>
                <w:sz w:val="16"/>
              </w:rPr>
              <w:t>Version</w:t>
            </w:r>
          </w:p>
        </w:tc>
        <w:tc>
          <w:tcPr>
            <w:tcW w:type="dxa" w:w="5155"/>
            <w:vAlign w:val="center"/>
          </w:tcPr>
          <w:p>
            <w:r/>
            <w:r>
              <w:rPr>
                <w:b w:val="0"/>
                <w:sz w:val="16"/>
              </w:rPr>
              <w:t>2.0</w:t>
            </w:r>
          </w:p>
        </w:tc>
      </w:tr>
      <w:tr>
        <w:tc>
          <w:tcPr>
            <w:tcW w:type="dxa" w:w="5155"/>
            <w:vAlign w:val="center"/>
            <w:shd w:fill="D9EAF7"/>
          </w:tcPr>
          <w:p>
            <w:r/>
            <w:r>
              <w:rPr>
                <w:b/>
                <w:color w:val="17365D"/>
                <w:sz w:val="16"/>
              </w:rPr>
              <w:t>Policy Owner</w:t>
            </w:r>
          </w:p>
        </w:tc>
        <w:tc>
          <w:tcPr>
            <w:tcW w:type="dxa" w:w="5155"/>
            <w:vAlign w:val="center"/>
          </w:tcPr>
          <w:p>
            <w:r/>
            <w:r>
              <w:rPr>
                <w:b w:val="0"/>
                <w:sz w:val="16"/>
              </w:rPr>
              <w:t>Neha Srinivasan — Chief Information Security Officer</w:t>
            </w:r>
          </w:p>
        </w:tc>
      </w:tr>
      <w:tr>
        <w:tc>
          <w:tcPr>
            <w:tcW w:type="dxa" w:w="5155"/>
            <w:vAlign w:val="center"/>
            <w:shd w:fill="D9EAF7"/>
          </w:tcPr>
          <w:p>
            <w:r/>
            <w:r>
              <w:rPr>
                <w:b/>
                <w:color w:val="17365D"/>
                <w:sz w:val="16"/>
              </w:rPr>
              <w:t>Business Unit</w:t>
            </w:r>
          </w:p>
        </w:tc>
        <w:tc>
          <w:tcPr>
            <w:tcW w:type="dxa" w:w="5155"/>
            <w:vAlign w:val="center"/>
          </w:tcPr>
          <w:p>
            <w:r/>
            <w:r>
              <w:rPr>
                <w:b w:val="0"/>
                <w:sz w:val="16"/>
              </w:rPr>
              <w:t>Information Security / Technology</w:t>
            </w:r>
          </w:p>
        </w:tc>
      </w:tr>
      <w:tr>
        <w:tc>
          <w:tcPr>
            <w:tcW w:type="dxa" w:w="5155"/>
            <w:vAlign w:val="center"/>
            <w:shd w:fill="D9EAF7"/>
          </w:tcPr>
          <w:p>
            <w:r/>
            <w:r>
              <w:rPr>
                <w:b/>
                <w:color w:val="17365D"/>
                <w:sz w:val="16"/>
              </w:rPr>
              <w:t>Approving Authority</w:t>
            </w:r>
          </w:p>
        </w:tc>
        <w:tc>
          <w:tcPr>
            <w:tcW w:type="dxa" w:w="5155"/>
            <w:vAlign w:val="center"/>
          </w:tcPr>
          <w:p>
            <w:r/>
            <w:r>
              <w:rPr>
                <w:b w:val="0"/>
                <w:sz w:val="16"/>
              </w:rPr>
              <w:t>Board Risk Committee</w:t>
            </w:r>
          </w:p>
        </w:tc>
      </w:tr>
      <w:tr>
        <w:tc>
          <w:tcPr>
            <w:tcW w:type="dxa" w:w="5155"/>
            <w:vAlign w:val="center"/>
            <w:shd w:fill="D9EAF7"/>
          </w:tcPr>
          <w:p>
            <w:r/>
            <w:r>
              <w:rPr>
                <w:b/>
                <w:color w:val="17365D"/>
                <w:sz w:val="16"/>
              </w:rPr>
              <w:t>Effective Date</w:t>
            </w:r>
          </w:p>
        </w:tc>
        <w:tc>
          <w:tcPr>
            <w:tcW w:type="dxa" w:w="5155"/>
            <w:vAlign w:val="center"/>
          </w:tcPr>
          <w:p>
            <w:r/>
            <w:r>
              <w:rPr>
                <w:b w:val="0"/>
                <w:sz w:val="16"/>
              </w:rPr>
              <w:t>1 April 2026</w:t>
            </w:r>
          </w:p>
        </w:tc>
      </w:tr>
      <w:tr>
        <w:tc>
          <w:tcPr>
            <w:tcW w:type="dxa" w:w="5155"/>
            <w:vAlign w:val="center"/>
            <w:shd w:fill="D9EAF7"/>
          </w:tcPr>
          <w:p>
            <w:r/>
            <w:r>
              <w:rPr>
                <w:b/>
                <w:color w:val="17365D"/>
                <w:sz w:val="16"/>
              </w:rPr>
              <w:t>Previous Version</w:t>
            </w:r>
          </w:p>
        </w:tc>
        <w:tc>
          <w:tcPr>
            <w:tcW w:type="dxa" w:w="5155"/>
            <w:vAlign w:val="center"/>
          </w:tcPr>
          <w:p>
            <w:r/>
            <w:r>
              <w:rPr>
                <w:b w:val="0"/>
                <w:sz w:val="16"/>
              </w:rPr>
              <w:t>1.7</w:t>
            </w:r>
          </w:p>
        </w:tc>
      </w:tr>
      <w:tr>
        <w:tc>
          <w:tcPr>
            <w:tcW w:type="dxa" w:w="5155"/>
            <w:vAlign w:val="center"/>
            <w:shd w:fill="D9EAF7"/>
          </w:tcPr>
          <w:p>
            <w:r/>
            <w:r>
              <w:rPr>
                <w:b/>
                <w:color w:val="17365D"/>
                <w:sz w:val="16"/>
              </w:rPr>
              <w:t>Review Frequency</w:t>
            </w:r>
          </w:p>
        </w:tc>
        <w:tc>
          <w:tcPr>
            <w:tcW w:type="dxa" w:w="5155"/>
            <w:vAlign w:val="center"/>
          </w:tcPr>
          <w:p>
            <w:r/>
            <w:r>
              <w:rPr>
                <w:b w:val="0"/>
                <w:sz w:val="16"/>
              </w:rPr>
              <w:t>Annual</w:t>
            </w:r>
          </w:p>
        </w:tc>
      </w:tr>
      <w:tr>
        <w:tc>
          <w:tcPr>
            <w:tcW w:type="dxa" w:w="5155"/>
            <w:vAlign w:val="center"/>
            <w:shd w:fill="D9EAF7"/>
          </w:tcPr>
          <w:p>
            <w:r/>
            <w:r>
              <w:rPr>
                <w:b/>
                <w:color w:val="17365D"/>
                <w:sz w:val="16"/>
              </w:rPr>
              <w:t>Classification</w:t>
            </w:r>
          </w:p>
        </w:tc>
        <w:tc>
          <w:tcPr>
            <w:tcW w:type="dxa" w:w="5155"/>
            <w:vAlign w:val="center"/>
          </w:tcPr>
          <w:p>
            <w:r/>
            <w:r>
              <w:rPr>
                <w:b w:val="0"/>
                <w:sz w:val="16"/>
              </w:rPr>
              <w:t>Internal — Confidential</w:t>
            </w:r>
          </w:p>
        </w:tc>
      </w:tr>
      <w:tr>
        <w:tc>
          <w:tcPr>
            <w:tcW w:type="dxa" w:w="5155"/>
            <w:vAlign w:val="center"/>
            <w:shd w:fill="D9EAF7"/>
          </w:tcPr>
          <w:p>
            <w:r/>
            <w:r>
              <w:rPr>
                <w:b/>
                <w:color w:val="17365D"/>
                <w:sz w:val="16"/>
              </w:rPr>
              <w:t>Status</w:t>
            </w:r>
          </w:p>
        </w:tc>
        <w:tc>
          <w:tcPr>
            <w:tcW w:type="dxa" w:w="5155"/>
            <w:vAlign w:val="center"/>
          </w:tcPr>
          <w:p>
            <w:r/>
            <w:r>
              <w:rPr>
                <w:b w:val="0"/>
                <w:sz w:val="16"/>
              </w:rPr>
              <w:t>Approved</w:t>
            </w:r>
          </w:p>
        </w:tc>
      </w:tr>
      <w:tr>
        <w:tc>
          <w:tcPr>
            <w:tcW w:type="dxa" w:w="5155"/>
            <w:vAlign w:val="center"/>
            <w:shd w:fill="D9EAF7"/>
          </w:tcPr>
          <w:p>
            <w:r/>
            <w:r>
              <w:rPr>
                <w:b/>
                <w:color w:val="17365D"/>
                <w:sz w:val="16"/>
              </w:rPr>
              <w:t>Supersedes</w:t>
            </w:r>
          </w:p>
        </w:tc>
        <w:tc>
          <w:tcPr>
            <w:tcW w:type="dxa" w:w="5155"/>
            <w:vAlign w:val="center"/>
          </w:tcPr>
          <w:p>
            <w:r/>
            <w:r>
              <w:rPr>
                <w:b w:val="0"/>
                <w:sz w:val="16"/>
              </w:rPr>
              <w:t>ISP-014 v1.7</w:t>
            </w:r>
          </w:p>
        </w:tc>
      </w:tr>
      <w:tr>
        <w:tc>
          <w:tcPr>
            <w:tcW w:type="dxa" w:w="5155"/>
            <w:vAlign w:val="center"/>
            <w:shd w:fill="D9EAF7"/>
          </w:tcPr>
          <w:p>
            <w:r/>
            <w:r>
              <w:rPr>
                <w:b/>
                <w:color w:val="17365D"/>
                <w:sz w:val="16"/>
              </w:rPr>
              <w:t>Related Documents</w:t>
            </w:r>
          </w:p>
        </w:tc>
        <w:tc>
          <w:tcPr>
            <w:tcW w:type="dxa" w:w="5155"/>
            <w:vAlign w:val="center"/>
          </w:tcPr>
          <w:p>
            <w:r/>
            <w:r>
              <w:rPr>
                <w:b w:val="0"/>
                <w:sz w:val="16"/>
              </w:rPr>
              <w:t>RMF-008; RAS-009; ACS-051; SIR-052; VRP-053; CMP-012; EOM-020</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Version</w:t>
            </w:r>
          </w:p>
        </w:tc>
        <w:tc>
          <w:tcPr>
            <w:tcW w:type="dxa" w:w="2577"/>
            <w:vAlign w:val="center"/>
            <w:shd w:fill="17365D"/>
          </w:tcPr>
          <w:p>
            <w:r/>
            <w:r>
              <w:rPr>
                <w:b/>
                <w:color w:val="FFFFFF"/>
                <w:sz w:val="15"/>
              </w:rPr>
              <w:t>Effective Date</w:t>
            </w:r>
          </w:p>
        </w:tc>
        <w:tc>
          <w:tcPr>
            <w:tcW w:type="dxa" w:w="2577"/>
            <w:vAlign w:val="center"/>
            <w:shd w:fill="17365D"/>
          </w:tcPr>
          <w:p>
            <w:r/>
            <w:r>
              <w:rPr>
                <w:b/>
                <w:color w:val="FFFFFF"/>
                <w:sz w:val="15"/>
              </w:rPr>
              <w:t>Change Summary</w:t>
            </w:r>
          </w:p>
        </w:tc>
        <w:tc>
          <w:tcPr>
            <w:tcW w:type="dxa" w:w="2577"/>
            <w:vAlign w:val="center"/>
            <w:shd w:fill="17365D"/>
          </w:tcPr>
          <w:p>
            <w:r/>
            <w:r>
              <w:rPr>
                <w:b/>
                <w:color w:val="FFFFFF"/>
                <w:sz w:val="15"/>
              </w:rPr>
              <w:t>Approving Authority</w:t>
            </w:r>
          </w:p>
        </w:tc>
      </w:tr>
      <w:tr>
        <w:tc>
          <w:tcPr>
            <w:tcW w:type="dxa" w:w="2577"/>
            <w:vAlign w:val="center"/>
          </w:tcPr>
          <w:p>
            <w:r/>
            <w:r>
              <w:rPr>
                <w:b w:val="0"/>
                <w:sz w:val="15"/>
              </w:rPr>
              <w:t>1.5</w:t>
            </w:r>
          </w:p>
        </w:tc>
        <w:tc>
          <w:tcPr>
            <w:tcW w:type="dxa" w:w="2577"/>
            <w:vAlign w:val="center"/>
          </w:tcPr>
          <w:p>
            <w:r/>
            <w:r>
              <w:rPr>
                <w:b w:val="0"/>
                <w:sz w:val="15"/>
              </w:rPr>
              <w:t>1 Jun 2024</w:t>
            </w:r>
          </w:p>
        </w:tc>
        <w:tc>
          <w:tcPr>
            <w:tcW w:type="dxa" w:w="2577"/>
            <w:vAlign w:val="center"/>
          </w:tcPr>
          <w:p>
            <w:r/>
            <w:r>
              <w:rPr>
                <w:b w:val="0"/>
                <w:sz w:val="15"/>
              </w:rPr>
              <w:t>Strengthened remote-access and endpoint controls.</w:t>
            </w:r>
          </w:p>
        </w:tc>
        <w:tc>
          <w:tcPr>
            <w:tcW w:type="dxa" w:w="2577"/>
            <w:vAlign w:val="center"/>
          </w:tcPr>
          <w:p>
            <w:r/>
            <w:r>
              <w:rPr>
                <w:b w:val="0"/>
                <w:sz w:val="15"/>
              </w:rPr>
              <w:t>Technology Risk Committee</w:t>
            </w:r>
          </w:p>
        </w:tc>
      </w:tr>
      <w:tr>
        <w:tc>
          <w:tcPr>
            <w:tcW w:type="dxa" w:w="2577"/>
            <w:vAlign w:val="center"/>
          </w:tcPr>
          <w:p>
            <w:r/>
            <w:r>
              <w:rPr>
                <w:b w:val="0"/>
                <w:sz w:val="15"/>
              </w:rPr>
              <w:t>1.7</w:t>
            </w:r>
          </w:p>
        </w:tc>
        <w:tc>
          <w:tcPr>
            <w:tcW w:type="dxa" w:w="2577"/>
            <w:vAlign w:val="center"/>
          </w:tcPr>
          <w:p>
            <w:r/>
            <w:r>
              <w:rPr>
                <w:b w:val="0"/>
                <w:sz w:val="15"/>
              </w:rPr>
              <w:t>1 Jul 2025</w:t>
            </w:r>
          </w:p>
        </w:tc>
        <w:tc>
          <w:tcPr>
            <w:tcW w:type="dxa" w:w="2577"/>
            <w:vAlign w:val="center"/>
          </w:tcPr>
          <w:p>
            <w:r/>
            <w:r>
              <w:rPr>
                <w:b w:val="0"/>
                <w:sz w:val="15"/>
              </w:rPr>
              <w:t>Added cloud-service and vendor-data requirements.</w:t>
            </w:r>
          </w:p>
        </w:tc>
        <w:tc>
          <w:tcPr>
            <w:tcW w:type="dxa" w:w="2577"/>
            <w:vAlign w:val="center"/>
          </w:tcPr>
          <w:p>
            <w:r/>
            <w:r>
              <w:rPr>
                <w:b w:val="0"/>
                <w:sz w:val="15"/>
              </w:rPr>
              <w:t>Board Risk Committee</w:t>
            </w:r>
          </w:p>
        </w:tc>
      </w:tr>
      <w:tr>
        <w:tc>
          <w:tcPr>
            <w:tcW w:type="dxa" w:w="2577"/>
            <w:vAlign w:val="center"/>
          </w:tcPr>
          <w:p>
            <w:r/>
            <w:r>
              <w:rPr>
                <w:b w:val="0"/>
                <w:sz w:val="15"/>
              </w:rPr>
              <w:t>2.0</w:t>
            </w:r>
          </w:p>
        </w:tc>
        <w:tc>
          <w:tcPr>
            <w:tcW w:type="dxa" w:w="2577"/>
            <w:vAlign w:val="center"/>
          </w:tcPr>
          <w:p>
            <w:r/>
            <w:r>
              <w:rPr>
                <w:b w:val="0"/>
                <w:sz w:val="15"/>
              </w:rPr>
              <w:t>1 Apr 2026</w:t>
            </w:r>
          </w:p>
        </w:tc>
        <w:tc>
          <w:tcPr>
            <w:tcW w:type="dxa" w:w="2577"/>
            <w:vAlign w:val="center"/>
          </w:tcPr>
          <w:p>
            <w:r/>
            <w:r>
              <w:rPr>
                <w:b w:val="0"/>
                <w:sz w:val="15"/>
              </w:rPr>
              <w:t>Revised data classification, privileged access, encryption, logging and incident escalation controls.</w:t>
            </w:r>
          </w:p>
        </w:tc>
        <w:tc>
          <w:tcPr>
            <w:tcW w:type="dxa" w:w="2577"/>
            <w:vAlign w:val="center"/>
          </w:tcPr>
          <w:p>
            <w:r/>
            <w:r>
              <w:rPr>
                <w:b w:val="0"/>
                <w:sz w:val="15"/>
              </w:rPr>
              <w:t>Board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Policy establishes Northstar Financial’s enterprise information-security requirements for protecting the confidentiality, integrity and availability of information and technology assets.</w:t>
      </w:r>
    </w:p>
    <w:p>
      <w:r>
        <w:t>Information security controls shall be proportionate to data sensitivity, system criticality and credible threat. Business urgency does not by itself justify bypassing security controls.</w:t>
      </w:r>
    </w:p>
    <w:p>
      <w:r>
        <w:t>This Policy defines minimum control outcomes. ACS-051 and SIR-052 may impose more restrictive operating requirements within their scope.</w:t>
      </w:r>
    </w:p>
    <w:p>
      <w:pPr>
        <w:pStyle w:val="Heading1"/>
      </w:pPr>
      <w:r>
        <w:t>2. Scope</w:t>
      </w:r>
    </w:p>
    <w:p>
      <w:r>
        <w:t>The Policy applies to employees, contractors, systems, applications, infrastructure, cloud services, endpoints, networks, information repositories and third parties that create, access, process, transmit or store Northstar information.</w:t>
      </w:r>
    </w:p>
    <w:p>
      <w:pPr>
        <w:pStyle w:val="ListBullet"/>
      </w:pPr>
      <w:r>
        <w:t>Production and non-production systems containing Northstar data.</w:t>
      </w:r>
    </w:p>
    <w:p>
      <w:pPr>
        <w:pStyle w:val="ListBullet"/>
      </w:pPr>
      <w:r>
        <w:t>Customer, employee, credit, AML/KYC, investment and compliance information.</w:t>
      </w:r>
    </w:p>
    <w:p>
      <w:pPr>
        <w:pStyle w:val="ListBullet"/>
      </w:pPr>
      <w:r>
        <w:t>Corporate endpoints, mobile devices and approved personal-device arrangements.</w:t>
      </w:r>
    </w:p>
    <w:p>
      <w:pPr>
        <w:pStyle w:val="ListBullet"/>
      </w:pPr>
      <w:r>
        <w:t>Third-party services and interfaces connected to Northstar systems.</w:t>
      </w:r>
    </w:p>
    <w:p>
      <w:pPr>
        <w:pStyle w:val="ListBullet"/>
      </w:pPr>
      <w:r>
        <w:t>Physical and electronic records where information-security controls are relevant.</w:t>
      </w:r>
    </w:p>
    <w:p>
      <w:pPr>
        <w:pStyle w:val="Heading1"/>
      </w:pPr>
      <w:r>
        <w:t>3. Security Principles</w:t>
      </w:r>
    </w:p>
    <w:p>
      <w:r>
        <w:t>Northstar applies defense in depth, least privilege, need-to-know, secure-by-default design, segregation of duties and auditable change.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Principle</w:t>
            </w:r>
          </w:p>
        </w:tc>
        <w:tc>
          <w:tcPr>
            <w:tcW w:type="dxa" w:w="5155"/>
            <w:vAlign w:val="center"/>
            <w:shd w:fill="17365D"/>
          </w:tcPr>
          <w:p>
            <w:r/>
            <w:r>
              <w:rPr>
                <w:b/>
                <w:color w:val="FFFFFF"/>
                <w:sz w:val="15"/>
              </w:rPr>
              <w:t>Control Expectation</w:t>
            </w:r>
          </w:p>
        </w:tc>
      </w:tr>
      <w:tr>
        <w:tc>
          <w:tcPr>
            <w:tcW w:type="dxa" w:w="5155"/>
            <w:vAlign w:val="center"/>
          </w:tcPr>
          <w:p>
            <w:r/>
            <w:r>
              <w:rPr>
                <w:b w:val="0"/>
                <w:sz w:val="15"/>
              </w:rPr>
              <w:t>Least privilege</w:t>
            </w:r>
          </w:p>
        </w:tc>
        <w:tc>
          <w:tcPr>
            <w:tcW w:type="dxa" w:w="5155"/>
            <w:vAlign w:val="center"/>
          </w:tcPr>
          <w:p>
            <w:r/>
            <w:r>
              <w:rPr>
                <w:b w:val="0"/>
                <w:sz w:val="15"/>
              </w:rPr>
              <w:t>Grant only access required for current role and approved task.</w:t>
            </w:r>
          </w:p>
        </w:tc>
      </w:tr>
      <w:tr>
        <w:tc>
          <w:tcPr>
            <w:tcW w:type="dxa" w:w="5155"/>
            <w:vAlign w:val="center"/>
          </w:tcPr>
          <w:p>
            <w:r/>
            <w:r>
              <w:rPr>
                <w:b w:val="0"/>
                <w:sz w:val="15"/>
              </w:rPr>
              <w:t>Need to know</w:t>
            </w:r>
          </w:p>
        </w:tc>
        <w:tc>
          <w:tcPr>
            <w:tcW w:type="dxa" w:w="5155"/>
            <w:vAlign w:val="center"/>
          </w:tcPr>
          <w:p>
            <w:r/>
            <w:r>
              <w:rPr>
                <w:b w:val="0"/>
                <w:sz w:val="15"/>
              </w:rPr>
              <w:t>Sensitive information is visible only to personnel with legitimate business need.</w:t>
            </w:r>
          </w:p>
        </w:tc>
      </w:tr>
      <w:tr>
        <w:tc>
          <w:tcPr>
            <w:tcW w:type="dxa" w:w="5155"/>
            <w:vAlign w:val="center"/>
          </w:tcPr>
          <w:p>
            <w:r/>
            <w:r>
              <w:rPr>
                <w:b w:val="0"/>
                <w:sz w:val="15"/>
              </w:rPr>
              <w:t>Segregation</w:t>
            </w:r>
          </w:p>
        </w:tc>
        <w:tc>
          <w:tcPr>
            <w:tcW w:type="dxa" w:w="5155"/>
            <w:vAlign w:val="center"/>
          </w:tcPr>
          <w:p>
            <w:r/>
            <w:r>
              <w:rPr>
                <w:b w:val="0"/>
                <w:sz w:val="15"/>
              </w:rPr>
              <w:t>Avoid incompatible access that allows initiation and approval of the same controlled action.</w:t>
            </w:r>
          </w:p>
        </w:tc>
      </w:tr>
      <w:tr>
        <w:tc>
          <w:tcPr>
            <w:tcW w:type="dxa" w:w="5155"/>
            <w:vAlign w:val="center"/>
          </w:tcPr>
          <w:p>
            <w:r/>
            <w:r>
              <w:rPr>
                <w:b w:val="0"/>
                <w:sz w:val="15"/>
              </w:rPr>
              <w:t>Defense in depth</w:t>
            </w:r>
          </w:p>
        </w:tc>
        <w:tc>
          <w:tcPr>
            <w:tcW w:type="dxa" w:w="5155"/>
            <w:vAlign w:val="center"/>
          </w:tcPr>
          <w:p>
            <w:r/>
            <w:r>
              <w:rPr>
                <w:b w:val="0"/>
                <w:sz w:val="15"/>
              </w:rPr>
              <w:t>Use multiple preventive, detective and recovery controls.</w:t>
            </w:r>
          </w:p>
        </w:tc>
      </w:tr>
      <w:tr>
        <w:tc>
          <w:tcPr>
            <w:tcW w:type="dxa" w:w="5155"/>
            <w:vAlign w:val="center"/>
          </w:tcPr>
          <w:p>
            <w:r/>
            <w:r>
              <w:rPr>
                <w:b w:val="0"/>
                <w:sz w:val="15"/>
              </w:rPr>
              <w:t>Secure by default</w:t>
            </w:r>
          </w:p>
        </w:tc>
        <w:tc>
          <w:tcPr>
            <w:tcW w:type="dxa" w:w="5155"/>
            <w:vAlign w:val="center"/>
          </w:tcPr>
          <w:p>
            <w:r/>
            <w:r>
              <w:rPr>
                <w:b w:val="0"/>
                <w:sz w:val="15"/>
              </w:rPr>
              <w:t>New systems and changes begin from restricted settings, not open settings.</w:t>
            </w:r>
          </w:p>
        </w:tc>
      </w:tr>
      <w:tr>
        <w:tc>
          <w:tcPr>
            <w:tcW w:type="dxa" w:w="5155"/>
            <w:vAlign w:val="center"/>
          </w:tcPr>
          <w:p>
            <w:r/>
            <w:r>
              <w:rPr>
                <w:b w:val="0"/>
                <w:sz w:val="15"/>
              </w:rPr>
              <w:t>Traceability</w:t>
            </w:r>
          </w:p>
        </w:tc>
        <w:tc>
          <w:tcPr>
            <w:tcW w:type="dxa" w:w="5155"/>
            <w:vAlign w:val="center"/>
          </w:tcPr>
          <w:p>
            <w:r/>
            <w:r>
              <w:rPr>
                <w:b w:val="0"/>
                <w:sz w:val="15"/>
              </w:rPr>
              <w:t>Material access, changes and security events shall be attributable to an identity.</w:t>
            </w:r>
          </w:p>
        </w:tc>
      </w:tr>
    </w:tbl>
    <w:p/>
    <w:p>
      <w:pPr>
        <w:pStyle w:val="Heading1"/>
      </w:pPr>
      <w:r>
        <w:t>4. Governance and Accountability</w:t>
      </w:r>
    </w:p>
    <w:p>
      <w:r>
        <w:t>The Board Risk Committee oversees information-security risk within RMF-008 and RAS-009. The CISO owns this Policy and provides independent security challenge to Technology and business owners.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Role</w:t>
            </w:r>
          </w:p>
        </w:tc>
        <w:tc>
          <w:tcPr>
            <w:tcW w:type="dxa" w:w="5155"/>
            <w:vAlign w:val="center"/>
            <w:shd w:fill="17365D"/>
          </w:tcPr>
          <w:p>
            <w:r/>
            <w:r>
              <w:rPr>
                <w:b/>
                <w:color w:val="FFFFFF"/>
                <w:sz w:val="15"/>
              </w:rPr>
              <w:t>Responsibility</w:t>
            </w:r>
          </w:p>
        </w:tc>
      </w:tr>
      <w:tr>
        <w:tc>
          <w:tcPr>
            <w:tcW w:type="dxa" w:w="5155"/>
            <w:vAlign w:val="center"/>
          </w:tcPr>
          <w:p>
            <w:r/>
            <w:r>
              <w:rPr>
                <w:b w:val="0"/>
                <w:sz w:val="15"/>
              </w:rPr>
              <w:t>Board Risk Committee</w:t>
            </w:r>
          </w:p>
        </w:tc>
        <w:tc>
          <w:tcPr>
            <w:tcW w:type="dxa" w:w="5155"/>
            <w:vAlign w:val="center"/>
          </w:tcPr>
          <w:p>
            <w:r/>
            <w:r>
              <w:rPr>
                <w:b w:val="0"/>
                <w:sz w:val="15"/>
              </w:rPr>
              <w:t>Approve policy, review material cyber risk and severe incidents.</w:t>
            </w:r>
          </w:p>
        </w:tc>
      </w:tr>
      <w:tr>
        <w:tc>
          <w:tcPr>
            <w:tcW w:type="dxa" w:w="5155"/>
            <w:vAlign w:val="center"/>
          </w:tcPr>
          <w:p>
            <w:r/>
            <w:r>
              <w:rPr>
                <w:b w:val="0"/>
                <w:sz w:val="15"/>
              </w:rPr>
              <w:t>Chief Information Security Officer</w:t>
            </w:r>
          </w:p>
        </w:tc>
        <w:tc>
          <w:tcPr>
            <w:tcW w:type="dxa" w:w="5155"/>
            <w:vAlign w:val="center"/>
          </w:tcPr>
          <w:p>
            <w:r/>
            <w:r>
              <w:rPr>
                <w:b w:val="0"/>
                <w:sz w:val="15"/>
              </w:rPr>
              <w:t>Policy owner, threat/control oversight, security risk acceptance recommendation.</w:t>
            </w:r>
          </w:p>
        </w:tc>
      </w:tr>
      <w:tr>
        <w:tc>
          <w:tcPr>
            <w:tcW w:type="dxa" w:w="5155"/>
            <w:vAlign w:val="center"/>
          </w:tcPr>
          <w:p>
            <w:r/>
            <w:r>
              <w:rPr>
                <w:b w:val="0"/>
                <w:sz w:val="15"/>
              </w:rPr>
              <w:t>Chief Technology Officer</w:t>
            </w:r>
          </w:p>
        </w:tc>
        <w:tc>
          <w:tcPr>
            <w:tcW w:type="dxa" w:w="5155"/>
            <w:vAlign w:val="center"/>
          </w:tcPr>
          <w:p>
            <w:r/>
            <w:r>
              <w:rPr>
                <w:b w:val="0"/>
                <w:sz w:val="15"/>
              </w:rPr>
              <w:t>Operate secure technology and remediation within approved standards.</w:t>
            </w:r>
          </w:p>
        </w:tc>
      </w:tr>
      <w:tr>
        <w:tc>
          <w:tcPr>
            <w:tcW w:type="dxa" w:w="5155"/>
            <w:vAlign w:val="center"/>
          </w:tcPr>
          <w:p>
            <w:r/>
            <w:r>
              <w:rPr>
                <w:b w:val="0"/>
                <w:sz w:val="15"/>
              </w:rPr>
              <w:t>Business/System Owner</w:t>
            </w:r>
          </w:p>
        </w:tc>
        <w:tc>
          <w:tcPr>
            <w:tcW w:type="dxa" w:w="5155"/>
            <w:vAlign w:val="center"/>
          </w:tcPr>
          <w:p>
            <w:r/>
            <w:r>
              <w:rPr>
                <w:b w:val="0"/>
                <w:sz w:val="15"/>
              </w:rPr>
              <w:t>Classify information, approve business access and own business impact.</w:t>
            </w:r>
          </w:p>
        </w:tc>
      </w:tr>
      <w:tr>
        <w:tc>
          <w:tcPr>
            <w:tcW w:type="dxa" w:w="5155"/>
            <w:vAlign w:val="center"/>
          </w:tcPr>
          <w:p>
            <w:r/>
            <w:r>
              <w:rPr>
                <w:b w:val="0"/>
                <w:sz w:val="15"/>
              </w:rPr>
              <w:t>Security Operations</w:t>
            </w:r>
          </w:p>
        </w:tc>
        <w:tc>
          <w:tcPr>
            <w:tcW w:type="dxa" w:w="5155"/>
            <w:vAlign w:val="center"/>
          </w:tcPr>
          <w:p>
            <w:r/>
            <w:r>
              <w:rPr>
                <w:b w:val="0"/>
                <w:sz w:val="15"/>
              </w:rPr>
              <w:t>Monitor events, triage incidents and coordinate containment.</w:t>
            </w:r>
          </w:p>
        </w:tc>
      </w:tr>
      <w:tr>
        <w:tc>
          <w:tcPr>
            <w:tcW w:type="dxa" w:w="5155"/>
            <w:vAlign w:val="center"/>
          </w:tcPr>
          <w:p>
            <w:r/>
            <w:r>
              <w:rPr>
                <w:b w:val="0"/>
                <w:sz w:val="15"/>
              </w:rPr>
              <w:t>Employees/Contractors</w:t>
            </w:r>
          </w:p>
        </w:tc>
        <w:tc>
          <w:tcPr>
            <w:tcW w:type="dxa" w:w="5155"/>
            <w:vAlign w:val="center"/>
          </w:tcPr>
          <w:p>
            <w:r/>
            <w:r>
              <w:rPr>
                <w:b w:val="0"/>
                <w:sz w:val="15"/>
              </w:rPr>
              <w:t>Protect credentials and information; promptly report suspicious activity.</w:t>
            </w:r>
          </w:p>
        </w:tc>
      </w:tr>
      <w:tr>
        <w:tc>
          <w:tcPr>
            <w:tcW w:type="dxa" w:w="5155"/>
            <w:vAlign w:val="center"/>
          </w:tcPr>
          <w:p>
            <w:r/>
            <w:r>
              <w:rPr>
                <w:b w:val="0"/>
                <w:sz w:val="15"/>
              </w:rPr>
              <w:t>Internal Audit</w:t>
            </w:r>
          </w:p>
        </w:tc>
        <w:tc>
          <w:tcPr>
            <w:tcW w:type="dxa" w:w="5155"/>
            <w:vAlign w:val="center"/>
          </w:tcPr>
          <w:p>
            <w:r/>
            <w:r>
              <w:rPr>
                <w:b w:val="0"/>
                <w:sz w:val="15"/>
              </w:rPr>
              <w:t>Independent assurance over design and effectiveness.</w:t>
            </w:r>
          </w:p>
        </w:tc>
      </w:tr>
    </w:tbl>
    <w:p/>
    <w:p>
      <w:pPr>
        <w:pStyle w:val="Heading1"/>
      </w:pPr>
      <w:r>
        <w:t>5. Information Asset Ownership</w:t>
      </w:r>
    </w:p>
    <w:p>
      <w:r>
        <w:t>Each material system, dataset and service shall have a named owner responsible for classification, access decisions, retention inputs and continuity requirements.</w:t>
      </w:r>
    </w:p>
    <w:p>
      <w:r>
        <w:t>Technical administrators may operate platforms but do not replace the accountable business or information owner. System entitlement does not create lending, investment, KYC, AML or compliance decision authority.</w:t>
      </w:r>
    </w:p>
    <w:p>
      <w:pPr>
        <w:pStyle w:val="Heading1"/>
      </w:pPr>
      <w:r>
        <w:t>6. Data Classification</w:t>
      </w:r>
    </w:p>
    <w:p>
      <w:r>
        <w:t>Northstar uses four internal information classifications.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Class</w:t>
            </w:r>
          </w:p>
        </w:tc>
        <w:tc>
          <w:tcPr>
            <w:tcW w:type="dxa" w:w="3437"/>
            <w:vAlign w:val="center"/>
            <w:shd w:fill="17365D"/>
          </w:tcPr>
          <w:p>
            <w:r/>
            <w:r>
              <w:rPr>
                <w:b/>
                <w:color w:val="FFFFFF"/>
                <w:sz w:val="15"/>
              </w:rPr>
              <w:t>Examples</w:t>
            </w:r>
          </w:p>
        </w:tc>
        <w:tc>
          <w:tcPr>
            <w:tcW w:type="dxa" w:w="3437"/>
            <w:vAlign w:val="center"/>
            <w:shd w:fill="17365D"/>
          </w:tcPr>
          <w:p>
            <w:r/>
            <w:r>
              <w:rPr>
                <w:b/>
                <w:color w:val="FFFFFF"/>
                <w:sz w:val="15"/>
              </w:rPr>
              <w:t>Minimum Handling</w:t>
            </w:r>
          </w:p>
        </w:tc>
      </w:tr>
      <w:tr>
        <w:tc>
          <w:tcPr>
            <w:tcW w:type="dxa" w:w="3437"/>
            <w:vAlign w:val="center"/>
          </w:tcPr>
          <w:p>
            <w:r/>
            <w:r>
              <w:rPr>
                <w:b w:val="0"/>
                <w:sz w:val="15"/>
              </w:rPr>
              <w:t>Public</w:t>
            </w:r>
          </w:p>
        </w:tc>
        <w:tc>
          <w:tcPr>
            <w:tcW w:type="dxa" w:w="3437"/>
            <w:vAlign w:val="center"/>
          </w:tcPr>
          <w:p>
            <w:r/>
            <w:r>
              <w:rPr>
                <w:b w:val="0"/>
                <w:sz w:val="15"/>
              </w:rPr>
              <w:t>Approved public website content, published recruitment material</w:t>
            </w:r>
          </w:p>
        </w:tc>
        <w:tc>
          <w:tcPr>
            <w:tcW w:type="dxa" w:w="3437"/>
            <w:vAlign w:val="center"/>
          </w:tcPr>
          <w:p>
            <w:r/>
            <w:r>
              <w:rPr>
                <w:b w:val="0"/>
                <w:sz w:val="15"/>
              </w:rPr>
              <w:t>May be shared externally after approved publication process.</w:t>
            </w:r>
          </w:p>
        </w:tc>
      </w:tr>
      <w:tr>
        <w:tc>
          <w:tcPr>
            <w:tcW w:type="dxa" w:w="3437"/>
            <w:vAlign w:val="center"/>
          </w:tcPr>
          <w:p>
            <w:r/>
            <w:r>
              <w:rPr>
                <w:b w:val="0"/>
                <w:sz w:val="15"/>
              </w:rPr>
              <w:t>Internal</w:t>
            </w:r>
          </w:p>
        </w:tc>
        <w:tc>
          <w:tcPr>
            <w:tcW w:type="dxa" w:w="3437"/>
            <w:vAlign w:val="center"/>
          </w:tcPr>
          <w:p>
            <w:r/>
            <w:r>
              <w:rPr>
                <w:b w:val="0"/>
                <w:sz w:val="15"/>
              </w:rPr>
              <w:t>Routine procedures, internal communications</w:t>
            </w:r>
          </w:p>
        </w:tc>
        <w:tc>
          <w:tcPr>
            <w:tcW w:type="dxa" w:w="3437"/>
            <w:vAlign w:val="center"/>
          </w:tcPr>
          <w:p>
            <w:r/>
            <w:r>
              <w:rPr>
                <w:b w:val="0"/>
                <w:sz w:val="15"/>
              </w:rPr>
              <w:t>Northstar workforce/approved parties; avoid uncontrolled public sharing.</w:t>
            </w:r>
          </w:p>
        </w:tc>
      </w:tr>
      <w:tr>
        <w:tc>
          <w:tcPr>
            <w:tcW w:type="dxa" w:w="3437"/>
            <w:vAlign w:val="center"/>
          </w:tcPr>
          <w:p>
            <w:r/>
            <w:r>
              <w:rPr>
                <w:b w:val="0"/>
                <w:sz w:val="15"/>
              </w:rPr>
              <w:t>Confidential</w:t>
            </w:r>
          </w:p>
        </w:tc>
        <w:tc>
          <w:tcPr>
            <w:tcW w:type="dxa" w:w="3437"/>
            <w:vAlign w:val="center"/>
          </w:tcPr>
          <w:p>
            <w:r/>
            <w:r>
              <w:rPr>
                <w:b w:val="0"/>
                <w:sz w:val="15"/>
              </w:rPr>
              <w:t>Customer data, financial results, internal risk reports, contracts</w:t>
            </w:r>
          </w:p>
        </w:tc>
        <w:tc>
          <w:tcPr>
            <w:tcW w:type="dxa" w:w="3437"/>
            <w:vAlign w:val="center"/>
          </w:tcPr>
          <w:p>
            <w:r/>
            <w:r>
              <w:rPr>
                <w:b w:val="0"/>
                <w:sz w:val="15"/>
              </w:rPr>
              <w:t>Role-based access; approved encrypted transmission; controlled sharing.</w:t>
            </w:r>
          </w:p>
        </w:tc>
      </w:tr>
      <w:tr>
        <w:tc>
          <w:tcPr>
            <w:tcW w:type="dxa" w:w="3437"/>
            <w:vAlign w:val="center"/>
          </w:tcPr>
          <w:p>
            <w:r/>
            <w:r>
              <w:rPr>
                <w:b w:val="0"/>
                <w:sz w:val="15"/>
              </w:rPr>
              <w:t>Restricted</w:t>
            </w:r>
          </w:p>
        </w:tc>
        <w:tc>
          <w:tcPr>
            <w:tcW w:type="dxa" w:w="3437"/>
            <w:vAlign w:val="center"/>
          </w:tcPr>
          <w:p>
            <w:r/>
            <w:r>
              <w:rPr>
                <w:b w:val="0"/>
                <w:sz w:val="15"/>
              </w:rPr>
              <w:t>Authentication secrets, sensitive investigations, full customer identity packs, encryption keys, high-impact security data</w:t>
            </w:r>
          </w:p>
        </w:tc>
        <w:tc>
          <w:tcPr>
            <w:tcW w:type="dxa" w:w="3437"/>
            <w:vAlign w:val="center"/>
          </w:tcPr>
          <w:p>
            <w:r/>
            <w:r>
              <w:rPr>
                <w:b w:val="0"/>
                <w:sz w:val="15"/>
              </w:rPr>
              <w:t>Strict need-to-know; strong access control; enhanced logging; approved secure storage/transmission.</w:t>
            </w:r>
          </w:p>
        </w:tc>
      </w:tr>
    </w:tbl>
    <w:p/>
    <w:p>
      <w:pPr>
        <w:pStyle w:val="Heading1"/>
      </w:pPr>
      <w:r>
        <w:t>7. Customer and Personal Information</w:t>
      </w:r>
    </w:p>
    <w:p>
      <w:r>
        <w:t>Customer identity, account, credit, KYC/AML and transaction information shall be treated as Confidential at minimum; designated identity packs, authentication data and sensitive investigations may be Restricted.</w:t>
      </w:r>
    </w:p>
    <w:p>
      <w:pPr>
        <w:pStyle w:val="ListBullet"/>
      </w:pPr>
      <w:r>
        <w:t>Do not copy customer information to personal email, consumer file-sharing services or unapproved messaging applications.</w:t>
      </w:r>
    </w:p>
    <w:p>
      <w:pPr>
        <w:pStyle w:val="ListBullet"/>
      </w:pPr>
      <w:r>
        <w:t>Mask or minimize sensitive data in test, training and support environments where full values are unnecessary.</w:t>
      </w:r>
    </w:p>
    <w:p>
      <w:pPr>
        <w:pStyle w:val="ListBullet"/>
      </w:pPr>
      <w:r>
        <w:t>Use approved secure channels for customer documents and internal transfer.</w:t>
      </w:r>
    </w:p>
    <w:p>
      <w:pPr>
        <w:pStyle w:val="ListBullet"/>
      </w:pPr>
      <w:r>
        <w:t>Apply access controls based on job role and case assignment where practical.</w:t>
      </w:r>
    </w:p>
    <w:p>
      <w:pPr>
        <w:pStyle w:val="Heading1"/>
      </w:pPr>
      <w:r>
        <w:t>8. Access Control</w:t>
      </w:r>
    </w:p>
    <w:p>
      <w:r>
        <w:t>Access shall be approved, uniquely attributable and periodically reviewed under ACS-051.</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Access Type</w:t>
            </w:r>
          </w:p>
        </w:tc>
        <w:tc>
          <w:tcPr>
            <w:tcW w:type="dxa" w:w="5155"/>
            <w:vAlign w:val="center"/>
            <w:shd w:fill="17365D"/>
          </w:tcPr>
          <w:p>
            <w:r/>
            <w:r>
              <w:rPr>
                <w:b/>
                <w:color w:val="FFFFFF"/>
                <w:sz w:val="15"/>
              </w:rPr>
              <w:t>Policy Position</w:t>
            </w:r>
          </w:p>
        </w:tc>
      </w:tr>
      <w:tr>
        <w:tc>
          <w:tcPr>
            <w:tcW w:type="dxa" w:w="5155"/>
            <w:vAlign w:val="center"/>
          </w:tcPr>
          <w:p>
            <w:r/>
            <w:r>
              <w:rPr>
                <w:b w:val="0"/>
                <w:sz w:val="15"/>
              </w:rPr>
              <w:t>Standard workforce access</w:t>
            </w:r>
          </w:p>
        </w:tc>
        <w:tc>
          <w:tcPr>
            <w:tcW w:type="dxa" w:w="5155"/>
            <w:vAlign w:val="center"/>
          </w:tcPr>
          <w:p>
            <w:r/>
            <w:r>
              <w:rPr>
                <w:b w:val="0"/>
                <w:sz w:val="15"/>
              </w:rPr>
              <w:t>Role-based and approved by manager/system owner as defined.</w:t>
            </w:r>
          </w:p>
        </w:tc>
      </w:tr>
      <w:tr>
        <w:tc>
          <w:tcPr>
            <w:tcW w:type="dxa" w:w="5155"/>
            <w:vAlign w:val="center"/>
          </w:tcPr>
          <w:p>
            <w:r/>
            <w:r>
              <w:rPr>
                <w:b w:val="0"/>
                <w:sz w:val="15"/>
              </w:rPr>
              <w:t>Privileged access</w:t>
            </w:r>
          </w:p>
        </w:tc>
        <w:tc>
          <w:tcPr>
            <w:tcW w:type="dxa" w:w="5155"/>
            <w:vAlign w:val="center"/>
          </w:tcPr>
          <w:p>
            <w:r/>
            <w:r>
              <w:rPr>
                <w:b w:val="0"/>
                <w:sz w:val="15"/>
              </w:rPr>
              <w:t>Separate privileged identity where feasible; stronger authentication and logging.</w:t>
            </w:r>
          </w:p>
        </w:tc>
      </w:tr>
      <w:tr>
        <w:tc>
          <w:tcPr>
            <w:tcW w:type="dxa" w:w="5155"/>
            <w:vAlign w:val="center"/>
          </w:tcPr>
          <w:p>
            <w:r/>
            <w:r>
              <w:rPr>
                <w:b w:val="0"/>
                <w:sz w:val="15"/>
              </w:rPr>
              <w:t>Third-party access</w:t>
            </w:r>
          </w:p>
        </w:tc>
        <w:tc>
          <w:tcPr>
            <w:tcW w:type="dxa" w:w="5155"/>
            <w:vAlign w:val="center"/>
          </w:tcPr>
          <w:p>
            <w:r/>
            <w:r>
              <w:rPr>
                <w:b w:val="0"/>
                <w:sz w:val="15"/>
              </w:rPr>
              <w:t>Time-bound, sponsored and restricted to contracted purpose.</w:t>
            </w:r>
          </w:p>
        </w:tc>
      </w:tr>
      <w:tr>
        <w:tc>
          <w:tcPr>
            <w:tcW w:type="dxa" w:w="5155"/>
            <w:vAlign w:val="center"/>
          </w:tcPr>
          <w:p>
            <w:r/>
            <w:r>
              <w:rPr>
                <w:b w:val="0"/>
                <w:sz w:val="15"/>
              </w:rPr>
              <w:t>Emergency access</w:t>
            </w:r>
          </w:p>
        </w:tc>
        <w:tc>
          <w:tcPr>
            <w:tcW w:type="dxa" w:w="5155"/>
            <w:vAlign w:val="center"/>
          </w:tcPr>
          <w:p>
            <w:r/>
            <w:r>
              <w:rPr>
                <w:b w:val="0"/>
                <w:sz w:val="15"/>
              </w:rPr>
              <w:t>Controlled break-glass process with after-the-fact review.</w:t>
            </w:r>
          </w:p>
        </w:tc>
      </w:tr>
      <w:tr>
        <w:tc>
          <w:tcPr>
            <w:tcW w:type="dxa" w:w="5155"/>
            <w:vAlign w:val="center"/>
          </w:tcPr>
          <w:p>
            <w:r/>
            <w:r>
              <w:rPr>
                <w:b w:val="0"/>
                <w:sz w:val="15"/>
              </w:rPr>
              <w:t>Service accounts</w:t>
            </w:r>
          </w:p>
        </w:tc>
        <w:tc>
          <w:tcPr>
            <w:tcW w:type="dxa" w:w="5155"/>
            <w:vAlign w:val="center"/>
          </w:tcPr>
          <w:p>
            <w:r/>
            <w:r>
              <w:rPr>
                <w:b w:val="0"/>
                <w:sz w:val="15"/>
              </w:rPr>
              <w:t>Non-interactive use where practicable; vaulted secrets and accountable owner.</w:t>
            </w:r>
          </w:p>
        </w:tc>
      </w:tr>
    </w:tbl>
    <w:p/>
    <w:p>
      <w:pPr>
        <w:pStyle w:val="Heading1"/>
      </w:pPr>
      <w:r>
        <w:t>9. Authentication and MFA</w:t>
      </w:r>
    </w:p>
    <w:p>
      <w:r>
        <w:t>Multi-factor authentication is mandatory for remote access, privileged administrative access and designated high-risk applications. Passwords and secrets shall meet ACS-051 requirements and shall not be shared.</w:t>
      </w:r>
    </w:p>
    <w:p>
      <w:r>
        <w:t>ISP-014 v1.7 permitted selected legacy administrative tools under compensating controls without MFA. Version 2.0 removes that general allowance; any temporary exception requires CISO-approved migration plan and expiry.</w:t>
      </w:r>
    </w:p>
    <w:p>
      <w:pPr>
        <w:pStyle w:val="Heading1"/>
      </w:pPr>
      <w:r>
        <w:t>10. Privileged Access Management</w:t>
      </w:r>
    </w:p>
    <w:p>
      <w:r>
        <w:t>Privileged rights shall be limited to named administrators or controlled service identities. Standing privilege shall be reduced where technically feasible.</w:t>
      </w:r>
    </w:p>
    <w:p>
      <w:pPr>
        <w:pStyle w:val="ListBullet"/>
      </w:pPr>
      <w:r>
        <w:t>Separate day-to-day user and administrative identities for high-impact environments.</w:t>
      </w:r>
    </w:p>
    <w:p>
      <w:pPr>
        <w:pStyle w:val="ListBullet"/>
      </w:pPr>
      <w:r>
        <w:t>Record privileged sessions or enhanced command/activity logs where supported.</w:t>
      </w:r>
    </w:p>
    <w:p>
      <w:pPr>
        <w:pStyle w:val="ListBullet"/>
      </w:pPr>
      <w:r>
        <w:t>Review emergency privilege after use.</w:t>
      </w:r>
    </w:p>
    <w:p>
      <w:pPr>
        <w:pStyle w:val="ListBullet"/>
      </w:pPr>
      <w:r>
        <w:t>Do not use shared generic administrator credentials except controlled technical accounts with vaulting and attribution.</w:t>
      </w:r>
    </w:p>
    <w:p>
      <w:pPr>
        <w:pStyle w:val="Heading1"/>
      </w:pPr>
      <w:r>
        <w:t>11. Endpoint Security</w:t>
      </w:r>
    </w:p>
    <w:p>
      <w:r>
        <w:t>Northstar-managed endpoints shall use approved security configuration, malware protection, disk encryption where required, centralized patching and security monitoring.</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Control</w:t>
            </w:r>
          </w:p>
        </w:tc>
        <w:tc>
          <w:tcPr>
            <w:tcW w:type="dxa" w:w="5155"/>
            <w:vAlign w:val="center"/>
            <w:shd w:fill="17365D"/>
          </w:tcPr>
          <w:p>
            <w:r/>
            <w:r>
              <w:rPr>
                <w:b/>
                <w:color w:val="FFFFFF"/>
                <w:sz w:val="15"/>
              </w:rPr>
              <w:t>Minimum Requirement</w:t>
            </w:r>
          </w:p>
        </w:tc>
      </w:tr>
      <w:tr>
        <w:tc>
          <w:tcPr>
            <w:tcW w:type="dxa" w:w="5155"/>
            <w:vAlign w:val="center"/>
          </w:tcPr>
          <w:p>
            <w:r/>
            <w:r>
              <w:rPr>
                <w:b w:val="0"/>
                <w:sz w:val="15"/>
              </w:rPr>
              <w:t>Disk encryption</w:t>
            </w:r>
          </w:p>
        </w:tc>
        <w:tc>
          <w:tcPr>
            <w:tcW w:type="dxa" w:w="5155"/>
            <w:vAlign w:val="center"/>
          </w:tcPr>
          <w:p>
            <w:r/>
            <w:r>
              <w:rPr>
                <w:b w:val="0"/>
                <w:sz w:val="15"/>
              </w:rPr>
              <w:t>Required for corporate laptops storing or accessing Confidential/Restricted information.</w:t>
            </w:r>
          </w:p>
        </w:tc>
      </w:tr>
      <w:tr>
        <w:tc>
          <w:tcPr>
            <w:tcW w:type="dxa" w:w="5155"/>
            <w:vAlign w:val="center"/>
          </w:tcPr>
          <w:p>
            <w:r/>
            <w:r>
              <w:rPr>
                <w:b w:val="0"/>
                <w:sz w:val="15"/>
              </w:rPr>
              <w:t>Screen lock</w:t>
            </w:r>
          </w:p>
        </w:tc>
        <w:tc>
          <w:tcPr>
            <w:tcW w:type="dxa" w:w="5155"/>
            <w:vAlign w:val="center"/>
          </w:tcPr>
          <w:p>
            <w:r/>
            <w:r>
              <w:rPr>
                <w:b w:val="0"/>
                <w:sz w:val="15"/>
              </w:rPr>
              <w:t>Automatic lock after approved inactivity period; user re-authentication required.</w:t>
            </w:r>
          </w:p>
        </w:tc>
      </w:tr>
      <w:tr>
        <w:tc>
          <w:tcPr>
            <w:tcW w:type="dxa" w:w="5155"/>
            <w:vAlign w:val="center"/>
          </w:tcPr>
          <w:p>
            <w:r/>
            <w:r>
              <w:rPr>
                <w:b w:val="0"/>
                <w:sz w:val="15"/>
              </w:rPr>
              <w:t>Local admin</w:t>
            </w:r>
          </w:p>
        </w:tc>
        <w:tc>
          <w:tcPr>
            <w:tcW w:type="dxa" w:w="5155"/>
            <w:vAlign w:val="center"/>
          </w:tcPr>
          <w:p>
            <w:r/>
            <w:r>
              <w:rPr>
                <w:b w:val="0"/>
                <w:sz w:val="15"/>
              </w:rPr>
              <w:t>Not granted by default; documented exception where needed.</w:t>
            </w:r>
          </w:p>
        </w:tc>
      </w:tr>
      <w:tr>
        <w:tc>
          <w:tcPr>
            <w:tcW w:type="dxa" w:w="5155"/>
            <w:vAlign w:val="center"/>
          </w:tcPr>
          <w:p>
            <w:r/>
            <w:r>
              <w:rPr>
                <w:b w:val="0"/>
                <w:sz w:val="15"/>
              </w:rPr>
              <w:t>Removable media</w:t>
            </w:r>
          </w:p>
        </w:tc>
        <w:tc>
          <w:tcPr>
            <w:tcW w:type="dxa" w:w="5155"/>
            <w:vAlign w:val="center"/>
          </w:tcPr>
          <w:p>
            <w:r/>
            <w:r>
              <w:rPr>
                <w:b w:val="0"/>
                <w:sz w:val="15"/>
              </w:rPr>
              <w:t>Restricted; encrypted approved media only for authorized business need.</w:t>
            </w:r>
          </w:p>
        </w:tc>
      </w:tr>
      <w:tr>
        <w:tc>
          <w:tcPr>
            <w:tcW w:type="dxa" w:w="5155"/>
            <w:vAlign w:val="center"/>
          </w:tcPr>
          <w:p>
            <w:r/>
            <w:r>
              <w:rPr>
                <w:b w:val="0"/>
                <w:sz w:val="15"/>
              </w:rPr>
              <w:t>Security agent</w:t>
            </w:r>
          </w:p>
        </w:tc>
        <w:tc>
          <w:tcPr>
            <w:tcW w:type="dxa" w:w="5155"/>
            <w:vAlign w:val="center"/>
          </w:tcPr>
          <w:p>
            <w:r/>
            <w:r>
              <w:rPr>
                <w:b w:val="0"/>
                <w:sz w:val="15"/>
              </w:rPr>
              <w:t>Required and tamper-protected on supported managed endpoints.</w:t>
            </w:r>
          </w:p>
        </w:tc>
      </w:tr>
    </w:tbl>
    <w:p/>
    <w:p>
      <w:pPr>
        <w:pStyle w:val="Heading1"/>
      </w:pPr>
      <w:r>
        <w:t>12. Mobile Devices and Personal Devices</w:t>
      </w:r>
    </w:p>
    <w:p>
      <w:r>
        <w:t>Access from mobile or personal devices is permitted only through approved controls and services. Restricted data shall not be locally stored on unmanaged devices unless explicitly approved.</w:t>
      </w:r>
    </w:p>
    <w:p>
      <w:r>
        <w:t>A more restrictive product or department rule may prohibit personal devices entirely. Such a restriction does not conflict with this Policy.</w:t>
      </w:r>
    </w:p>
    <w:p>
      <w:pPr>
        <w:pStyle w:val="Heading1"/>
      </w:pPr>
      <w:r>
        <w:t>13. Encryption</w:t>
      </w:r>
    </w:p>
    <w:p>
      <w:r>
        <w:t>Confidential and Restricted information shall be encrypted in transit over untrusted networks and at rest where risk and platform capability require it.</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Use Case</w:t>
            </w:r>
          </w:p>
        </w:tc>
        <w:tc>
          <w:tcPr>
            <w:tcW w:type="dxa" w:w="5155"/>
            <w:vAlign w:val="center"/>
            <w:shd w:fill="17365D"/>
          </w:tcPr>
          <w:p>
            <w:r/>
            <w:r>
              <w:rPr>
                <w:b/>
                <w:color w:val="FFFFFF"/>
                <w:sz w:val="15"/>
              </w:rPr>
              <w:t>Requirement</w:t>
            </w:r>
          </w:p>
        </w:tc>
      </w:tr>
      <w:tr>
        <w:tc>
          <w:tcPr>
            <w:tcW w:type="dxa" w:w="5155"/>
            <w:vAlign w:val="center"/>
          </w:tcPr>
          <w:p>
            <w:r/>
            <w:r>
              <w:rPr>
                <w:b w:val="0"/>
                <w:sz w:val="15"/>
              </w:rPr>
              <w:t>External transmission of Confidential data</w:t>
            </w:r>
          </w:p>
        </w:tc>
        <w:tc>
          <w:tcPr>
            <w:tcW w:type="dxa" w:w="5155"/>
            <w:vAlign w:val="center"/>
          </w:tcPr>
          <w:p>
            <w:r/>
            <w:r>
              <w:rPr>
                <w:b w:val="0"/>
                <w:sz w:val="15"/>
              </w:rPr>
              <w:t>Approved encrypted transport or secure portal.</w:t>
            </w:r>
          </w:p>
        </w:tc>
      </w:tr>
      <w:tr>
        <w:tc>
          <w:tcPr>
            <w:tcW w:type="dxa" w:w="5155"/>
            <w:vAlign w:val="center"/>
          </w:tcPr>
          <w:p>
            <w:r/>
            <w:r>
              <w:rPr>
                <w:b w:val="0"/>
                <w:sz w:val="15"/>
              </w:rPr>
              <w:t>Restricted data at rest</w:t>
            </w:r>
          </w:p>
        </w:tc>
        <w:tc>
          <w:tcPr>
            <w:tcW w:type="dxa" w:w="5155"/>
            <w:vAlign w:val="center"/>
          </w:tcPr>
          <w:p>
            <w:r/>
            <w:r>
              <w:rPr>
                <w:b w:val="0"/>
                <w:sz w:val="15"/>
              </w:rPr>
              <w:t>Approved strong encryption with managed keys.</w:t>
            </w:r>
          </w:p>
        </w:tc>
      </w:tr>
      <w:tr>
        <w:tc>
          <w:tcPr>
            <w:tcW w:type="dxa" w:w="5155"/>
            <w:vAlign w:val="center"/>
          </w:tcPr>
          <w:p>
            <w:r/>
            <w:r>
              <w:rPr>
                <w:b w:val="0"/>
                <w:sz w:val="15"/>
              </w:rPr>
              <w:t>Backups containing Confidential/Restricted data</w:t>
            </w:r>
          </w:p>
        </w:tc>
        <w:tc>
          <w:tcPr>
            <w:tcW w:type="dxa" w:w="5155"/>
            <w:vAlign w:val="center"/>
          </w:tcPr>
          <w:p>
            <w:r/>
            <w:r>
              <w:rPr>
                <w:b w:val="0"/>
                <w:sz w:val="15"/>
              </w:rPr>
              <w:t>Encryption and controlled key access.</w:t>
            </w:r>
          </w:p>
        </w:tc>
      </w:tr>
      <w:tr>
        <w:tc>
          <w:tcPr>
            <w:tcW w:type="dxa" w:w="5155"/>
            <w:vAlign w:val="center"/>
          </w:tcPr>
          <w:p>
            <w:r/>
            <w:r>
              <w:rPr>
                <w:b w:val="0"/>
                <w:sz w:val="15"/>
              </w:rPr>
              <w:t>Credentials / secrets</w:t>
            </w:r>
          </w:p>
        </w:tc>
        <w:tc>
          <w:tcPr>
            <w:tcW w:type="dxa" w:w="5155"/>
            <w:vAlign w:val="center"/>
          </w:tcPr>
          <w:p>
            <w:r/>
            <w:r>
              <w:rPr>
                <w:b w:val="0"/>
                <w:sz w:val="15"/>
              </w:rPr>
              <w:t>Do not store in plaintext documents, code repositories or tickets.</w:t>
            </w:r>
          </w:p>
        </w:tc>
      </w:tr>
      <w:tr>
        <w:tc>
          <w:tcPr>
            <w:tcW w:type="dxa" w:w="5155"/>
            <w:vAlign w:val="center"/>
          </w:tcPr>
          <w:p>
            <w:r/>
            <w:r>
              <w:rPr>
                <w:b w:val="0"/>
                <w:sz w:val="15"/>
              </w:rPr>
              <w:t>Encryption keys</w:t>
            </w:r>
          </w:p>
        </w:tc>
        <w:tc>
          <w:tcPr>
            <w:tcW w:type="dxa" w:w="5155"/>
            <w:vAlign w:val="center"/>
          </w:tcPr>
          <w:p>
            <w:r/>
            <w:r>
              <w:rPr>
                <w:b w:val="0"/>
                <w:sz w:val="15"/>
              </w:rPr>
              <w:t>Restricted classification; access separated from ordinary application administration where practicable.</w:t>
            </w:r>
          </w:p>
        </w:tc>
      </w:tr>
    </w:tbl>
    <w:p/>
    <w:p>
      <w:pPr>
        <w:pStyle w:val="Heading1"/>
      </w:pPr>
      <w:r>
        <w:t>14. Key and Secret Management</w:t>
      </w:r>
    </w:p>
    <w:p>
      <w:r>
        <w:t>Cryptographic keys, API secrets, service passwords and certificates shall be inventoried, protected and rotated based on sensitivity and technical capability.</w:t>
      </w:r>
    </w:p>
    <w:p>
      <w:r>
        <w:t>Emergency secret rotation is required following credible exposure. Historical locally stored service passwords identified during migration shall be tracked as remediation items rather than silently treated as compliant.</w:t>
      </w:r>
    </w:p>
    <w:p>
      <w:pPr>
        <w:pStyle w:val="Heading1"/>
      </w:pPr>
      <w:r>
        <w:t>15. Network Security</w:t>
      </w:r>
    </w:p>
    <w:p>
      <w:r>
        <w:t>Networks shall be segmented according to system criticality and exposure. Internet-facing services, user networks, administrative paths and sensitive data environments shall not be treated as one trust zone.</w:t>
      </w:r>
    </w:p>
    <w:p>
      <w:pPr>
        <w:pStyle w:val="ListBullet"/>
      </w:pPr>
      <w:r>
        <w:t>Restrict inbound and outbound connections to approved business need.</w:t>
      </w:r>
    </w:p>
    <w:p>
      <w:pPr>
        <w:pStyle w:val="ListBullet"/>
      </w:pPr>
      <w:r>
        <w:t>Use monitored security gateways for external connectivity.</w:t>
      </w:r>
    </w:p>
    <w:p>
      <w:pPr>
        <w:pStyle w:val="ListBullet"/>
      </w:pPr>
      <w:r>
        <w:t>Review firewall and network-security rules periodically.</w:t>
      </w:r>
    </w:p>
    <w:p>
      <w:pPr>
        <w:pStyle w:val="ListBullet"/>
      </w:pPr>
      <w:r>
        <w:t>Do not expose administrative interfaces directly to the public internet without approved protective controls.</w:t>
      </w:r>
    </w:p>
    <w:p>
      <w:pPr>
        <w:pStyle w:val="Heading1"/>
      </w:pPr>
      <w:r>
        <w:t>16. Application Security</w:t>
      </w:r>
    </w:p>
    <w:p>
      <w:r>
        <w:t>Applications shall be designed and changed using secure development and change controls appropriate to their risk.</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Lifecycle Point</w:t>
            </w:r>
          </w:p>
        </w:tc>
        <w:tc>
          <w:tcPr>
            <w:tcW w:type="dxa" w:w="5155"/>
            <w:vAlign w:val="center"/>
            <w:shd w:fill="17365D"/>
          </w:tcPr>
          <w:p>
            <w:r/>
            <w:r>
              <w:rPr>
                <w:b/>
                <w:color w:val="FFFFFF"/>
                <w:sz w:val="15"/>
              </w:rPr>
              <w:t>Expectation</w:t>
            </w:r>
          </w:p>
        </w:tc>
      </w:tr>
      <w:tr>
        <w:tc>
          <w:tcPr>
            <w:tcW w:type="dxa" w:w="5155"/>
            <w:vAlign w:val="center"/>
          </w:tcPr>
          <w:p>
            <w:r/>
            <w:r>
              <w:rPr>
                <w:b w:val="0"/>
                <w:sz w:val="15"/>
              </w:rPr>
              <w:t>Design</w:t>
            </w:r>
          </w:p>
        </w:tc>
        <w:tc>
          <w:tcPr>
            <w:tcW w:type="dxa" w:w="5155"/>
            <w:vAlign w:val="center"/>
          </w:tcPr>
          <w:p>
            <w:r/>
            <w:r>
              <w:rPr>
                <w:b w:val="0"/>
                <w:sz w:val="15"/>
              </w:rPr>
              <w:t>Security requirements and threat considerations for material systems.</w:t>
            </w:r>
          </w:p>
        </w:tc>
      </w:tr>
      <w:tr>
        <w:tc>
          <w:tcPr>
            <w:tcW w:type="dxa" w:w="5155"/>
            <w:vAlign w:val="center"/>
          </w:tcPr>
          <w:p>
            <w:r/>
            <w:r>
              <w:rPr>
                <w:b w:val="0"/>
                <w:sz w:val="15"/>
              </w:rPr>
              <w:t>Build</w:t>
            </w:r>
          </w:p>
        </w:tc>
        <w:tc>
          <w:tcPr>
            <w:tcW w:type="dxa" w:w="5155"/>
            <w:vAlign w:val="center"/>
          </w:tcPr>
          <w:p>
            <w:r/>
            <w:r>
              <w:rPr>
                <w:b w:val="0"/>
                <w:sz w:val="15"/>
              </w:rPr>
              <w:t>Approved code repositories and dependency controls.</w:t>
            </w:r>
          </w:p>
        </w:tc>
      </w:tr>
      <w:tr>
        <w:tc>
          <w:tcPr>
            <w:tcW w:type="dxa" w:w="5155"/>
            <w:vAlign w:val="center"/>
          </w:tcPr>
          <w:p>
            <w:r/>
            <w:r>
              <w:rPr>
                <w:b w:val="0"/>
                <w:sz w:val="15"/>
              </w:rPr>
              <w:t>Test</w:t>
            </w:r>
          </w:p>
        </w:tc>
        <w:tc>
          <w:tcPr>
            <w:tcW w:type="dxa" w:w="5155"/>
            <w:vAlign w:val="center"/>
          </w:tcPr>
          <w:p>
            <w:r/>
            <w:r>
              <w:rPr>
                <w:b w:val="0"/>
                <w:sz w:val="15"/>
              </w:rPr>
              <w:t>Security testing proportionate to exposure and criticality.</w:t>
            </w:r>
          </w:p>
        </w:tc>
      </w:tr>
      <w:tr>
        <w:tc>
          <w:tcPr>
            <w:tcW w:type="dxa" w:w="5155"/>
            <w:vAlign w:val="center"/>
          </w:tcPr>
          <w:p>
            <w:r/>
            <w:r>
              <w:rPr>
                <w:b w:val="0"/>
                <w:sz w:val="15"/>
              </w:rPr>
              <w:t>Release</w:t>
            </w:r>
          </w:p>
        </w:tc>
        <w:tc>
          <w:tcPr>
            <w:tcW w:type="dxa" w:w="5155"/>
            <w:vAlign w:val="center"/>
          </w:tcPr>
          <w:p>
            <w:r/>
            <w:r>
              <w:rPr>
                <w:b w:val="0"/>
                <w:sz w:val="15"/>
              </w:rPr>
              <w:t>Authorized change with rollback/monitoring plan.</w:t>
            </w:r>
          </w:p>
        </w:tc>
      </w:tr>
      <w:tr>
        <w:tc>
          <w:tcPr>
            <w:tcW w:type="dxa" w:w="5155"/>
            <w:vAlign w:val="center"/>
          </w:tcPr>
          <w:p>
            <w:r/>
            <w:r>
              <w:rPr>
                <w:b w:val="0"/>
                <w:sz w:val="15"/>
              </w:rPr>
              <w:t>Operate</w:t>
            </w:r>
          </w:p>
        </w:tc>
        <w:tc>
          <w:tcPr>
            <w:tcW w:type="dxa" w:w="5155"/>
            <w:vAlign w:val="center"/>
          </w:tcPr>
          <w:p>
            <w:r/>
            <w:r>
              <w:rPr>
                <w:b w:val="0"/>
                <w:sz w:val="15"/>
              </w:rPr>
              <w:t>Vulnerability, logging, access and incident controls.</w:t>
            </w:r>
          </w:p>
        </w:tc>
      </w:tr>
      <w:tr>
        <w:tc>
          <w:tcPr>
            <w:tcW w:type="dxa" w:w="5155"/>
            <w:vAlign w:val="center"/>
          </w:tcPr>
          <w:p>
            <w:r/>
            <w:r>
              <w:rPr>
                <w:b w:val="0"/>
                <w:sz w:val="15"/>
              </w:rPr>
              <w:t>Retire</w:t>
            </w:r>
          </w:p>
        </w:tc>
        <w:tc>
          <w:tcPr>
            <w:tcW w:type="dxa" w:w="5155"/>
            <w:vAlign w:val="center"/>
          </w:tcPr>
          <w:p>
            <w:r/>
            <w:r>
              <w:rPr>
                <w:b w:val="0"/>
                <w:sz w:val="15"/>
              </w:rPr>
              <w:t>Disable access, archive/retain data appropriately and remove unsupported components.</w:t>
            </w:r>
          </w:p>
        </w:tc>
      </w:tr>
    </w:tbl>
    <w:p/>
    <w:p>
      <w:pPr>
        <w:pStyle w:val="Heading1"/>
      </w:pPr>
      <w:r>
        <w:t>17. Cloud Services</w:t>
      </w:r>
    </w:p>
    <w:p>
      <w:r>
        <w:t>Cloud use requires approved architecture, data classification, identity integration, logging and contractual/vendor controls.</w:t>
      </w:r>
    </w:p>
    <w:p>
      <w:pPr>
        <w:pStyle w:val="ListBullet"/>
      </w:pPr>
      <w:r>
        <w:t>Do not create unsanctioned cloud storage for business data.</w:t>
      </w:r>
    </w:p>
    <w:p>
      <w:pPr>
        <w:pStyle w:val="ListBullet"/>
      </w:pPr>
      <w:r>
        <w:t>Restrict public storage exposure by default.</w:t>
      </w:r>
    </w:p>
    <w:p>
      <w:pPr>
        <w:pStyle w:val="ListBullet"/>
      </w:pPr>
      <w:r>
        <w:t>Ensure administrative access uses strong authentication.</w:t>
      </w:r>
    </w:p>
    <w:p>
      <w:pPr>
        <w:pStyle w:val="ListBullet"/>
      </w:pPr>
      <w:r>
        <w:t>Document data location, sub-processors and exit considerations for material services.</w:t>
      </w:r>
    </w:p>
    <w:p>
      <w:pPr>
        <w:pStyle w:val="ListBullet"/>
      </w:pPr>
      <w:r>
        <w:t>Maintain responsibility for security controls even when infrastructure is outsourced.</w:t>
      </w:r>
    </w:p>
    <w:p>
      <w:pPr>
        <w:pStyle w:val="Heading1"/>
      </w:pPr>
      <w:r>
        <w:t>18. Logging and Monitoring</w:t>
      </w:r>
    </w:p>
    <w:p>
      <w:r>
        <w:t>Material systems shall generate logs sufficient to investigate unauthorized access, administrative change, security alerts and significant transactions.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Log Category</w:t>
            </w:r>
          </w:p>
        </w:tc>
        <w:tc>
          <w:tcPr>
            <w:tcW w:type="dxa" w:w="5155"/>
            <w:vAlign w:val="center"/>
            <w:shd w:fill="17365D"/>
          </w:tcPr>
          <w:p>
            <w:r/>
            <w:r>
              <w:rPr>
                <w:b/>
                <w:color w:val="FFFFFF"/>
                <w:sz w:val="15"/>
              </w:rPr>
              <w:t>Minimum Intent</w:t>
            </w:r>
          </w:p>
        </w:tc>
      </w:tr>
      <w:tr>
        <w:tc>
          <w:tcPr>
            <w:tcW w:type="dxa" w:w="5155"/>
            <w:vAlign w:val="center"/>
          </w:tcPr>
          <w:p>
            <w:r/>
            <w:r>
              <w:rPr>
                <w:b w:val="0"/>
                <w:sz w:val="15"/>
              </w:rPr>
              <w:t>Authentication</w:t>
            </w:r>
          </w:p>
        </w:tc>
        <w:tc>
          <w:tcPr>
            <w:tcW w:type="dxa" w:w="5155"/>
            <w:vAlign w:val="center"/>
          </w:tcPr>
          <w:p>
            <w:r/>
            <w:r>
              <w:rPr>
                <w:b w:val="0"/>
                <w:sz w:val="15"/>
              </w:rPr>
              <w:t>Successful/failed sign-ins and relevant MFA events.</w:t>
            </w:r>
          </w:p>
        </w:tc>
      </w:tr>
      <w:tr>
        <w:tc>
          <w:tcPr>
            <w:tcW w:type="dxa" w:w="5155"/>
            <w:vAlign w:val="center"/>
          </w:tcPr>
          <w:p>
            <w:r/>
            <w:r>
              <w:rPr>
                <w:b w:val="0"/>
                <w:sz w:val="15"/>
              </w:rPr>
              <w:t>Privileged activity</w:t>
            </w:r>
          </w:p>
        </w:tc>
        <w:tc>
          <w:tcPr>
            <w:tcW w:type="dxa" w:w="5155"/>
            <w:vAlign w:val="center"/>
          </w:tcPr>
          <w:p>
            <w:r/>
            <w:r>
              <w:rPr>
                <w:b w:val="0"/>
                <w:sz w:val="15"/>
              </w:rPr>
              <w:t>Administrative changes and high-risk commands/events.</w:t>
            </w:r>
          </w:p>
        </w:tc>
      </w:tr>
      <w:tr>
        <w:tc>
          <w:tcPr>
            <w:tcW w:type="dxa" w:w="5155"/>
            <w:vAlign w:val="center"/>
          </w:tcPr>
          <w:p>
            <w:r/>
            <w:r>
              <w:rPr>
                <w:b w:val="0"/>
                <w:sz w:val="15"/>
              </w:rPr>
              <w:t>Application security</w:t>
            </w:r>
          </w:p>
        </w:tc>
        <w:tc>
          <w:tcPr>
            <w:tcW w:type="dxa" w:w="5155"/>
            <w:vAlign w:val="center"/>
          </w:tcPr>
          <w:p>
            <w:r/>
            <w:r>
              <w:rPr>
                <w:b w:val="0"/>
                <w:sz w:val="15"/>
              </w:rPr>
              <w:t>Material errors, access changes and suspicious requests.</w:t>
            </w:r>
          </w:p>
        </w:tc>
      </w:tr>
      <w:tr>
        <w:tc>
          <w:tcPr>
            <w:tcW w:type="dxa" w:w="5155"/>
            <w:vAlign w:val="center"/>
          </w:tcPr>
          <w:p>
            <w:r/>
            <w:r>
              <w:rPr>
                <w:b w:val="0"/>
                <w:sz w:val="15"/>
              </w:rPr>
              <w:t>Network/security tooling</w:t>
            </w:r>
          </w:p>
        </w:tc>
        <w:tc>
          <w:tcPr>
            <w:tcW w:type="dxa" w:w="5155"/>
            <w:vAlign w:val="center"/>
          </w:tcPr>
          <w:p>
            <w:r/>
            <w:r>
              <w:rPr>
                <w:b w:val="0"/>
                <w:sz w:val="15"/>
              </w:rPr>
              <w:t>Threat detections and control status.</w:t>
            </w:r>
          </w:p>
        </w:tc>
      </w:tr>
      <w:tr>
        <w:tc>
          <w:tcPr>
            <w:tcW w:type="dxa" w:w="5155"/>
            <w:vAlign w:val="center"/>
          </w:tcPr>
          <w:p>
            <w:r/>
            <w:r>
              <w:rPr>
                <w:b w:val="0"/>
                <w:sz w:val="15"/>
              </w:rPr>
              <w:t>Data access</w:t>
            </w:r>
          </w:p>
        </w:tc>
        <w:tc>
          <w:tcPr>
            <w:tcW w:type="dxa" w:w="5155"/>
            <w:vAlign w:val="center"/>
          </w:tcPr>
          <w:p>
            <w:r/>
            <w:r>
              <w:rPr>
                <w:b w:val="0"/>
                <w:sz w:val="15"/>
              </w:rPr>
              <w:t>Enhanced logging for designated Restricted repositories where technically supported.</w:t>
            </w:r>
          </w:p>
        </w:tc>
      </w:tr>
    </w:tbl>
    <w:p/>
    <w:p>
      <w:pPr>
        <w:pStyle w:val="Heading1"/>
      </w:pPr>
      <w:r>
        <w:t>19. Security Log Retention</w:t>
      </w:r>
    </w:p>
    <w:p>
      <w:r>
        <w:t>Security-log retention is risk-based. Critical security and privileged-access logs shall normally be retained online/searchable for at least 180 days and archived for at least 12 months unless a stricter requirement applies.</w:t>
      </w:r>
    </w:p>
    <w:p>
      <w:r>
        <w:t>ISP-014 v1.7 used a general 90-day searchable target for several platforms. Systems already on the older architecture have until 30 June 2026 to meet the 180-day searchable target under an approved migration plan.</w:t>
      </w:r>
    </w:p>
    <w:p>
      <w:pPr>
        <w:pStyle w:val="Heading1"/>
      </w:pPr>
      <w:r>
        <w:t>20. Vulnerability Management</w:t>
      </w:r>
    </w:p>
    <w:p>
      <w:r>
        <w:t>Technology and Information Security shall identify, assess and remediate vulnerabilities according to severity, exploitability, exposure and business impact.</w:t>
      </w:r>
    </w:p>
    <w:p>
      <w:r>
        <w:t>Targets are internal control objectives, not external legal requirements. Approved exception requires documented risk, compensating control, owner and expiry.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Internal Severity</w:t>
            </w:r>
          </w:p>
        </w:tc>
        <w:tc>
          <w:tcPr>
            <w:tcW w:type="dxa" w:w="5155"/>
            <w:vAlign w:val="center"/>
            <w:shd w:fill="17365D"/>
          </w:tcPr>
          <w:p>
            <w:r/>
            <w:r>
              <w:rPr>
                <w:b/>
                <w:color w:val="FFFFFF"/>
                <w:sz w:val="15"/>
              </w:rPr>
              <w:t>Target Remediation</w:t>
            </w:r>
          </w:p>
        </w:tc>
      </w:tr>
      <w:tr>
        <w:tc>
          <w:tcPr>
            <w:tcW w:type="dxa" w:w="5155"/>
            <w:vAlign w:val="center"/>
          </w:tcPr>
          <w:p>
            <w:r/>
            <w:r>
              <w:rPr>
                <w:b w:val="0"/>
                <w:sz w:val="15"/>
              </w:rPr>
              <w:t>Critical / actively exploited</w:t>
            </w:r>
          </w:p>
        </w:tc>
        <w:tc>
          <w:tcPr>
            <w:tcW w:type="dxa" w:w="5155"/>
            <w:vAlign w:val="center"/>
          </w:tcPr>
          <w:p>
            <w:r/>
            <w:r>
              <w:rPr>
                <w:b w:val="0"/>
                <w:sz w:val="15"/>
              </w:rPr>
              <w:t>Immediate containment; target fix or compensating control within 72 hours.</w:t>
            </w:r>
          </w:p>
        </w:tc>
      </w:tr>
      <w:tr>
        <w:tc>
          <w:tcPr>
            <w:tcW w:type="dxa" w:w="5155"/>
            <w:vAlign w:val="center"/>
          </w:tcPr>
          <w:p>
            <w:r/>
            <w:r>
              <w:rPr>
                <w:b w:val="0"/>
                <w:sz w:val="15"/>
              </w:rPr>
              <w:t>High</w:t>
            </w:r>
          </w:p>
        </w:tc>
        <w:tc>
          <w:tcPr>
            <w:tcW w:type="dxa" w:w="5155"/>
            <w:vAlign w:val="center"/>
          </w:tcPr>
          <w:p>
            <w:r/>
            <w:r>
              <w:rPr>
                <w:b w:val="0"/>
                <w:sz w:val="15"/>
              </w:rPr>
              <w:t>Target remediation within 15 calendar days.</w:t>
            </w:r>
          </w:p>
        </w:tc>
      </w:tr>
      <w:tr>
        <w:tc>
          <w:tcPr>
            <w:tcW w:type="dxa" w:w="5155"/>
            <w:vAlign w:val="center"/>
          </w:tcPr>
          <w:p>
            <w:r/>
            <w:r>
              <w:rPr>
                <w:b w:val="0"/>
                <w:sz w:val="15"/>
              </w:rPr>
              <w:t>Medium</w:t>
            </w:r>
          </w:p>
        </w:tc>
        <w:tc>
          <w:tcPr>
            <w:tcW w:type="dxa" w:w="5155"/>
            <w:vAlign w:val="center"/>
          </w:tcPr>
          <w:p>
            <w:r/>
            <w:r>
              <w:rPr>
                <w:b w:val="0"/>
                <w:sz w:val="15"/>
              </w:rPr>
              <w:t>Target remediation within 45 calendar days.</w:t>
            </w:r>
          </w:p>
        </w:tc>
      </w:tr>
      <w:tr>
        <w:tc>
          <w:tcPr>
            <w:tcW w:type="dxa" w:w="5155"/>
            <w:vAlign w:val="center"/>
          </w:tcPr>
          <w:p>
            <w:r/>
            <w:r>
              <w:rPr>
                <w:b w:val="0"/>
                <w:sz w:val="15"/>
              </w:rPr>
              <w:t>Low</w:t>
            </w:r>
          </w:p>
        </w:tc>
        <w:tc>
          <w:tcPr>
            <w:tcW w:type="dxa" w:w="5155"/>
            <w:vAlign w:val="center"/>
          </w:tcPr>
          <w:p>
            <w:r/>
            <w:r>
              <w:rPr>
                <w:b w:val="0"/>
                <w:sz w:val="15"/>
              </w:rPr>
              <w:t>Target remediation within 90 calendar days or planned lifecycle.</w:t>
            </w:r>
          </w:p>
        </w:tc>
      </w:tr>
    </w:tbl>
    <w:p/>
    <w:p>
      <w:pPr>
        <w:pStyle w:val="Heading1"/>
      </w:pPr>
      <w:r>
        <w:t>21. Patch Management</w:t>
      </w:r>
    </w:p>
    <w:p>
      <w:r>
        <w:t>Security patches shall be tested and deployed according to vulnerability severity and operational risk. Emergency patching may use expedited change where delay presents greater risk.</w:t>
      </w:r>
    </w:p>
    <w:p>
      <w:r>
        <w:t>Failure to meet a target is not automatically a severe incident; materiality depends on exposure, exploitation evidence, compensating controls and duration. Repeated overdue critical patches require risk escalation.</w:t>
      </w:r>
    </w:p>
    <w:p>
      <w:pPr>
        <w:pStyle w:val="Heading1"/>
      </w:pPr>
      <w:r>
        <w:t>22. Security Testing</w:t>
      </w:r>
    </w:p>
    <w:p>
      <w:r>
        <w:t>Northstar shall perform vulnerability scanning, configuration review and penetration-style testing based on system criticality and exposure. Material findings shall enter the controlled remediation process.</w:t>
      </w:r>
    </w:p>
    <w:p>
      <w:pPr>
        <w:pStyle w:val="Heading1"/>
      </w:pPr>
      <w:r>
        <w:t>23. Backup and Recovery</w:t>
      </w:r>
    </w:p>
    <w:p>
      <w:r>
        <w:t>Critical systems shall maintain tested backups or equivalent recovery capability aligned to business-continuity requirements.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Control</w:t>
            </w:r>
          </w:p>
        </w:tc>
        <w:tc>
          <w:tcPr>
            <w:tcW w:type="dxa" w:w="5155"/>
            <w:vAlign w:val="center"/>
            <w:shd w:fill="17365D"/>
          </w:tcPr>
          <w:p>
            <w:r/>
            <w:r>
              <w:rPr>
                <w:b/>
                <w:color w:val="FFFFFF"/>
                <w:sz w:val="15"/>
              </w:rPr>
              <w:t>Requirement</w:t>
            </w:r>
          </w:p>
        </w:tc>
      </w:tr>
      <w:tr>
        <w:tc>
          <w:tcPr>
            <w:tcW w:type="dxa" w:w="5155"/>
            <w:vAlign w:val="center"/>
          </w:tcPr>
          <w:p>
            <w:r/>
            <w:r>
              <w:rPr>
                <w:b w:val="0"/>
                <w:sz w:val="15"/>
              </w:rPr>
              <w:t>Backup scope</w:t>
            </w:r>
          </w:p>
        </w:tc>
        <w:tc>
          <w:tcPr>
            <w:tcW w:type="dxa" w:w="5155"/>
            <w:vAlign w:val="center"/>
          </w:tcPr>
          <w:p>
            <w:r/>
            <w:r>
              <w:rPr>
                <w:b w:val="0"/>
                <w:sz w:val="15"/>
              </w:rPr>
              <w:t>Data/configuration needed to restore critical service.</w:t>
            </w:r>
          </w:p>
        </w:tc>
      </w:tr>
      <w:tr>
        <w:tc>
          <w:tcPr>
            <w:tcW w:type="dxa" w:w="5155"/>
            <w:vAlign w:val="center"/>
          </w:tcPr>
          <w:p>
            <w:r/>
            <w:r>
              <w:rPr>
                <w:b w:val="0"/>
                <w:sz w:val="15"/>
              </w:rPr>
              <w:t>Protection</w:t>
            </w:r>
          </w:p>
        </w:tc>
        <w:tc>
          <w:tcPr>
            <w:tcW w:type="dxa" w:w="5155"/>
            <w:vAlign w:val="center"/>
          </w:tcPr>
          <w:p>
            <w:r/>
            <w:r>
              <w:rPr>
                <w:b w:val="0"/>
                <w:sz w:val="15"/>
              </w:rPr>
              <w:t>Access restricted; encryption where appropriate.</w:t>
            </w:r>
          </w:p>
        </w:tc>
      </w:tr>
      <w:tr>
        <w:tc>
          <w:tcPr>
            <w:tcW w:type="dxa" w:w="5155"/>
            <w:vAlign w:val="center"/>
          </w:tcPr>
          <w:p>
            <w:r/>
            <w:r>
              <w:rPr>
                <w:b w:val="0"/>
                <w:sz w:val="15"/>
              </w:rPr>
              <w:t>Separation</w:t>
            </w:r>
          </w:p>
        </w:tc>
        <w:tc>
          <w:tcPr>
            <w:tcW w:type="dxa" w:w="5155"/>
            <w:vAlign w:val="center"/>
          </w:tcPr>
          <w:p>
            <w:r/>
            <w:r>
              <w:rPr>
                <w:b w:val="0"/>
                <w:sz w:val="15"/>
              </w:rPr>
              <w:t>At least one recovery copy logically or operationally separated from primary environment where feasible.</w:t>
            </w:r>
          </w:p>
        </w:tc>
      </w:tr>
      <w:tr>
        <w:tc>
          <w:tcPr>
            <w:tcW w:type="dxa" w:w="5155"/>
            <w:vAlign w:val="center"/>
          </w:tcPr>
          <w:p>
            <w:r/>
            <w:r>
              <w:rPr>
                <w:b w:val="0"/>
                <w:sz w:val="15"/>
              </w:rPr>
              <w:t>Testing</w:t>
            </w:r>
          </w:p>
        </w:tc>
        <w:tc>
          <w:tcPr>
            <w:tcW w:type="dxa" w:w="5155"/>
            <w:vAlign w:val="center"/>
          </w:tcPr>
          <w:p>
            <w:r/>
            <w:r>
              <w:rPr>
                <w:b w:val="0"/>
                <w:sz w:val="15"/>
              </w:rPr>
              <w:t>Periodic restore/recovery testing.</w:t>
            </w:r>
          </w:p>
        </w:tc>
      </w:tr>
      <w:tr>
        <w:tc>
          <w:tcPr>
            <w:tcW w:type="dxa" w:w="5155"/>
            <w:vAlign w:val="center"/>
          </w:tcPr>
          <w:p>
            <w:r/>
            <w:r>
              <w:rPr>
                <w:b w:val="0"/>
                <w:sz w:val="15"/>
              </w:rPr>
              <w:t>Ransomware scenario</w:t>
            </w:r>
          </w:p>
        </w:tc>
        <w:tc>
          <w:tcPr>
            <w:tcW w:type="dxa" w:w="5155"/>
            <w:vAlign w:val="center"/>
          </w:tcPr>
          <w:p>
            <w:r/>
            <w:r>
              <w:rPr>
                <w:b w:val="0"/>
                <w:sz w:val="15"/>
              </w:rPr>
              <w:t>Critical systems shall consider recovery from destructive compromise, not only ordinary failure.</w:t>
            </w:r>
          </w:p>
        </w:tc>
      </w:tr>
    </w:tbl>
    <w:p/>
    <w:p>
      <w:pPr>
        <w:pStyle w:val="Heading1"/>
      </w:pPr>
      <w:r>
        <w:t>24. Security Incident Management</w:t>
      </w:r>
    </w:p>
    <w:p>
      <w:r>
        <w:t>Suspected security incidents shall be reported and managed under SIR-052. Employees must report suspicious messages, credential exposure, malware, unauthorized access, data loss or material control bypass promptly.</w:t>
      </w:r>
    </w:p>
    <w:p>
      <w:r>
        <w:t>Security classification and compliance-breach classification are separate. A SEV-1 security incident may also be a C4 compliance breach, but one label does not automatically determine the other.</w:t>
      </w:r>
    </w:p>
    <w:p>
      <w:pPr>
        <w:pStyle w:val="Heading1"/>
      </w:pPr>
      <w:r>
        <w:t>25. Third-Party Security</w:t>
      </w:r>
    </w:p>
    <w:p>
      <w:r>
        <w:t>Third-party services shall be risk assessed under VRP-053 before material access or data processing. Contracts and onboarding shall address security responsibilities, incident notification, access, audit evidence, subcontracting and exit where relevant.</w:t>
      </w:r>
    </w:p>
    <w:p>
      <w:pPr>
        <w:pStyle w:val="Heading1"/>
      </w:pPr>
      <w:r>
        <w:t>26. Remote Work</w:t>
      </w:r>
    </w:p>
    <w:p>
      <w:r>
        <w:t>Remote work shall use approved devices, connections and safeguards. Confidential conversations and information must be protected from unauthorized household, public or shared-space access.</w:t>
      </w:r>
    </w:p>
    <w:p>
      <w:pPr>
        <w:pStyle w:val="ListBullet"/>
      </w:pPr>
      <w:r>
        <w:t>Use approved VPN/secure access where required.</w:t>
      </w:r>
    </w:p>
    <w:p>
      <w:pPr>
        <w:pStyle w:val="ListBullet"/>
      </w:pPr>
      <w:r>
        <w:t>Do not leave devices unattended and unlocked.</w:t>
      </w:r>
    </w:p>
    <w:p>
      <w:pPr>
        <w:pStyle w:val="ListBullet"/>
      </w:pPr>
      <w:r>
        <w:t>Avoid printing Restricted information at home unless specifically authorized.</w:t>
      </w:r>
    </w:p>
    <w:p>
      <w:pPr>
        <w:pStyle w:val="ListBullet"/>
      </w:pPr>
      <w:r>
        <w:t>Report loss or theft of device immediately.</w:t>
      </w:r>
    </w:p>
    <w:p>
      <w:pPr>
        <w:pStyle w:val="Heading1"/>
      </w:pPr>
      <w:r>
        <w:t>27. Physical Security Interface</w:t>
      </w:r>
    </w:p>
    <w:p>
      <w:r>
        <w:t>Information-security controls shall coordinate with physical security for data centers, network rooms, secure records and device storage. Badge access alone does not authorize access to systems or information.</w:t>
      </w:r>
    </w:p>
    <w:p>
      <w:pPr>
        <w:pStyle w:val="Heading1"/>
      </w:pPr>
      <w:r>
        <w:t>28. Data Retention and Secure Deletion</w:t>
      </w:r>
    </w:p>
    <w:p>
      <w:r>
        <w:t>Information shall be retained only for approved business, contractual, legal or control purposes and disposed of using methods appropriate to classification.</w:t>
      </w:r>
    </w:p>
    <w:p>
      <w:r>
        <w:t>A user deleting a local file does not necessarily satisfy controlled deletion if copies remain in shared systems, backups or archives. System owners shall define disposal steps for material repositories.</w:t>
      </w:r>
    </w:p>
    <w:p>
      <w:pPr>
        <w:pStyle w:val="Heading1"/>
      </w:pPr>
      <w:r>
        <w:t>29. Security Awareness</w:t>
      </w:r>
    </w:p>
    <w:p>
      <w:r>
        <w:t>All employees and relevant contractors shall complete security awareness at onboarding and annually, with targeted training for privileged, developer and high-risk roles.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Audience</w:t>
            </w:r>
          </w:p>
        </w:tc>
        <w:tc>
          <w:tcPr>
            <w:tcW w:type="dxa" w:w="5155"/>
            <w:vAlign w:val="center"/>
            <w:shd w:fill="17365D"/>
          </w:tcPr>
          <w:p>
            <w:r/>
            <w:r>
              <w:rPr>
                <w:b/>
                <w:color w:val="FFFFFF"/>
                <w:sz w:val="15"/>
              </w:rPr>
              <w:t>Additional Focus</w:t>
            </w:r>
          </w:p>
        </w:tc>
      </w:tr>
      <w:tr>
        <w:tc>
          <w:tcPr>
            <w:tcW w:type="dxa" w:w="5155"/>
            <w:vAlign w:val="center"/>
          </w:tcPr>
          <w:p>
            <w:r/>
            <w:r>
              <w:rPr>
                <w:b w:val="0"/>
                <w:sz w:val="15"/>
              </w:rPr>
              <w:t>All workforce</w:t>
            </w:r>
          </w:p>
        </w:tc>
        <w:tc>
          <w:tcPr>
            <w:tcW w:type="dxa" w:w="5155"/>
            <w:vAlign w:val="center"/>
          </w:tcPr>
          <w:p>
            <w:r/>
            <w:r>
              <w:rPr>
                <w:b w:val="0"/>
                <w:sz w:val="15"/>
              </w:rPr>
              <w:t>Phishing, password/MFA, data handling, reporting.</w:t>
            </w:r>
          </w:p>
        </w:tc>
      </w:tr>
      <w:tr>
        <w:tc>
          <w:tcPr>
            <w:tcW w:type="dxa" w:w="5155"/>
            <w:vAlign w:val="center"/>
          </w:tcPr>
          <w:p>
            <w:r/>
            <w:r>
              <w:rPr>
                <w:b w:val="0"/>
                <w:sz w:val="15"/>
              </w:rPr>
              <w:t>Privileged admins</w:t>
            </w:r>
          </w:p>
        </w:tc>
        <w:tc>
          <w:tcPr>
            <w:tcW w:type="dxa" w:w="5155"/>
            <w:vAlign w:val="center"/>
          </w:tcPr>
          <w:p>
            <w:r/>
            <w:r>
              <w:rPr>
                <w:b w:val="0"/>
                <w:sz w:val="15"/>
              </w:rPr>
              <w:t>PAM, change control, logging, emergency access.</w:t>
            </w:r>
          </w:p>
        </w:tc>
      </w:tr>
      <w:tr>
        <w:tc>
          <w:tcPr>
            <w:tcW w:type="dxa" w:w="5155"/>
            <w:vAlign w:val="center"/>
          </w:tcPr>
          <w:p>
            <w:r/>
            <w:r>
              <w:rPr>
                <w:b w:val="0"/>
                <w:sz w:val="15"/>
              </w:rPr>
              <w:t>Developers</w:t>
            </w:r>
          </w:p>
        </w:tc>
        <w:tc>
          <w:tcPr>
            <w:tcW w:type="dxa" w:w="5155"/>
            <w:vAlign w:val="center"/>
          </w:tcPr>
          <w:p>
            <w:r/>
            <w:r>
              <w:rPr>
                <w:b w:val="0"/>
                <w:sz w:val="15"/>
              </w:rPr>
              <w:t>Secure coding, secrets, dependency risk.</w:t>
            </w:r>
          </w:p>
        </w:tc>
      </w:tr>
      <w:tr>
        <w:tc>
          <w:tcPr>
            <w:tcW w:type="dxa" w:w="5155"/>
            <w:vAlign w:val="center"/>
          </w:tcPr>
          <w:p>
            <w:r/>
            <w:r>
              <w:rPr>
                <w:b w:val="0"/>
                <w:sz w:val="15"/>
              </w:rPr>
              <w:t>KYC/AML/Credit Ops</w:t>
            </w:r>
          </w:p>
        </w:tc>
        <w:tc>
          <w:tcPr>
            <w:tcW w:type="dxa" w:w="5155"/>
            <w:vAlign w:val="center"/>
          </w:tcPr>
          <w:p>
            <w:r/>
            <w:r>
              <w:rPr>
                <w:b w:val="0"/>
                <w:sz w:val="15"/>
              </w:rPr>
              <w:t>Customer data, document handling, impersonation/fraud indicators.</w:t>
            </w:r>
          </w:p>
        </w:tc>
      </w:tr>
      <w:tr>
        <w:tc>
          <w:tcPr>
            <w:tcW w:type="dxa" w:w="5155"/>
            <w:vAlign w:val="center"/>
          </w:tcPr>
          <w:p>
            <w:r/>
            <w:r>
              <w:rPr>
                <w:b w:val="0"/>
                <w:sz w:val="15"/>
              </w:rPr>
              <w:t>Executives</w:t>
            </w:r>
          </w:p>
        </w:tc>
        <w:tc>
          <w:tcPr>
            <w:tcW w:type="dxa" w:w="5155"/>
            <w:vAlign w:val="center"/>
          </w:tcPr>
          <w:p>
            <w:r/>
            <w:r>
              <w:rPr>
                <w:b w:val="0"/>
                <w:sz w:val="15"/>
              </w:rPr>
              <w:t>Incident decision-making and sensitive communications.</w:t>
            </w:r>
          </w:p>
        </w:tc>
      </w:tr>
    </w:tbl>
    <w:p/>
    <w:p>
      <w:pPr>
        <w:pStyle w:val="Heading1"/>
      </w:pPr>
      <w:r>
        <w:t>30. Exceptions and Risk Acceptance</w:t>
      </w:r>
    </w:p>
    <w:p>
      <w:r>
        <w:t>Information-security exceptions must be approved before the non-compliant state is intentionally introduced, except emergency containment where immediate action is necessary to prevent greater harm.</w:t>
      </w:r>
    </w:p>
    <w:p>
      <w:r>
        <w:t>Retrospective approval may document risk acceptance after discovery but does not convert an unapproved prior deviation into a timely exception. This is consistent with CBP-043 and CEP-006.</w:t>
      </w:r>
    </w:p>
    <w:p>
      <w:r>
        <w:t>Exceptions shall include scope, rationale, control gap, compensating controls, owner, expiry and remediation plan.</w:t>
      </w:r>
    </w:p>
    <w:p>
      <w:pPr>
        <w:pStyle w:val="Heading1"/>
      </w:pPr>
      <w:r>
        <w:t>31. Metrics and Reporting</w:t>
      </w:r>
    </w:p>
    <w:p>
      <w:r>
        <w:t>Information Security shall report control health and significant risk to management and risk governance.</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Metric</w:t>
            </w:r>
          </w:p>
        </w:tc>
        <w:tc>
          <w:tcPr>
            <w:tcW w:type="dxa" w:w="5155"/>
            <w:vAlign w:val="center"/>
            <w:shd w:fill="17365D"/>
          </w:tcPr>
          <w:p>
            <w:r/>
            <w:r>
              <w:rPr>
                <w:b/>
                <w:color w:val="FFFFFF"/>
                <w:sz w:val="15"/>
              </w:rPr>
              <w:t>Illustrative Management Trigger</w:t>
            </w:r>
          </w:p>
        </w:tc>
      </w:tr>
      <w:tr>
        <w:tc>
          <w:tcPr>
            <w:tcW w:type="dxa" w:w="5155"/>
            <w:vAlign w:val="center"/>
          </w:tcPr>
          <w:p>
            <w:r/>
            <w:r>
              <w:rPr>
                <w:b w:val="0"/>
                <w:sz w:val="15"/>
              </w:rPr>
              <w:t>Critical vulnerabilities past target</w:t>
            </w:r>
          </w:p>
        </w:tc>
        <w:tc>
          <w:tcPr>
            <w:tcW w:type="dxa" w:w="5155"/>
            <w:vAlign w:val="center"/>
          </w:tcPr>
          <w:p>
            <w:r/>
            <w:r>
              <w:rPr>
                <w:b w:val="0"/>
                <w:sz w:val="15"/>
              </w:rPr>
              <w:t>Any internet-facing or repeatedly overdue item</w:t>
            </w:r>
          </w:p>
        </w:tc>
      </w:tr>
      <w:tr>
        <w:tc>
          <w:tcPr>
            <w:tcW w:type="dxa" w:w="5155"/>
            <w:vAlign w:val="center"/>
          </w:tcPr>
          <w:p>
            <w:r/>
            <w:r>
              <w:rPr>
                <w:b w:val="0"/>
                <w:sz w:val="15"/>
              </w:rPr>
              <w:t>MFA coverage</w:t>
            </w:r>
          </w:p>
        </w:tc>
        <w:tc>
          <w:tcPr>
            <w:tcW w:type="dxa" w:w="5155"/>
            <w:vAlign w:val="center"/>
          </w:tcPr>
          <w:p>
            <w:r/>
            <w:r>
              <w:rPr>
                <w:b w:val="0"/>
                <w:sz w:val="15"/>
              </w:rPr>
              <w:t>Any privileged/high-risk account outside approved exception</w:t>
            </w:r>
          </w:p>
        </w:tc>
      </w:tr>
      <w:tr>
        <w:tc>
          <w:tcPr>
            <w:tcW w:type="dxa" w:w="5155"/>
            <w:vAlign w:val="center"/>
          </w:tcPr>
          <w:p>
            <w:r/>
            <w:r>
              <w:rPr>
                <w:b w:val="0"/>
                <w:sz w:val="15"/>
              </w:rPr>
              <w:t>Privileged access review</w:t>
            </w:r>
          </w:p>
        </w:tc>
        <w:tc>
          <w:tcPr>
            <w:tcW w:type="dxa" w:w="5155"/>
            <w:vAlign w:val="center"/>
          </w:tcPr>
          <w:p>
            <w:r/>
            <w:r>
              <w:rPr>
                <w:b w:val="0"/>
                <w:sz w:val="15"/>
              </w:rPr>
              <w:t>Any material overdue recertification</w:t>
            </w:r>
          </w:p>
        </w:tc>
      </w:tr>
      <w:tr>
        <w:tc>
          <w:tcPr>
            <w:tcW w:type="dxa" w:w="5155"/>
            <w:vAlign w:val="center"/>
          </w:tcPr>
          <w:p>
            <w:r/>
            <w:r>
              <w:rPr>
                <w:b w:val="0"/>
                <w:sz w:val="15"/>
              </w:rPr>
              <w:t>Security incidents</w:t>
            </w:r>
          </w:p>
        </w:tc>
        <w:tc>
          <w:tcPr>
            <w:tcW w:type="dxa" w:w="5155"/>
            <w:vAlign w:val="center"/>
          </w:tcPr>
          <w:p>
            <w:r/>
            <w:r>
              <w:rPr>
                <w:b w:val="0"/>
                <w:sz w:val="15"/>
              </w:rPr>
              <w:t>SEV-1/SEV-2 trends and repeat root causes</w:t>
            </w:r>
          </w:p>
        </w:tc>
      </w:tr>
      <w:tr>
        <w:tc>
          <w:tcPr>
            <w:tcW w:type="dxa" w:w="5155"/>
            <w:vAlign w:val="center"/>
          </w:tcPr>
          <w:p>
            <w:r/>
            <w:r>
              <w:rPr>
                <w:b w:val="0"/>
                <w:sz w:val="15"/>
              </w:rPr>
              <w:t>Phishing simulation</w:t>
            </w:r>
          </w:p>
        </w:tc>
        <w:tc>
          <w:tcPr>
            <w:tcW w:type="dxa" w:w="5155"/>
            <w:vAlign w:val="center"/>
          </w:tcPr>
          <w:p>
            <w:r/>
            <w:r>
              <w:rPr>
                <w:b w:val="0"/>
                <w:sz w:val="15"/>
              </w:rPr>
              <w:t>Material high-risk failure trend requiring targeted training</w:t>
            </w:r>
          </w:p>
        </w:tc>
      </w:tr>
      <w:tr>
        <w:tc>
          <w:tcPr>
            <w:tcW w:type="dxa" w:w="5155"/>
            <w:vAlign w:val="center"/>
          </w:tcPr>
          <w:p>
            <w:r/>
            <w:r>
              <w:rPr>
                <w:b w:val="0"/>
                <w:sz w:val="15"/>
              </w:rPr>
              <w:t>Vendor security</w:t>
            </w:r>
          </w:p>
        </w:tc>
        <w:tc>
          <w:tcPr>
            <w:tcW w:type="dxa" w:w="5155"/>
            <w:vAlign w:val="center"/>
          </w:tcPr>
          <w:p>
            <w:r/>
            <w:r>
              <w:rPr>
                <w:b w:val="0"/>
                <w:sz w:val="15"/>
              </w:rPr>
              <w:t>Critical vendor overdue reassessment or unremediated severe issue</w:t>
            </w:r>
          </w:p>
        </w:tc>
      </w:tr>
    </w:tbl>
    <w:p/>
    <w:p>
      <w:pPr>
        <w:pStyle w:val="Heading1"/>
      </w:pPr>
      <w:r>
        <w:t>32. Historical and Transitional Provisions</w:t>
      </w:r>
    </w:p>
    <w:p>
      <w:r>
        <w:t>Selected version 2.0 controls deliberately differ from prior documentation.</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Topic</w:t>
            </w:r>
          </w:p>
        </w:tc>
        <w:tc>
          <w:tcPr>
            <w:tcW w:type="dxa" w:w="2577"/>
            <w:vAlign w:val="center"/>
            <w:shd w:fill="17365D"/>
          </w:tcPr>
          <w:p>
            <w:r/>
            <w:r>
              <w:rPr>
                <w:b/>
                <w:color w:val="FFFFFF"/>
                <w:sz w:val="15"/>
              </w:rPr>
              <w:t>v1.7</w:t>
            </w:r>
          </w:p>
        </w:tc>
        <w:tc>
          <w:tcPr>
            <w:tcW w:type="dxa" w:w="2577"/>
            <w:vAlign w:val="center"/>
            <w:shd w:fill="17365D"/>
          </w:tcPr>
          <w:p>
            <w:r/>
            <w:r>
              <w:rPr>
                <w:b/>
                <w:color w:val="FFFFFF"/>
                <w:sz w:val="15"/>
              </w:rPr>
              <w:t>v2.0</w:t>
            </w:r>
          </w:p>
        </w:tc>
        <w:tc>
          <w:tcPr>
            <w:tcW w:type="dxa" w:w="2577"/>
            <w:vAlign w:val="center"/>
            <w:shd w:fill="17365D"/>
          </w:tcPr>
          <w:p>
            <w:r/>
            <w:r>
              <w:rPr>
                <w:b/>
                <w:color w:val="FFFFFF"/>
                <w:sz w:val="15"/>
              </w:rPr>
              <w:t>Transition</w:t>
            </w:r>
          </w:p>
        </w:tc>
      </w:tr>
      <w:tr>
        <w:tc>
          <w:tcPr>
            <w:tcW w:type="dxa" w:w="2577"/>
            <w:vAlign w:val="center"/>
          </w:tcPr>
          <w:p>
            <w:r/>
            <w:r>
              <w:rPr>
                <w:b w:val="0"/>
                <w:sz w:val="15"/>
              </w:rPr>
              <w:t>Searchable security logs</w:t>
            </w:r>
          </w:p>
        </w:tc>
        <w:tc>
          <w:tcPr>
            <w:tcW w:type="dxa" w:w="2577"/>
            <w:vAlign w:val="center"/>
          </w:tcPr>
          <w:p>
            <w:r/>
            <w:r>
              <w:rPr>
                <w:b w:val="0"/>
                <w:sz w:val="15"/>
              </w:rPr>
              <w:t>90-day general target on several platforms</w:t>
            </w:r>
          </w:p>
        </w:tc>
        <w:tc>
          <w:tcPr>
            <w:tcW w:type="dxa" w:w="2577"/>
            <w:vAlign w:val="center"/>
          </w:tcPr>
          <w:p>
            <w:r/>
            <w:r>
              <w:rPr>
                <w:b w:val="0"/>
                <w:sz w:val="15"/>
              </w:rPr>
              <w:t>180 days for critical/privileged logs</w:t>
            </w:r>
          </w:p>
        </w:tc>
        <w:tc>
          <w:tcPr>
            <w:tcW w:type="dxa" w:w="2577"/>
            <w:vAlign w:val="center"/>
          </w:tcPr>
          <w:p>
            <w:r/>
            <w:r>
              <w:rPr>
                <w:b w:val="0"/>
                <w:sz w:val="15"/>
              </w:rPr>
              <w:t>Legacy platforms migrate by 30 Jun 2026.</w:t>
            </w:r>
          </w:p>
        </w:tc>
      </w:tr>
      <w:tr>
        <w:tc>
          <w:tcPr>
            <w:tcW w:type="dxa" w:w="2577"/>
            <w:vAlign w:val="center"/>
          </w:tcPr>
          <w:p>
            <w:r/>
            <w:r>
              <w:rPr>
                <w:b w:val="0"/>
                <w:sz w:val="15"/>
              </w:rPr>
              <w:t>Legacy admin MFA</w:t>
            </w:r>
          </w:p>
        </w:tc>
        <w:tc>
          <w:tcPr>
            <w:tcW w:type="dxa" w:w="2577"/>
            <w:vAlign w:val="center"/>
          </w:tcPr>
          <w:p>
            <w:r/>
            <w:r>
              <w:rPr>
                <w:b w:val="0"/>
                <w:sz w:val="15"/>
              </w:rPr>
              <w:t>Selected compensating-control allowance</w:t>
            </w:r>
          </w:p>
        </w:tc>
        <w:tc>
          <w:tcPr>
            <w:tcW w:type="dxa" w:w="2577"/>
            <w:vAlign w:val="center"/>
          </w:tcPr>
          <w:p>
            <w:r/>
            <w:r>
              <w:rPr>
                <w:b w:val="0"/>
                <w:sz w:val="15"/>
              </w:rPr>
              <w:t>MFA required; only time-bound CISO exception</w:t>
            </w:r>
          </w:p>
        </w:tc>
        <w:tc>
          <w:tcPr>
            <w:tcW w:type="dxa" w:w="2577"/>
            <w:vAlign w:val="center"/>
          </w:tcPr>
          <w:p>
            <w:r/>
            <w:r>
              <w:rPr>
                <w:b w:val="0"/>
                <w:sz w:val="15"/>
              </w:rPr>
              <w:t>Migration exceptions expire no later than 30 Sep 2026 unless re-approved.</w:t>
            </w:r>
          </w:p>
        </w:tc>
      </w:tr>
      <w:tr>
        <w:tc>
          <w:tcPr>
            <w:tcW w:type="dxa" w:w="2577"/>
            <w:vAlign w:val="center"/>
          </w:tcPr>
          <w:p>
            <w:r/>
            <w:r>
              <w:rPr>
                <w:b w:val="0"/>
                <w:sz w:val="15"/>
              </w:rPr>
              <w:t>Data classification</w:t>
            </w:r>
          </w:p>
        </w:tc>
        <w:tc>
          <w:tcPr>
            <w:tcW w:type="dxa" w:w="2577"/>
            <w:vAlign w:val="center"/>
          </w:tcPr>
          <w:p>
            <w:r/>
            <w:r>
              <w:rPr>
                <w:b w:val="0"/>
                <w:sz w:val="15"/>
              </w:rPr>
              <w:t>Three-tier wording in older manuals</w:t>
            </w:r>
          </w:p>
        </w:tc>
        <w:tc>
          <w:tcPr>
            <w:tcW w:type="dxa" w:w="2577"/>
            <w:vAlign w:val="center"/>
          </w:tcPr>
          <w:p>
            <w:r/>
            <w:r>
              <w:rPr>
                <w:b w:val="0"/>
                <w:sz w:val="15"/>
              </w:rPr>
              <w:t>Four classes including Restricted</w:t>
            </w:r>
          </w:p>
        </w:tc>
        <w:tc>
          <w:tcPr>
            <w:tcW w:type="dxa" w:w="2577"/>
            <w:vAlign w:val="center"/>
          </w:tcPr>
          <w:p>
            <w:r/>
            <w:r>
              <w:rPr>
                <w:b w:val="0"/>
                <w:sz w:val="15"/>
              </w:rPr>
              <w:t>New records use current classes; old labels mapped at review.</w:t>
            </w:r>
          </w:p>
        </w:tc>
      </w:tr>
    </w:tbl>
    <w:p/>
    <w:p>
      <w:pPr>
        <w:pStyle w:val="Heading1"/>
      </w:pPr>
      <w:r>
        <w:t>Appendix A — Data Handling Matrix</w:t>
      </w:r>
    </w:p>
    <w:p>
      <w:r>
        <w:t>The following matrix supports day-to-day classification decisions.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17365D"/>
          </w:tcPr>
          <w:p>
            <w:r/>
            <w:r>
              <w:rPr>
                <w:b/>
                <w:color w:val="FFFFFF"/>
                <w:sz w:val="15"/>
              </w:rPr>
              <w:t>Activity</w:t>
            </w:r>
          </w:p>
        </w:tc>
        <w:tc>
          <w:tcPr>
            <w:tcW w:type="dxa" w:w="2062"/>
            <w:vAlign w:val="center"/>
            <w:shd w:fill="17365D"/>
          </w:tcPr>
          <w:p>
            <w:r/>
            <w:r>
              <w:rPr>
                <w:b/>
                <w:color w:val="FFFFFF"/>
                <w:sz w:val="15"/>
              </w:rPr>
              <w:t>Public</w:t>
            </w:r>
          </w:p>
        </w:tc>
        <w:tc>
          <w:tcPr>
            <w:tcW w:type="dxa" w:w="2062"/>
            <w:vAlign w:val="center"/>
            <w:shd w:fill="17365D"/>
          </w:tcPr>
          <w:p>
            <w:r/>
            <w:r>
              <w:rPr>
                <w:b/>
                <w:color w:val="FFFFFF"/>
                <w:sz w:val="15"/>
              </w:rPr>
              <w:t>Internal</w:t>
            </w:r>
          </w:p>
        </w:tc>
        <w:tc>
          <w:tcPr>
            <w:tcW w:type="dxa" w:w="2062"/>
            <w:vAlign w:val="center"/>
            <w:shd w:fill="17365D"/>
          </w:tcPr>
          <w:p>
            <w:r/>
            <w:r>
              <w:rPr>
                <w:b/>
                <w:color w:val="FFFFFF"/>
                <w:sz w:val="15"/>
              </w:rPr>
              <w:t>Confidential</w:t>
            </w:r>
          </w:p>
        </w:tc>
        <w:tc>
          <w:tcPr>
            <w:tcW w:type="dxa" w:w="2062"/>
            <w:vAlign w:val="center"/>
            <w:shd w:fill="17365D"/>
          </w:tcPr>
          <w:p>
            <w:r/>
            <w:r>
              <w:rPr>
                <w:b/>
                <w:color w:val="FFFFFF"/>
                <w:sz w:val="15"/>
              </w:rPr>
              <w:t>Restricted</w:t>
            </w:r>
          </w:p>
        </w:tc>
      </w:tr>
      <w:tr>
        <w:tc>
          <w:tcPr>
            <w:tcW w:type="dxa" w:w="2062"/>
            <w:vAlign w:val="center"/>
          </w:tcPr>
          <w:p>
            <w:r/>
            <w:r>
              <w:rPr>
                <w:b w:val="0"/>
                <w:sz w:val="15"/>
              </w:rPr>
              <w:t>Email internally</w:t>
            </w:r>
          </w:p>
        </w:tc>
        <w:tc>
          <w:tcPr>
            <w:tcW w:type="dxa" w:w="2062"/>
            <w:vAlign w:val="center"/>
          </w:tcPr>
          <w:p>
            <w:r/>
            <w:r>
              <w:rPr>
                <w:b w:val="0"/>
                <w:sz w:val="15"/>
              </w:rPr>
              <w:t>Yes</w:t>
            </w:r>
          </w:p>
        </w:tc>
        <w:tc>
          <w:tcPr>
            <w:tcW w:type="dxa" w:w="2062"/>
            <w:vAlign w:val="center"/>
          </w:tcPr>
          <w:p>
            <w:r/>
            <w:r>
              <w:rPr>
                <w:b w:val="0"/>
                <w:sz w:val="15"/>
              </w:rPr>
              <w:t>Yes</w:t>
            </w:r>
          </w:p>
        </w:tc>
        <w:tc>
          <w:tcPr>
            <w:tcW w:type="dxa" w:w="2062"/>
            <w:vAlign w:val="center"/>
          </w:tcPr>
          <w:p>
            <w:r/>
            <w:r>
              <w:rPr>
                <w:b w:val="0"/>
                <w:sz w:val="15"/>
              </w:rPr>
              <w:t>Yes, approved recipients</w:t>
            </w:r>
          </w:p>
        </w:tc>
        <w:tc>
          <w:tcPr>
            <w:tcW w:type="dxa" w:w="2062"/>
            <w:vAlign w:val="center"/>
          </w:tcPr>
          <w:p>
            <w:r/>
            <w:r>
              <w:rPr>
                <w:b w:val="0"/>
                <w:sz w:val="15"/>
              </w:rPr>
              <w:t>Need-to-know only</w:t>
            </w:r>
          </w:p>
        </w:tc>
      </w:tr>
      <w:tr>
        <w:tc>
          <w:tcPr>
            <w:tcW w:type="dxa" w:w="2062"/>
            <w:vAlign w:val="center"/>
          </w:tcPr>
          <w:p>
            <w:r/>
            <w:r>
              <w:rPr>
                <w:b w:val="0"/>
                <w:sz w:val="15"/>
              </w:rPr>
              <w:t>External email</w:t>
            </w:r>
          </w:p>
        </w:tc>
        <w:tc>
          <w:tcPr>
            <w:tcW w:type="dxa" w:w="2062"/>
            <w:vAlign w:val="center"/>
          </w:tcPr>
          <w:p>
            <w:r/>
            <w:r>
              <w:rPr>
                <w:b w:val="0"/>
                <w:sz w:val="15"/>
              </w:rPr>
              <w:t>Yes</w:t>
            </w:r>
          </w:p>
        </w:tc>
        <w:tc>
          <w:tcPr>
            <w:tcW w:type="dxa" w:w="2062"/>
            <w:vAlign w:val="center"/>
          </w:tcPr>
          <w:p>
            <w:r/>
            <w:r>
              <w:rPr>
                <w:b w:val="0"/>
                <w:sz w:val="15"/>
              </w:rPr>
              <w:t>Business need</w:t>
            </w:r>
          </w:p>
        </w:tc>
        <w:tc>
          <w:tcPr>
            <w:tcW w:type="dxa" w:w="2062"/>
            <w:vAlign w:val="center"/>
          </w:tcPr>
          <w:p>
            <w:r/>
            <w:r>
              <w:rPr>
                <w:b w:val="0"/>
                <w:sz w:val="15"/>
              </w:rPr>
              <w:t>Approved secure method where sensitive</w:t>
            </w:r>
          </w:p>
        </w:tc>
        <w:tc>
          <w:tcPr>
            <w:tcW w:type="dxa" w:w="2062"/>
            <w:vAlign w:val="center"/>
          </w:tcPr>
          <w:p>
            <w:r/>
            <w:r>
              <w:rPr>
                <w:b w:val="0"/>
                <w:sz w:val="15"/>
              </w:rPr>
              <w:t>Secure portal/encrypted channel only</w:t>
            </w:r>
          </w:p>
        </w:tc>
      </w:tr>
      <w:tr>
        <w:tc>
          <w:tcPr>
            <w:tcW w:type="dxa" w:w="2062"/>
            <w:vAlign w:val="center"/>
          </w:tcPr>
          <w:p>
            <w:r/>
            <w:r>
              <w:rPr>
                <w:b w:val="0"/>
                <w:sz w:val="15"/>
              </w:rPr>
              <w:t>Consumer file share</w:t>
            </w:r>
          </w:p>
        </w:tc>
        <w:tc>
          <w:tcPr>
            <w:tcW w:type="dxa" w:w="2062"/>
            <w:vAlign w:val="center"/>
          </w:tcPr>
          <w:p>
            <w:r/>
            <w:r>
              <w:rPr>
                <w:b w:val="0"/>
                <w:sz w:val="15"/>
              </w:rPr>
              <w:t>Public only if approved</w:t>
            </w:r>
          </w:p>
        </w:tc>
        <w:tc>
          <w:tcPr>
            <w:tcW w:type="dxa" w:w="2062"/>
            <w:vAlign w:val="center"/>
          </w:tcPr>
          <w:p>
            <w:r/>
            <w:r>
              <w:rPr>
                <w:b w:val="0"/>
                <w:sz w:val="15"/>
              </w:rPr>
              <w:t>No</w:t>
            </w:r>
          </w:p>
        </w:tc>
        <w:tc>
          <w:tcPr>
            <w:tcW w:type="dxa" w:w="2062"/>
            <w:vAlign w:val="center"/>
          </w:tcPr>
          <w:p>
            <w:r/>
            <w:r>
              <w:rPr>
                <w:b w:val="0"/>
                <w:sz w:val="15"/>
              </w:rPr>
              <w:t>No</w:t>
            </w:r>
          </w:p>
        </w:tc>
        <w:tc>
          <w:tcPr>
            <w:tcW w:type="dxa" w:w="2062"/>
            <w:vAlign w:val="center"/>
          </w:tcPr>
          <w:p>
            <w:r/>
            <w:r>
              <w:rPr>
                <w:b w:val="0"/>
                <w:sz w:val="15"/>
              </w:rPr>
              <w:t>No</w:t>
            </w:r>
          </w:p>
        </w:tc>
      </w:tr>
      <w:tr>
        <w:tc>
          <w:tcPr>
            <w:tcW w:type="dxa" w:w="2062"/>
            <w:vAlign w:val="center"/>
          </w:tcPr>
          <w:p>
            <w:r/>
            <w:r>
              <w:rPr>
                <w:b w:val="0"/>
                <w:sz w:val="15"/>
              </w:rPr>
              <w:t>Local unmanaged device</w:t>
            </w:r>
          </w:p>
        </w:tc>
        <w:tc>
          <w:tcPr>
            <w:tcW w:type="dxa" w:w="2062"/>
            <w:vAlign w:val="center"/>
          </w:tcPr>
          <w:p>
            <w:r/>
            <w:r>
              <w:rPr>
                <w:b w:val="0"/>
                <w:sz w:val="15"/>
              </w:rPr>
              <w:t>Yes</w:t>
            </w:r>
          </w:p>
        </w:tc>
        <w:tc>
          <w:tcPr>
            <w:tcW w:type="dxa" w:w="2062"/>
            <w:vAlign w:val="center"/>
          </w:tcPr>
          <w:p>
            <w:r/>
            <w:r>
              <w:rPr>
                <w:b w:val="0"/>
                <w:sz w:val="15"/>
              </w:rPr>
              <w:t>Discouraged</w:t>
            </w:r>
          </w:p>
        </w:tc>
        <w:tc>
          <w:tcPr>
            <w:tcW w:type="dxa" w:w="2062"/>
            <w:vAlign w:val="center"/>
          </w:tcPr>
          <w:p>
            <w:r/>
            <w:r>
              <w:rPr>
                <w:b w:val="0"/>
                <w:sz w:val="15"/>
              </w:rPr>
              <w:t>No unless approved</w:t>
            </w:r>
          </w:p>
        </w:tc>
        <w:tc>
          <w:tcPr>
            <w:tcW w:type="dxa" w:w="2062"/>
            <w:vAlign w:val="center"/>
          </w:tcPr>
          <w:p>
            <w:r/>
            <w:r>
              <w:rPr>
                <w:b w:val="0"/>
                <w:sz w:val="15"/>
              </w:rPr>
              <w:t>Prohibited</w:t>
            </w:r>
          </w:p>
        </w:tc>
      </w:tr>
      <w:tr>
        <w:tc>
          <w:tcPr>
            <w:tcW w:type="dxa" w:w="2062"/>
            <w:vAlign w:val="center"/>
          </w:tcPr>
          <w:p>
            <w:r/>
            <w:r>
              <w:rPr>
                <w:b w:val="0"/>
                <w:sz w:val="15"/>
              </w:rPr>
              <w:t>Printing</w:t>
            </w:r>
          </w:p>
        </w:tc>
        <w:tc>
          <w:tcPr>
            <w:tcW w:type="dxa" w:w="2062"/>
            <w:vAlign w:val="center"/>
          </w:tcPr>
          <w:p>
            <w:r/>
            <w:r>
              <w:rPr>
                <w:b w:val="0"/>
                <w:sz w:val="15"/>
              </w:rPr>
              <w:t>Yes</w:t>
            </w:r>
          </w:p>
        </w:tc>
        <w:tc>
          <w:tcPr>
            <w:tcW w:type="dxa" w:w="2062"/>
            <w:vAlign w:val="center"/>
          </w:tcPr>
          <w:p>
            <w:r/>
            <w:r>
              <w:rPr>
                <w:b w:val="0"/>
                <w:sz w:val="15"/>
              </w:rPr>
              <w:t>Controlled</w:t>
            </w:r>
          </w:p>
        </w:tc>
        <w:tc>
          <w:tcPr>
            <w:tcW w:type="dxa" w:w="2062"/>
            <w:vAlign w:val="center"/>
          </w:tcPr>
          <w:p>
            <w:r/>
            <w:r>
              <w:rPr>
                <w:b w:val="0"/>
                <w:sz w:val="15"/>
              </w:rPr>
              <w:t>Secure disposal</w:t>
            </w:r>
          </w:p>
        </w:tc>
        <w:tc>
          <w:tcPr>
            <w:tcW w:type="dxa" w:w="2062"/>
            <w:vAlign w:val="center"/>
          </w:tcPr>
          <w:p>
            <w:r/>
            <w:r>
              <w:rPr>
                <w:b w:val="0"/>
                <w:sz w:val="15"/>
              </w:rPr>
              <w:t>Exception only</w:t>
            </w:r>
          </w:p>
        </w:tc>
      </w:tr>
      <w:tr>
        <w:tc>
          <w:tcPr>
            <w:tcW w:type="dxa" w:w="2062"/>
            <w:vAlign w:val="center"/>
          </w:tcPr>
          <w:p>
            <w:r/>
            <w:r>
              <w:rPr>
                <w:b w:val="0"/>
                <w:sz w:val="15"/>
              </w:rPr>
              <w:t>Test environment</w:t>
            </w:r>
          </w:p>
        </w:tc>
        <w:tc>
          <w:tcPr>
            <w:tcW w:type="dxa" w:w="2062"/>
            <w:vAlign w:val="center"/>
          </w:tcPr>
          <w:p>
            <w:r/>
            <w:r>
              <w:rPr>
                <w:b w:val="0"/>
                <w:sz w:val="15"/>
              </w:rPr>
              <w:t>Yes</w:t>
            </w:r>
          </w:p>
        </w:tc>
        <w:tc>
          <w:tcPr>
            <w:tcW w:type="dxa" w:w="2062"/>
            <w:vAlign w:val="center"/>
          </w:tcPr>
          <w:p>
            <w:r/>
            <w:r>
              <w:rPr>
                <w:b w:val="0"/>
                <w:sz w:val="15"/>
              </w:rPr>
              <w:t>Yes</w:t>
            </w:r>
          </w:p>
        </w:tc>
        <w:tc>
          <w:tcPr>
            <w:tcW w:type="dxa" w:w="2062"/>
            <w:vAlign w:val="center"/>
          </w:tcPr>
          <w:p>
            <w:r/>
            <w:r>
              <w:rPr>
                <w:b w:val="0"/>
                <w:sz w:val="15"/>
              </w:rPr>
              <w:t>Mask/minimize</w:t>
            </w:r>
          </w:p>
        </w:tc>
        <w:tc>
          <w:tcPr>
            <w:tcW w:type="dxa" w:w="2062"/>
            <w:vAlign w:val="center"/>
          </w:tcPr>
          <w:p>
            <w:r/>
            <w:r>
              <w:rPr>
                <w:b w:val="0"/>
                <w:sz w:val="15"/>
              </w:rPr>
              <w:t>Use synthetic/masked unless approved</w:t>
            </w:r>
          </w:p>
        </w:tc>
      </w:tr>
    </w:tbl>
    <w:p/>
    <w:p>
      <w:pPr>
        <w:pStyle w:val="Heading1"/>
      </w:pPr>
      <w:r>
        <w:t>Appendix B — System Criticality Factors</w:t>
      </w:r>
    </w:p>
    <w:p>
      <w:r>
        <w:t>System owners shall consider the following factors when assigning criticality.</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Factor</w:t>
            </w:r>
          </w:p>
        </w:tc>
        <w:tc>
          <w:tcPr>
            <w:tcW w:type="dxa" w:w="2577"/>
            <w:vAlign w:val="center"/>
            <w:shd w:fill="17365D"/>
          </w:tcPr>
          <w:p>
            <w:r/>
            <w:r>
              <w:rPr>
                <w:b/>
                <w:color w:val="FFFFFF"/>
                <w:sz w:val="15"/>
              </w:rPr>
              <w:t>Low</w:t>
            </w:r>
          </w:p>
        </w:tc>
        <w:tc>
          <w:tcPr>
            <w:tcW w:type="dxa" w:w="2577"/>
            <w:vAlign w:val="center"/>
            <w:shd w:fill="17365D"/>
          </w:tcPr>
          <w:p>
            <w:r/>
            <w:r>
              <w:rPr>
                <w:b/>
                <w:color w:val="FFFFFF"/>
                <w:sz w:val="15"/>
              </w:rPr>
              <w:t>Moderate</w:t>
            </w:r>
          </w:p>
        </w:tc>
        <w:tc>
          <w:tcPr>
            <w:tcW w:type="dxa" w:w="2577"/>
            <w:vAlign w:val="center"/>
            <w:shd w:fill="17365D"/>
          </w:tcPr>
          <w:p>
            <w:r/>
            <w:r>
              <w:rPr>
                <w:b/>
                <w:color w:val="FFFFFF"/>
                <w:sz w:val="15"/>
              </w:rPr>
              <w:t>High/Critical</w:t>
            </w:r>
          </w:p>
        </w:tc>
      </w:tr>
      <w:tr>
        <w:tc>
          <w:tcPr>
            <w:tcW w:type="dxa" w:w="2577"/>
            <w:vAlign w:val="center"/>
          </w:tcPr>
          <w:p>
            <w:r/>
            <w:r>
              <w:rPr>
                <w:b w:val="0"/>
                <w:sz w:val="15"/>
              </w:rPr>
              <w:t>Customer impact</w:t>
            </w:r>
          </w:p>
        </w:tc>
        <w:tc>
          <w:tcPr>
            <w:tcW w:type="dxa" w:w="2577"/>
            <w:vAlign w:val="center"/>
          </w:tcPr>
          <w:p>
            <w:r/>
            <w:r>
              <w:rPr>
                <w:b w:val="0"/>
                <w:sz w:val="15"/>
              </w:rPr>
              <w:t>Limited internal inconvenience</w:t>
            </w:r>
          </w:p>
        </w:tc>
        <w:tc>
          <w:tcPr>
            <w:tcW w:type="dxa" w:w="2577"/>
            <w:vAlign w:val="center"/>
          </w:tcPr>
          <w:p>
            <w:r/>
            <w:r>
              <w:rPr>
                <w:b w:val="0"/>
                <w:sz w:val="15"/>
              </w:rPr>
              <w:t>Customer delay or small segment</w:t>
            </w:r>
          </w:p>
        </w:tc>
        <w:tc>
          <w:tcPr>
            <w:tcW w:type="dxa" w:w="2577"/>
            <w:vAlign w:val="center"/>
          </w:tcPr>
          <w:p>
            <w:r/>
            <w:r>
              <w:rPr>
                <w:b w:val="0"/>
                <w:sz w:val="15"/>
              </w:rPr>
              <w:t>Broad inability to serve customers</w:t>
            </w:r>
          </w:p>
        </w:tc>
      </w:tr>
      <w:tr>
        <w:tc>
          <w:tcPr>
            <w:tcW w:type="dxa" w:w="2577"/>
            <w:vAlign w:val="center"/>
          </w:tcPr>
          <w:p>
            <w:r/>
            <w:r>
              <w:rPr>
                <w:b w:val="0"/>
                <w:sz w:val="15"/>
              </w:rPr>
              <w:t>Financial impact</w:t>
            </w:r>
          </w:p>
        </w:tc>
        <w:tc>
          <w:tcPr>
            <w:tcW w:type="dxa" w:w="2577"/>
            <w:vAlign w:val="center"/>
          </w:tcPr>
          <w:p>
            <w:r/>
            <w:r>
              <w:rPr>
                <w:b w:val="0"/>
                <w:sz w:val="15"/>
              </w:rPr>
              <w:t>Minimal</w:t>
            </w:r>
          </w:p>
        </w:tc>
        <w:tc>
          <w:tcPr>
            <w:tcW w:type="dxa" w:w="2577"/>
            <w:vAlign w:val="center"/>
          </w:tcPr>
          <w:p>
            <w:r/>
            <w:r>
              <w:rPr>
                <w:b w:val="0"/>
                <w:sz w:val="15"/>
              </w:rPr>
              <w:t>Manageable operational loss</w:t>
            </w:r>
          </w:p>
        </w:tc>
        <w:tc>
          <w:tcPr>
            <w:tcW w:type="dxa" w:w="2577"/>
            <w:vAlign w:val="center"/>
          </w:tcPr>
          <w:p>
            <w:r/>
            <w:r>
              <w:rPr>
                <w:b w:val="0"/>
                <w:sz w:val="15"/>
              </w:rPr>
              <w:t>Material loss/liquidity/settlement impact</w:t>
            </w:r>
          </w:p>
        </w:tc>
      </w:tr>
      <w:tr>
        <w:tc>
          <w:tcPr>
            <w:tcW w:type="dxa" w:w="2577"/>
            <w:vAlign w:val="center"/>
          </w:tcPr>
          <w:p>
            <w:r/>
            <w:r>
              <w:rPr>
                <w:b w:val="0"/>
                <w:sz w:val="15"/>
              </w:rPr>
              <w:t>Data sensitivity</w:t>
            </w:r>
          </w:p>
        </w:tc>
        <w:tc>
          <w:tcPr>
            <w:tcW w:type="dxa" w:w="2577"/>
            <w:vAlign w:val="center"/>
          </w:tcPr>
          <w:p>
            <w:r/>
            <w:r>
              <w:rPr>
                <w:b w:val="0"/>
                <w:sz w:val="15"/>
              </w:rPr>
              <w:t>Internal</w:t>
            </w:r>
          </w:p>
        </w:tc>
        <w:tc>
          <w:tcPr>
            <w:tcW w:type="dxa" w:w="2577"/>
            <w:vAlign w:val="center"/>
          </w:tcPr>
          <w:p>
            <w:r/>
            <w:r>
              <w:rPr>
                <w:b w:val="0"/>
                <w:sz w:val="15"/>
              </w:rPr>
              <w:t>Confidential</w:t>
            </w:r>
          </w:p>
        </w:tc>
        <w:tc>
          <w:tcPr>
            <w:tcW w:type="dxa" w:w="2577"/>
            <w:vAlign w:val="center"/>
          </w:tcPr>
          <w:p>
            <w:r/>
            <w:r>
              <w:rPr>
                <w:b w:val="0"/>
                <w:sz w:val="15"/>
              </w:rPr>
              <w:t>Restricted/high-volume customer data</w:t>
            </w:r>
          </w:p>
        </w:tc>
      </w:tr>
      <w:tr>
        <w:tc>
          <w:tcPr>
            <w:tcW w:type="dxa" w:w="2577"/>
            <w:vAlign w:val="center"/>
          </w:tcPr>
          <w:p>
            <w:r/>
            <w:r>
              <w:rPr>
                <w:b w:val="0"/>
                <w:sz w:val="15"/>
              </w:rPr>
              <w:t>Recovery dependency</w:t>
            </w:r>
          </w:p>
        </w:tc>
        <w:tc>
          <w:tcPr>
            <w:tcW w:type="dxa" w:w="2577"/>
            <w:vAlign w:val="center"/>
          </w:tcPr>
          <w:p>
            <w:r/>
            <w:r>
              <w:rPr>
                <w:b w:val="0"/>
                <w:sz w:val="15"/>
              </w:rPr>
              <w:t>Manual work-around easy</w:t>
            </w:r>
          </w:p>
        </w:tc>
        <w:tc>
          <w:tcPr>
            <w:tcW w:type="dxa" w:w="2577"/>
            <w:vAlign w:val="center"/>
          </w:tcPr>
          <w:p>
            <w:r/>
            <w:r>
              <w:rPr>
                <w:b w:val="0"/>
                <w:sz w:val="15"/>
              </w:rPr>
              <w:t>Limited work-around</w:t>
            </w:r>
          </w:p>
        </w:tc>
        <w:tc>
          <w:tcPr>
            <w:tcW w:type="dxa" w:w="2577"/>
            <w:vAlign w:val="center"/>
          </w:tcPr>
          <w:p>
            <w:r/>
            <w:r>
              <w:rPr>
                <w:b w:val="0"/>
                <w:sz w:val="15"/>
              </w:rPr>
              <w:t>No practical work-around</w:t>
            </w:r>
          </w:p>
        </w:tc>
      </w:tr>
      <w:tr>
        <w:tc>
          <w:tcPr>
            <w:tcW w:type="dxa" w:w="2577"/>
            <w:vAlign w:val="center"/>
          </w:tcPr>
          <w:p>
            <w:r/>
            <w:r>
              <w:rPr>
                <w:b w:val="0"/>
                <w:sz w:val="15"/>
              </w:rPr>
              <w:t>External dependency</w:t>
            </w:r>
          </w:p>
        </w:tc>
        <w:tc>
          <w:tcPr>
            <w:tcW w:type="dxa" w:w="2577"/>
            <w:vAlign w:val="center"/>
          </w:tcPr>
          <w:p>
            <w:r/>
            <w:r>
              <w:rPr>
                <w:b w:val="0"/>
                <w:sz w:val="15"/>
              </w:rPr>
              <w:t>None/minor</w:t>
            </w:r>
          </w:p>
        </w:tc>
        <w:tc>
          <w:tcPr>
            <w:tcW w:type="dxa" w:w="2577"/>
            <w:vAlign w:val="center"/>
          </w:tcPr>
          <w:p>
            <w:r/>
            <w:r>
              <w:rPr>
                <w:b w:val="0"/>
                <w:sz w:val="15"/>
              </w:rPr>
              <w:t>Several integrations</w:t>
            </w:r>
          </w:p>
        </w:tc>
        <w:tc>
          <w:tcPr>
            <w:tcW w:type="dxa" w:w="2577"/>
            <w:vAlign w:val="center"/>
          </w:tcPr>
          <w:p>
            <w:r/>
            <w:r>
              <w:rPr>
                <w:b w:val="0"/>
                <w:sz w:val="15"/>
              </w:rPr>
              <w:t>Core payment/data/vendor dependencies</w:t>
            </w:r>
          </w:p>
        </w:tc>
      </w:tr>
    </w:tbl>
    <w:p/>
    <w:p>
      <w:pPr>
        <w:pStyle w:val="Heading1"/>
      </w:pPr>
      <w:r>
        <w:t>Appendix C — Security Exception Evidence</w:t>
      </w:r>
    </w:p>
    <w:p>
      <w:r>
        <w:t>A security exception is valid only when recorded before intentional non-compliance unless emergency containment applies.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Field</w:t>
            </w:r>
          </w:p>
        </w:tc>
        <w:tc>
          <w:tcPr>
            <w:tcW w:type="dxa" w:w="5155"/>
            <w:vAlign w:val="center"/>
            <w:shd w:fill="17365D"/>
          </w:tcPr>
          <w:p>
            <w:r/>
            <w:r>
              <w:rPr>
                <w:b/>
                <w:color w:val="FFFFFF"/>
                <w:sz w:val="15"/>
              </w:rPr>
              <w:t>Required Content</w:t>
            </w:r>
          </w:p>
        </w:tc>
      </w:tr>
      <w:tr>
        <w:tc>
          <w:tcPr>
            <w:tcW w:type="dxa" w:w="5155"/>
            <w:vAlign w:val="center"/>
          </w:tcPr>
          <w:p>
            <w:r/>
            <w:r>
              <w:rPr>
                <w:b w:val="0"/>
                <w:sz w:val="15"/>
              </w:rPr>
              <w:t>Control requirement</w:t>
            </w:r>
          </w:p>
        </w:tc>
        <w:tc>
          <w:tcPr>
            <w:tcW w:type="dxa" w:w="5155"/>
            <w:vAlign w:val="center"/>
          </w:tcPr>
          <w:p>
            <w:r/>
            <w:r>
              <w:rPr>
                <w:b w:val="0"/>
                <w:sz w:val="15"/>
              </w:rPr>
              <w:t>Exact policy/standard requirement affected</w:t>
            </w:r>
          </w:p>
        </w:tc>
      </w:tr>
      <w:tr>
        <w:tc>
          <w:tcPr>
            <w:tcW w:type="dxa" w:w="5155"/>
            <w:vAlign w:val="center"/>
          </w:tcPr>
          <w:p>
            <w:r/>
            <w:r>
              <w:rPr>
                <w:b w:val="0"/>
                <w:sz w:val="15"/>
              </w:rPr>
              <w:t>Reason</w:t>
            </w:r>
          </w:p>
        </w:tc>
        <w:tc>
          <w:tcPr>
            <w:tcW w:type="dxa" w:w="5155"/>
            <w:vAlign w:val="center"/>
          </w:tcPr>
          <w:p>
            <w:r/>
            <w:r>
              <w:rPr>
                <w:b w:val="0"/>
                <w:sz w:val="15"/>
              </w:rPr>
              <w:t>Why compliant implementation is not currently feasible</w:t>
            </w:r>
          </w:p>
        </w:tc>
      </w:tr>
      <w:tr>
        <w:tc>
          <w:tcPr>
            <w:tcW w:type="dxa" w:w="5155"/>
            <w:vAlign w:val="center"/>
          </w:tcPr>
          <w:p>
            <w:r/>
            <w:r>
              <w:rPr>
                <w:b w:val="0"/>
                <w:sz w:val="15"/>
              </w:rPr>
              <w:t>Risk</w:t>
            </w:r>
          </w:p>
        </w:tc>
        <w:tc>
          <w:tcPr>
            <w:tcW w:type="dxa" w:w="5155"/>
            <w:vAlign w:val="center"/>
          </w:tcPr>
          <w:p>
            <w:r/>
            <w:r>
              <w:rPr>
                <w:b w:val="0"/>
                <w:sz w:val="15"/>
              </w:rPr>
              <w:t>Threat, exposure and potential impact</w:t>
            </w:r>
          </w:p>
        </w:tc>
      </w:tr>
      <w:tr>
        <w:tc>
          <w:tcPr>
            <w:tcW w:type="dxa" w:w="5155"/>
            <w:vAlign w:val="center"/>
          </w:tcPr>
          <w:p>
            <w:r/>
            <w:r>
              <w:rPr>
                <w:b w:val="0"/>
                <w:sz w:val="15"/>
              </w:rPr>
              <w:t>Compensating controls</w:t>
            </w:r>
          </w:p>
        </w:tc>
        <w:tc>
          <w:tcPr>
            <w:tcW w:type="dxa" w:w="5155"/>
            <w:vAlign w:val="center"/>
          </w:tcPr>
          <w:p>
            <w:r/>
            <w:r>
              <w:rPr>
                <w:b w:val="0"/>
                <w:sz w:val="15"/>
              </w:rPr>
              <w:t>Specific controls that reduce risk now</w:t>
            </w:r>
          </w:p>
        </w:tc>
      </w:tr>
      <w:tr>
        <w:tc>
          <w:tcPr>
            <w:tcW w:type="dxa" w:w="5155"/>
            <w:vAlign w:val="center"/>
          </w:tcPr>
          <w:p>
            <w:r/>
            <w:r>
              <w:rPr>
                <w:b w:val="0"/>
                <w:sz w:val="15"/>
              </w:rPr>
              <w:t>Scope</w:t>
            </w:r>
          </w:p>
        </w:tc>
        <w:tc>
          <w:tcPr>
            <w:tcW w:type="dxa" w:w="5155"/>
            <w:vAlign w:val="center"/>
          </w:tcPr>
          <w:p>
            <w:r/>
            <w:r>
              <w:rPr>
                <w:b w:val="0"/>
                <w:sz w:val="15"/>
              </w:rPr>
              <w:t>Systems, accounts, data and locations covered</w:t>
            </w:r>
          </w:p>
        </w:tc>
      </w:tr>
      <w:tr>
        <w:tc>
          <w:tcPr>
            <w:tcW w:type="dxa" w:w="5155"/>
            <w:vAlign w:val="center"/>
          </w:tcPr>
          <w:p>
            <w:r/>
            <w:r>
              <w:rPr>
                <w:b w:val="0"/>
                <w:sz w:val="15"/>
              </w:rPr>
              <w:t>Owner</w:t>
            </w:r>
          </w:p>
        </w:tc>
        <w:tc>
          <w:tcPr>
            <w:tcW w:type="dxa" w:w="5155"/>
            <w:vAlign w:val="center"/>
          </w:tcPr>
          <w:p>
            <w:r/>
            <w:r>
              <w:rPr>
                <w:b w:val="0"/>
                <w:sz w:val="15"/>
              </w:rPr>
              <w:t>Named accountable business/technology owner</w:t>
            </w:r>
          </w:p>
        </w:tc>
      </w:tr>
      <w:tr>
        <w:tc>
          <w:tcPr>
            <w:tcW w:type="dxa" w:w="5155"/>
            <w:vAlign w:val="center"/>
          </w:tcPr>
          <w:p>
            <w:r/>
            <w:r>
              <w:rPr>
                <w:b w:val="0"/>
                <w:sz w:val="15"/>
              </w:rPr>
              <w:t>Approval</w:t>
            </w:r>
          </w:p>
        </w:tc>
        <w:tc>
          <w:tcPr>
            <w:tcW w:type="dxa" w:w="5155"/>
            <w:vAlign w:val="center"/>
          </w:tcPr>
          <w:p>
            <w:r/>
            <w:r>
              <w:rPr>
                <w:b w:val="0"/>
                <w:sz w:val="15"/>
              </w:rPr>
              <w:t>Required Security/Risk authority</w:t>
            </w:r>
          </w:p>
        </w:tc>
      </w:tr>
      <w:tr>
        <w:tc>
          <w:tcPr>
            <w:tcW w:type="dxa" w:w="5155"/>
            <w:vAlign w:val="center"/>
          </w:tcPr>
          <w:p>
            <w:r/>
            <w:r>
              <w:rPr>
                <w:b w:val="0"/>
                <w:sz w:val="15"/>
              </w:rPr>
              <w:t>Expiry</w:t>
            </w:r>
          </w:p>
        </w:tc>
        <w:tc>
          <w:tcPr>
            <w:tcW w:type="dxa" w:w="5155"/>
            <w:vAlign w:val="center"/>
          </w:tcPr>
          <w:p>
            <w:r/>
            <w:r>
              <w:rPr>
                <w:b w:val="0"/>
                <w:sz w:val="15"/>
              </w:rPr>
              <w:t>Fixed date or event</w:t>
            </w:r>
          </w:p>
        </w:tc>
      </w:tr>
      <w:tr>
        <w:tc>
          <w:tcPr>
            <w:tcW w:type="dxa" w:w="5155"/>
            <w:vAlign w:val="center"/>
          </w:tcPr>
          <w:p>
            <w:r/>
            <w:r>
              <w:rPr>
                <w:b w:val="0"/>
                <w:sz w:val="15"/>
              </w:rPr>
              <w:t>Remediation</w:t>
            </w:r>
          </w:p>
        </w:tc>
        <w:tc>
          <w:tcPr>
            <w:tcW w:type="dxa" w:w="5155"/>
            <w:vAlign w:val="center"/>
          </w:tcPr>
          <w:p>
            <w:r/>
            <w:r>
              <w:rPr>
                <w:b w:val="0"/>
                <w:sz w:val="15"/>
              </w:rPr>
              <w:t>Actions and milestones to return to standard</w:t>
            </w:r>
          </w:p>
        </w:tc>
      </w:tr>
    </w:tbl>
    <w:p/>
    <w:p>
      <w:pPr>
        <w:pStyle w:val="Heading1"/>
      </w:pPr>
      <w:r>
        <w:t>Appendix D — Information Security Control Library</w:t>
      </w:r>
    </w:p>
    <w:p>
      <w:r>
        <w:t>Control owners may use this library when designing evidence.</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Domain</w:t>
            </w:r>
          </w:p>
        </w:tc>
        <w:tc>
          <w:tcPr>
            <w:tcW w:type="dxa" w:w="3437"/>
            <w:vAlign w:val="center"/>
            <w:shd w:fill="17365D"/>
          </w:tcPr>
          <w:p>
            <w:r/>
            <w:r>
              <w:rPr>
                <w:b/>
                <w:color w:val="FFFFFF"/>
                <w:sz w:val="15"/>
              </w:rPr>
              <w:t>Control Examples</w:t>
            </w:r>
          </w:p>
        </w:tc>
        <w:tc>
          <w:tcPr>
            <w:tcW w:type="dxa" w:w="3437"/>
            <w:vAlign w:val="center"/>
            <w:shd w:fill="17365D"/>
          </w:tcPr>
          <w:p>
            <w:r/>
            <w:r>
              <w:rPr>
                <w:b/>
                <w:color w:val="FFFFFF"/>
                <w:sz w:val="15"/>
              </w:rPr>
              <w:t>Evidence</w:t>
            </w:r>
          </w:p>
        </w:tc>
      </w:tr>
      <w:tr>
        <w:tc>
          <w:tcPr>
            <w:tcW w:type="dxa" w:w="3437"/>
            <w:vAlign w:val="center"/>
          </w:tcPr>
          <w:p>
            <w:r/>
            <w:r>
              <w:rPr>
                <w:b w:val="0"/>
                <w:sz w:val="15"/>
              </w:rPr>
              <w:t>Identity</w:t>
            </w:r>
          </w:p>
        </w:tc>
        <w:tc>
          <w:tcPr>
            <w:tcW w:type="dxa" w:w="3437"/>
            <w:vAlign w:val="center"/>
          </w:tcPr>
          <w:p>
            <w:r/>
            <w:r>
              <w:rPr>
                <w:b w:val="0"/>
                <w:sz w:val="15"/>
              </w:rPr>
              <w:t>MFA, SSO, PAM, joiner/mover/leaver</w:t>
            </w:r>
          </w:p>
        </w:tc>
        <w:tc>
          <w:tcPr>
            <w:tcW w:type="dxa" w:w="3437"/>
            <w:vAlign w:val="center"/>
          </w:tcPr>
          <w:p>
            <w:r/>
            <w:r>
              <w:rPr>
                <w:b w:val="0"/>
                <w:sz w:val="15"/>
              </w:rPr>
              <w:t>Access reports, approvals, recertification</w:t>
            </w:r>
          </w:p>
        </w:tc>
      </w:tr>
      <w:tr>
        <w:tc>
          <w:tcPr>
            <w:tcW w:type="dxa" w:w="3437"/>
            <w:vAlign w:val="center"/>
          </w:tcPr>
          <w:p>
            <w:r/>
            <w:r>
              <w:rPr>
                <w:b w:val="0"/>
                <w:sz w:val="15"/>
              </w:rPr>
              <w:t>Endpoint</w:t>
            </w:r>
          </w:p>
        </w:tc>
        <w:tc>
          <w:tcPr>
            <w:tcW w:type="dxa" w:w="3437"/>
            <w:vAlign w:val="center"/>
          </w:tcPr>
          <w:p>
            <w:r/>
            <w:r>
              <w:rPr>
                <w:b w:val="0"/>
                <w:sz w:val="15"/>
              </w:rPr>
              <w:t>EDR, encryption, patching</w:t>
            </w:r>
          </w:p>
        </w:tc>
        <w:tc>
          <w:tcPr>
            <w:tcW w:type="dxa" w:w="3437"/>
            <w:vAlign w:val="center"/>
          </w:tcPr>
          <w:p>
            <w:r/>
            <w:r>
              <w:rPr>
                <w:b w:val="0"/>
                <w:sz w:val="15"/>
              </w:rPr>
              <w:t>Coverage dashboards, exceptions</w:t>
            </w:r>
          </w:p>
        </w:tc>
      </w:tr>
      <w:tr>
        <w:tc>
          <w:tcPr>
            <w:tcW w:type="dxa" w:w="3437"/>
            <w:vAlign w:val="center"/>
          </w:tcPr>
          <w:p>
            <w:r/>
            <w:r>
              <w:rPr>
                <w:b w:val="0"/>
                <w:sz w:val="15"/>
              </w:rPr>
              <w:t>Network</w:t>
            </w:r>
          </w:p>
        </w:tc>
        <w:tc>
          <w:tcPr>
            <w:tcW w:type="dxa" w:w="3437"/>
            <w:vAlign w:val="center"/>
          </w:tcPr>
          <w:p>
            <w:r/>
            <w:r>
              <w:rPr>
                <w:b w:val="0"/>
                <w:sz w:val="15"/>
              </w:rPr>
              <w:t>Segmentation, firewall review, secure gateways</w:t>
            </w:r>
          </w:p>
        </w:tc>
        <w:tc>
          <w:tcPr>
            <w:tcW w:type="dxa" w:w="3437"/>
            <w:vAlign w:val="center"/>
          </w:tcPr>
          <w:p>
            <w:r/>
            <w:r>
              <w:rPr>
                <w:b w:val="0"/>
                <w:sz w:val="15"/>
              </w:rPr>
              <w:t>Rulesets, reviews, monitoring</w:t>
            </w:r>
          </w:p>
        </w:tc>
      </w:tr>
      <w:tr>
        <w:tc>
          <w:tcPr>
            <w:tcW w:type="dxa" w:w="3437"/>
            <w:vAlign w:val="center"/>
          </w:tcPr>
          <w:p>
            <w:r/>
            <w:r>
              <w:rPr>
                <w:b w:val="0"/>
                <w:sz w:val="15"/>
              </w:rPr>
              <w:t>Application</w:t>
            </w:r>
          </w:p>
        </w:tc>
        <w:tc>
          <w:tcPr>
            <w:tcW w:type="dxa" w:w="3437"/>
            <w:vAlign w:val="center"/>
          </w:tcPr>
          <w:p>
            <w:r/>
            <w:r>
              <w:rPr>
                <w:b w:val="0"/>
                <w:sz w:val="15"/>
              </w:rPr>
              <w:t>Secure SDLC, testing, secrets</w:t>
            </w:r>
          </w:p>
        </w:tc>
        <w:tc>
          <w:tcPr>
            <w:tcW w:type="dxa" w:w="3437"/>
            <w:vAlign w:val="center"/>
          </w:tcPr>
          <w:p>
            <w:r/>
            <w:r>
              <w:rPr>
                <w:b w:val="0"/>
                <w:sz w:val="15"/>
              </w:rPr>
              <w:t>Scan reports, change records</w:t>
            </w:r>
          </w:p>
        </w:tc>
      </w:tr>
      <w:tr>
        <w:tc>
          <w:tcPr>
            <w:tcW w:type="dxa" w:w="3437"/>
            <w:vAlign w:val="center"/>
          </w:tcPr>
          <w:p>
            <w:r/>
            <w:r>
              <w:rPr>
                <w:b w:val="0"/>
                <w:sz w:val="15"/>
              </w:rPr>
              <w:t>Data</w:t>
            </w:r>
          </w:p>
        </w:tc>
        <w:tc>
          <w:tcPr>
            <w:tcW w:type="dxa" w:w="3437"/>
            <w:vAlign w:val="center"/>
          </w:tcPr>
          <w:p>
            <w:r/>
            <w:r>
              <w:rPr>
                <w:b w:val="0"/>
                <w:sz w:val="15"/>
              </w:rPr>
              <w:t>Classification, DLP, encryption</w:t>
            </w:r>
          </w:p>
        </w:tc>
        <w:tc>
          <w:tcPr>
            <w:tcW w:type="dxa" w:w="3437"/>
            <w:vAlign w:val="center"/>
          </w:tcPr>
          <w:p>
            <w:r/>
            <w:r>
              <w:rPr>
                <w:b w:val="0"/>
                <w:sz w:val="15"/>
              </w:rPr>
              <w:t>Repository settings, transfer logs</w:t>
            </w:r>
          </w:p>
        </w:tc>
      </w:tr>
      <w:tr>
        <w:tc>
          <w:tcPr>
            <w:tcW w:type="dxa" w:w="3437"/>
            <w:vAlign w:val="center"/>
          </w:tcPr>
          <w:p>
            <w:r/>
            <w:r>
              <w:rPr>
                <w:b w:val="0"/>
                <w:sz w:val="15"/>
              </w:rPr>
              <w:t>Cloud</w:t>
            </w:r>
          </w:p>
        </w:tc>
        <w:tc>
          <w:tcPr>
            <w:tcW w:type="dxa" w:w="3437"/>
            <w:vAlign w:val="center"/>
          </w:tcPr>
          <w:p>
            <w:r/>
            <w:r>
              <w:rPr>
                <w:b w:val="0"/>
                <w:sz w:val="15"/>
              </w:rPr>
              <w:t>IAM, logging, configuration posture</w:t>
            </w:r>
          </w:p>
        </w:tc>
        <w:tc>
          <w:tcPr>
            <w:tcW w:type="dxa" w:w="3437"/>
            <w:vAlign w:val="center"/>
          </w:tcPr>
          <w:p>
            <w:r/>
            <w:r>
              <w:rPr>
                <w:b w:val="0"/>
                <w:sz w:val="15"/>
              </w:rPr>
              <w:t>Cloud security reports</w:t>
            </w:r>
          </w:p>
        </w:tc>
      </w:tr>
      <w:tr>
        <w:tc>
          <w:tcPr>
            <w:tcW w:type="dxa" w:w="3437"/>
            <w:vAlign w:val="center"/>
          </w:tcPr>
          <w:p>
            <w:r/>
            <w:r>
              <w:rPr>
                <w:b w:val="0"/>
                <w:sz w:val="15"/>
              </w:rPr>
              <w:t>Incident</w:t>
            </w:r>
          </w:p>
        </w:tc>
        <w:tc>
          <w:tcPr>
            <w:tcW w:type="dxa" w:w="3437"/>
            <w:vAlign w:val="center"/>
          </w:tcPr>
          <w:p>
            <w:r/>
            <w:r>
              <w:rPr>
                <w:b w:val="0"/>
                <w:sz w:val="15"/>
              </w:rPr>
              <w:t>Detection, triage, containment, lessons learned</w:t>
            </w:r>
          </w:p>
        </w:tc>
        <w:tc>
          <w:tcPr>
            <w:tcW w:type="dxa" w:w="3437"/>
            <w:vAlign w:val="center"/>
          </w:tcPr>
          <w:p>
            <w:r/>
            <w:r>
              <w:rPr>
                <w:b w:val="0"/>
                <w:sz w:val="15"/>
              </w:rPr>
              <w:t>Incident records, timelines</w:t>
            </w:r>
          </w:p>
        </w:tc>
      </w:tr>
      <w:tr>
        <w:tc>
          <w:tcPr>
            <w:tcW w:type="dxa" w:w="3437"/>
            <w:vAlign w:val="center"/>
          </w:tcPr>
          <w:p>
            <w:r/>
            <w:r>
              <w:rPr>
                <w:b w:val="0"/>
                <w:sz w:val="15"/>
              </w:rPr>
              <w:t>Third party</w:t>
            </w:r>
          </w:p>
        </w:tc>
        <w:tc>
          <w:tcPr>
            <w:tcW w:type="dxa" w:w="3437"/>
            <w:vAlign w:val="center"/>
          </w:tcPr>
          <w:p>
            <w:r/>
            <w:r>
              <w:rPr>
                <w:b w:val="0"/>
                <w:sz w:val="15"/>
              </w:rPr>
              <w:t>Due diligence, contracts, reassessment</w:t>
            </w:r>
          </w:p>
        </w:tc>
        <w:tc>
          <w:tcPr>
            <w:tcW w:type="dxa" w:w="3437"/>
            <w:vAlign w:val="center"/>
          </w:tcPr>
          <w:p>
            <w:r/>
            <w:r>
              <w:rPr>
                <w:b w:val="0"/>
                <w:sz w:val="15"/>
              </w:rPr>
              <w:t>Vendor assessments, assurance reports</w:t>
            </w:r>
          </w:p>
        </w:tc>
      </w:tr>
    </w:tbl>
    <w:p/>
    <w:p>
      <w:pPr>
        <w:pStyle w:val="Heading1"/>
      </w:pPr>
      <w:r>
        <w:t>Appendix E — Illustrative Edge Cases</w:t>
      </w:r>
    </w:p>
    <w:p>
      <w:r>
        <w:t>These examples show how hierarchy and scope apply.</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Scenario</w:t>
            </w:r>
          </w:p>
        </w:tc>
        <w:tc>
          <w:tcPr>
            <w:tcW w:type="dxa" w:w="5155"/>
            <w:vAlign w:val="center"/>
            <w:shd w:fill="17365D"/>
          </w:tcPr>
          <w:p>
            <w:r/>
            <w:r>
              <w:rPr>
                <w:b/>
                <w:color w:val="FFFFFF"/>
                <w:sz w:val="15"/>
              </w:rPr>
              <w:t>Treatment</w:t>
            </w:r>
          </w:p>
        </w:tc>
      </w:tr>
      <w:tr>
        <w:tc>
          <w:tcPr>
            <w:tcW w:type="dxa" w:w="5155"/>
            <w:vAlign w:val="center"/>
          </w:tcPr>
          <w:p>
            <w:r/>
            <w:r>
              <w:rPr>
                <w:b w:val="0"/>
                <w:sz w:val="15"/>
              </w:rPr>
              <w:t>Credit officer has database admin access</w:t>
            </w:r>
          </w:p>
        </w:tc>
        <w:tc>
          <w:tcPr>
            <w:tcW w:type="dxa" w:w="5155"/>
            <w:vAlign w:val="center"/>
          </w:tcPr>
          <w:p>
            <w:r/>
            <w:r>
              <w:rPr>
                <w:b w:val="0"/>
                <w:sz w:val="15"/>
              </w:rPr>
              <w:t>Technical access does not grant credit-decision authority; investigate segregation and remove unnecessary privilege.</w:t>
            </w:r>
          </w:p>
        </w:tc>
      </w:tr>
      <w:tr>
        <w:tc>
          <w:tcPr>
            <w:tcW w:type="dxa" w:w="5155"/>
            <w:vAlign w:val="center"/>
          </w:tcPr>
          <w:p>
            <w:r/>
            <w:r>
              <w:rPr>
                <w:b w:val="0"/>
                <w:sz w:val="15"/>
              </w:rPr>
              <w:t>Non-production environment exposed to internet</w:t>
            </w:r>
          </w:p>
        </w:tc>
        <w:tc>
          <w:tcPr>
            <w:tcW w:type="dxa" w:w="5155"/>
            <w:vAlign w:val="center"/>
          </w:tcPr>
          <w:p>
            <w:r/>
            <w:r>
              <w:rPr>
                <w:b w:val="0"/>
                <w:sz w:val="15"/>
              </w:rPr>
              <w:t>Assess data and exploitability; non-production status does not automatically make incident Low.</w:t>
            </w:r>
          </w:p>
        </w:tc>
      </w:tr>
      <w:tr>
        <w:tc>
          <w:tcPr>
            <w:tcW w:type="dxa" w:w="5155"/>
            <w:vAlign w:val="center"/>
          </w:tcPr>
          <w:p>
            <w:r/>
            <w:r>
              <w:rPr>
                <w:b w:val="0"/>
                <w:sz w:val="15"/>
              </w:rPr>
              <w:t>Vendor needs temporary production support</w:t>
            </w:r>
          </w:p>
        </w:tc>
        <w:tc>
          <w:tcPr>
            <w:tcW w:type="dxa" w:w="5155"/>
            <w:vAlign w:val="center"/>
          </w:tcPr>
          <w:p>
            <w:r/>
            <w:r>
              <w:rPr>
                <w:b w:val="0"/>
                <w:sz w:val="15"/>
              </w:rPr>
              <w:t>Time-bound sponsored access with MFA, logging and removal; vendor contract/VRP controls remain applicable.</w:t>
            </w:r>
          </w:p>
        </w:tc>
      </w:tr>
      <w:tr>
        <w:tc>
          <w:tcPr>
            <w:tcW w:type="dxa" w:w="5155"/>
            <w:vAlign w:val="center"/>
          </w:tcPr>
          <w:p>
            <w:r/>
            <w:r>
              <w:rPr>
                <w:b w:val="0"/>
                <w:sz w:val="15"/>
              </w:rPr>
              <w:t>Old system cannot retain 180 days searchable logs</w:t>
            </w:r>
          </w:p>
        </w:tc>
        <w:tc>
          <w:tcPr>
            <w:tcW w:type="dxa" w:w="5155"/>
            <w:vAlign w:val="center"/>
          </w:tcPr>
          <w:p>
            <w:r/>
            <w:r>
              <w:rPr>
                <w:b w:val="0"/>
                <w:sz w:val="15"/>
              </w:rPr>
              <w:t>Use approved migration exception and alternative archive/search controls until deadline.</w:t>
            </w:r>
          </w:p>
        </w:tc>
      </w:tr>
      <w:tr>
        <w:tc>
          <w:tcPr>
            <w:tcW w:type="dxa" w:w="5155"/>
            <w:vAlign w:val="center"/>
          </w:tcPr>
          <w:p>
            <w:r/>
            <w:r>
              <w:rPr>
                <w:b w:val="0"/>
                <w:sz w:val="15"/>
              </w:rPr>
              <w:t>Employee sends customer file to personal email to work faster</w:t>
            </w:r>
          </w:p>
        </w:tc>
        <w:tc>
          <w:tcPr>
            <w:tcW w:type="dxa" w:w="5155"/>
            <w:vAlign w:val="center"/>
          </w:tcPr>
          <w:p>
            <w:r/>
            <w:r>
              <w:rPr>
                <w:b w:val="0"/>
                <w:sz w:val="15"/>
              </w:rPr>
              <w:t>Unauthorized handling; contain, investigate data exposure and assess compliance breach.</w:t>
            </w:r>
          </w:p>
        </w:tc>
      </w:tr>
    </w:tbl>
    <w:p/>
    <w:p>
      <w:r>
        <w:br w:type="page"/>
      </w:r>
    </w:p>
    <w:p>
      <w:pPr>
        <w:pStyle w:val="Heading1"/>
      </w:pPr>
      <w:r>
        <w:t>Appendix F — Baseline Security Controls by System Tier</w:t>
      </w:r>
    </w:p>
    <w:p>
      <w:r>
        <w:t>System criticality determines the minimum control baseline, while data classification can increase the required level.</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Control Domain</w:t>
            </w:r>
          </w:p>
        </w:tc>
        <w:tc>
          <w:tcPr>
            <w:tcW w:type="dxa" w:w="2577"/>
            <w:vAlign w:val="center"/>
            <w:shd w:fill="17365D"/>
          </w:tcPr>
          <w:p>
            <w:r/>
            <w:r>
              <w:rPr>
                <w:b/>
                <w:color w:val="FFFFFF"/>
                <w:sz w:val="15"/>
              </w:rPr>
              <w:t>Tier 1 Critical</w:t>
            </w:r>
          </w:p>
        </w:tc>
        <w:tc>
          <w:tcPr>
            <w:tcW w:type="dxa" w:w="2577"/>
            <w:vAlign w:val="center"/>
            <w:shd w:fill="17365D"/>
          </w:tcPr>
          <w:p>
            <w:r/>
            <w:r>
              <w:rPr>
                <w:b/>
                <w:color w:val="FFFFFF"/>
                <w:sz w:val="15"/>
              </w:rPr>
              <w:t>Tier 2 High</w:t>
            </w:r>
          </w:p>
        </w:tc>
        <w:tc>
          <w:tcPr>
            <w:tcW w:type="dxa" w:w="2577"/>
            <w:vAlign w:val="center"/>
            <w:shd w:fill="17365D"/>
          </w:tcPr>
          <w:p>
            <w:r/>
            <w:r>
              <w:rPr>
                <w:b/>
                <w:color w:val="FFFFFF"/>
                <w:sz w:val="15"/>
              </w:rPr>
              <w:t>Tier 3 Standard</w:t>
            </w:r>
          </w:p>
        </w:tc>
      </w:tr>
      <w:tr>
        <w:tc>
          <w:tcPr>
            <w:tcW w:type="dxa" w:w="2577"/>
            <w:vAlign w:val="center"/>
          </w:tcPr>
          <w:p>
            <w:r/>
            <w:r>
              <w:rPr>
                <w:b w:val="0"/>
                <w:sz w:val="14"/>
              </w:rPr>
              <w:t>Identity</w:t>
            </w:r>
          </w:p>
        </w:tc>
        <w:tc>
          <w:tcPr>
            <w:tcW w:type="dxa" w:w="2577"/>
            <w:vAlign w:val="center"/>
          </w:tcPr>
          <w:p>
            <w:r/>
            <w:r>
              <w:rPr>
                <w:b w:val="0"/>
                <w:sz w:val="14"/>
              </w:rPr>
              <w:t>MFA, PAM for privilege, monthly critical-role review</w:t>
            </w:r>
          </w:p>
        </w:tc>
        <w:tc>
          <w:tcPr>
            <w:tcW w:type="dxa" w:w="2577"/>
            <w:vAlign w:val="center"/>
          </w:tcPr>
          <w:p>
            <w:r/>
            <w:r>
              <w:rPr>
                <w:b w:val="0"/>
                <w:sz w:val="14"/>
              </w:rPr>
              <w:t>MFA for privilege/remote, quarterly privileged review</w:t>
            </w:r>
          </w:p>
        </w:tc>
        <w:tc>
          <w:tcPr>
            <w:tcW w:type="dxa" w:w="2577"/>
            <w:vAlign w:val="center"/>
          </w:tcPr>
          <w:p>
            <w:r/>
            <w:r>
              <w:rPr>
                <w:b w:val="0"/>
                <w:sz w:val="14"/>
              </w:rPr>
              <w:t>SSO/MFA where designated</w:t>
            </w:r>
          </w:p>
        </w:tc>
      </w:tr>
      <w:tr>
        <w:tc>
          <w:tcPr>
            <w:tcW w:type="dxa" w:w="2577"/>
            <w:vAlign w:val="center"/>
          </w:tcPr>
          <w:p>
            <w:r/>
            <w:r>
              <w:rPr>
                <w:b w:val="0"/>
                <w:sz w:val="14"/>
              </w:rPr>
              <w:t>Logging</w:t>
            </w:r>
          </w:p>
        </w:tc>
        <w:tc>
          <w:tcPr>
            <w:tcW w:type="dxa" w:w="2577"/>
            <w:vAlign w:val="center"/>
          </w:tcPr>
          <w:p>
            <w:r/>
            <w:r>
              <w:rPr>
                <w:b w:val="0"/>
                <w:sz w:val="14"/>
              </w:rPr>
              <w:t>Centralized, 180d searchable, 12m archive</w:t>
            </w:r>
          </w:p>
        </w:tc>
        <w:tc>
          <w:tcPr>
            <w:tcW w:type="dxa" w:w="2577"/>
            <w:vAlign w:val="center"/>
          </w:tcPr>
          <w:p>
            <w:r/>
            <w:r>
              <w:rPr>
                <w:b w:val="0"/>
                <w:sz w:val="14"/>
              </w:rPr>
              <w:t>Centralized, 180d target for key logs</w:t>
            </w:r>
          </w:p>
        </w:tc>
        <w:tc>
          <w:tcPr>
            <w:tcW w:type="dxa" w:w="2577"/>
            <w:vAlign w:val="center"/>
          </w:tcPr>
          <w:p>
            <w:r/>
            <w:r>
              <w:rPr>
                <w:b w:val="0"/>
                <w:sz w:val="14"/>
              </w:rPr>
              <w:t>Risk-based centralized logging</w:t>
            </w:r>
          </w:p>
        </w:tc>
      </w:tr>
      <w:tr>
        <w:tc>
          <w:tcPr>
            <w:tcW w:type="dxa" w:w="2577"/>
            <w:vAlign w:val="center"/>
          </w:tcPr>
          <w:p>
            <w:r/>
            <w:r>
              <w:rPr>
                <w:b w:val="0"/>
                <w:sz w:val="14"/>
              </w:rPr>
              <w:t>Vulnerability</w:t>
            </w:r>
          </w:p>
        </w:tc>
        <w:tc>
          <w:tcPr>
            <w:tcW w:type="dxa" w:w="2577"/>
            <w:vAlign w:val="center"/>
          </w:tcPr>
          <w:p>
            <w:r/>
            <w:r>
              <w:rPr>
                <w:b w:val="0"/>
                <w:sz w:val="14"/>
              </w:rPr>
              <w:t>Continuous/weekly scanning where feasible</w:t>
            </w:r>
          </w:p>
        </w:tc>
        <w:tc>
          <w:tcPr>
            <w:tcW w:type="dxa" w:w="2577"/>
            <w:vAlign w:val="center"/>
          </w:tcPr>
          <w:p>
            <w:r/>
            <w:r>
              <w:rPr>
                <w:b w:val="0"/>
                <w:sz w:val="14"/>
              </w:rPr>
              <w:t>At least monthly scanning</w:t>
            </w:r>
          </w:p>
        </w:tc>
        <w:tc>
          <w:tcPr>
            <w:tcW w:type="dxa" w:w="2577"/>
            <w:vAlign w:val="center"/>
          </w:tcPr>
          <w:p>
            <w:r/>
            <w:r>
              <w:rPr>
                <w:b w:val="0"/>
                <w:sz w:val="14"/>
              </w:rPr>
              <w:t>Quarterly or risk-based</w:t>
            </w:r>
          </w:p>
        </w:tc>
      </w:tr>
      <w:tr>
        <w:tc>
          <w:tcPr>
            <w:tcW w:type="dxa" w:w="2577"/>
            <w:vAlign w:val="center"/>
          </w:tcPr>
          <w:p>
            <w:r/>
            <w:r>
              <w:rPr>
                <w:b w:val="0"/>
                <w:sz w:val="14"/>
              </w:rPr>
              <w:t>Penetration testing</w:t>
            </w:r>
          </w:p>
        </w:tc>
        <w:tc>
          <w:tcPr>
            <w:tcW w:type="dxa" w:w="2577"/>
            <w:vAlign w:val="center"/>
          </w:tcPr>
          <w:p>
            <w:r/>
            <w:r>
              <w:rPr>
                <w:b w:val="0"/>
                <w:sz w:val="14"/>
              </w:rPr>
              <w:t>Annual + major change</w:t>
            </w:r>
          </w:p>
        </w:tc>
        <w:tc>
          <w:tcPr>
            <w:tcW w:type="dxa" w:w="2577"/>
            <w:vAlign w:val="center"/>
          </w:tcPr>
          <w:p>
            <w:r/>
            <w:r>
              <w:rPr>
                <w:b w:val="0"/>
                <w:sz w:val="14"/>
              </w:rPr>
              <w:t>Annual/18-month risk-based</w:t>
            </w:r>
          </w:p>
        </w:tc>
        <w:tc>
          <w:tcPr>
            <w:tcW w:type="dxa" w:w="2577"/>
            <w:vAlign w:val="center"/>
          </w:tcPr>
          <w:p>
            <w:r/>
            <w:r>
              <w:rPr>
                <w:b w:val="0"/>
                <w:sz w:val="14"/>
              </w:rPr>
              <w:t>Risk-based</w:t>
            </w:r>
          </w:p>
        </w:tc>
      </w:tr>
      <w:tr>
        <w:tc>
          <w:tcPr>
            <w:tcW w:type="dxa" w:w="2577"/>
            <w:vAlign w:val="center"/>
          </w:tcPr>
          <w:p>
            <w:r/>
            <w:r>
              <w:rPr>
                <w:b w:val="0"/>
                <w:sz w:val="14"/>
              </w:rPr>
              <w:t>Backup</w:t>
            </w:r>
          </w:p>
        </w:tc>
        <w:tc>
          <w:tcPr>
            <w:tcW w:type="dxa" w:w="2577"/>
            <w:vAlign w:val="center"/>
          </w:tcPr>
          <w:p>
            <w:r/>
            <w:r>
              <w:rPr>
                <w:b w:val="0"/>
                <w:sz w:val="14"/>
              </w:rPr>
              <w:t>Protected recovery copy; restore test at least semiannual</w:t>
            </w:r>
          </w:p>
        </w:tc>
        <w:tc>
          <w:tcPr>
            <w:tcW w:type="dxa" w:w="2577"/>
            <w:vAlign w:val="center"/>
          </w:tcPr>
          <w:p>
            <w:r/>
            <w:r>
              <w:rPr>
                <w:b w:val="0"/>
                <w:sz w:val="14"/>
              </w:rPr>
              <w:t>Restore test at least annual</w:t>
            </w:r>
          </w:p>
        </w:tc>
        <w:tc>
          <w:tcPr>
            <w:tcW w:type="dxa" w:w="2577"/>
            <w:vAlign w:val="center"/>
          </w:tcPr>
          <w:p>
            <w:r/>
            <w:r>
              <w:rPr>
                <w:b w:val="0"/>
                <w:sz w:val="14"/>
              </w:rPr>
              <w:t>Backup per business requirement</w:t>
            </w:r>
          </w:p>
        </w:tc>
      </w:tr>
      <w:tr>
        <w:tc>
          <w:tcPr>
            <w:tcW w:type="dxa" w:w="2577"/>
            <w:vAlign w:val="center"/>
          </w:tcPr>
          <w:p>
            <w:r/>
            <w:r>
              <w:rPr>
                <w:b w:val="0"/>
                <w:sz w:val="14"/>
              </w:rPr>
              <w:t>Change</w:t>
            </w:r>
          </w:p>
        </w:tc>
        <w:tc>
          <w:tcPr>
            <w:tcW w:type="dxa" w:w="2577"/>
            <w:vAlign w:val="center"/>
          </w:tcPr>
          <w:p>
            <w:r/>
            <w:r>
              <w:rPr>
                <w:b w:val="0"/>
                <w:sz w:val="14"/>
              </w:rPr>
              <w:t>Formal approval + segregation</w:t>
            </w:r>
          </w:p>
        </w:tc>
        <w:tc>
          <w:tcPr>
            <w:tcW w:type="dxa" w:w="2577"/>
            <w:vAlign w:val="center"/>
          </w:tcPr>
          <w:p>
            <w:r/>
            <w:r>
              <w:rPr>
                <w:b w:val="0"/>
                <w:sz w:val="14"/>
              </w:rPr>
              <w:t>Formal change control</w:t>
            </w:r>
          </w:p>
        </w:tc>
        <w:tc>
          <w:tcPr>
            <w:tcW w:type="dxa" w:w="2577"/>
            <w:vAlign w:val="center"/>
          </w:tcPr>
          <w:p>
            <w:r/>
            <w:r>
              <w:rPr>
                <w:b w:val="0"/>
                <w:sz w:val="14"/>
              </w:rPr>
              <w:t>Standard change process</w:t>
            </w:r>
          </w:p>
        </w:tc>
      </w:tr>
      <w:tr>
        <w:tc>
          <w:tcPr>
            <w:tcW w:type="dxa" w:w="2577"/>
            <w:vAlign w:val="center"/>
          </w:tcPr>
          <w:p>
            <w:r/>
            <w:r>
              <w:rPr>
                <w:b w:val="0"/>
                <w:sz w:val="14"/>
              </w:rPr>
              <w:t>Resilience</w:t>
            </w:r>
          </w:p>
        </w:tc>
        <w:tc>
          <w:tcPr>
            <w:tcW w:type="dxa" w:w="2577"/>
            <w:vAlign w:val="center"/>
          </w:tcPr>
          <w:p>
            <w:r/>
            <w:r>
              <w:rPr>
                <w:b w:val="0"/>
                <w:sz w:val="14"/>
              </w:rPr>
              <w:t>Documented recovery architecture</w:t>
            </w:r>
          </w:p>
        </w:tc>
        <w:tc>
          <w:tcPr>
            <w:tcW w:type="dxa" w:w="2577"/>
            <w:vAlign w:val="center"/>
          </w:tcPr>
          <w:p>
            <w:r/>
            <w:r>
              <w:rPr>
                <w:b w:val="0"/>
                <w:sz w:val="14"/>
              </w:rPr>
              <w:t>Documented recovery plan</w:t>
            </w:r>
          </w:p>
        </w:tc>
        <w:tc>
          <w:tcPr>
            <w:tcW w:type="dxa" w:w="2577"/>
            <w:vAlign w:val="center"/>
          </w:tcPr>
          <w:p>
            <w:r/>
            <w:r>
              <w:rPr>
                <w:b w:val="0"/>
                <w:sz w:val="14"/>
              </w:rPr>
              <w:t>Basic recovery procedure</w:t>
            </w:r>
          </w:p>
        </w:tc>
      </w:tr>
      <w:tr>
        <w:tc>
          <w:tcPr>
            <w:tcW w:type="dxa" w:w="2577"/>
            <w:vAlign w:val="center"/>
          </w:tcPr>
          <w:p>
            <w:r/>
            <w:r>
              <w:rPr>
                <w:b w:val="0"/>
                <w:sz w:val="14"/>
              </w:rPr>
              <w:t>Third-party assurance</w:t>
            </w:r>
          </w:p>
        </w:tc>
        <w:tc>
          <w:tcPr>
            <w:tcW w:type="dxa" w:w="2577"/>
            <w:vAlign w:val="center"/>
          </w:tcPr>
          <w:p>
            <w:r/>
            <w:r>
              <w:rPr>
                <w:b w:val="0"/>
                <w:sz w:val="14"/>
              </w:rPr>
              <w:t>Enhanced for outsourced critical components</w:t>
            </w:r>
          </w:p>
        </w:tc>
        <w:tc>
          <w:tcPr>
            <w:tcW w:type="dxa" w:w="2577"/>
            <w:vAlign w:val="center"/>
          </w:tcPr>
          <w:p>
            <w:r/>
            <w:r>
              <w:rPr>
                <w:b w:val="0"/>
                <w:sz w:val="14"/>
              </w:rPr>
              <w:t>Risk-based evidence</w:t>
            </w:r>
          </w:p>
        </w:tc>
        <w:tc>
          <w:tcPr>
            <w:tcW w:type="dxa" w:w="2577"/>
            <w:vAlign w:val="center"/>
          </w:tcPr>
          <w:p>
            <w:r/>
            <w:r>
              <w:rPr>
                <w:b w:val="0"/>
                <w:sz w:val="14"/>
              </w:rPr>
              <w:t>Standard vendor due diligence</w:t>
            </w:r>
          </w:p>
        </w:tc>
      </w:tr>
    </w:tbl>
    <w:p/>
    <w:p>
      <w:r>
        <w:br w:type="page"/>
      </w:r>
    </w:p>
    <w:p>
      <w:pPr>
        <w:pStyle w:val="Heading1"/>
      </w:pPr>
      <w:r>
        <w:t>Appendix G — Secure Configuration Baseline</w:t>
      </w:r>
    </w:p>
    <w:p>
      <w:r>
        <w:t>Technology owners shall maintain secure configuration standards for supported platforms and document deviations.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Platform</w:t>
            </w:r>
          </w:p>
        </w:tc>
        <w:tc>
          <w:tcPr>
            <w:tcW w:type="dxa" w:w="3437"/>
            <w:vAlign w:val="center"/>
            <w:shd w:fill="17365D"/>
          </w:tcPr>
          <w:p>
            <w:r/>
            <w:r>
              <w:rPr>
                <w:b/>
                <w:color w:val="FFFFFF"/>
                <w:sz w:val="15"/>
              </w:rPr>
              <w:t>Minimum Configuration Themes</w:t>
            </w:r>
          </w:p>
        </w:tc>
        <w:tc>
          <w:tcPr>
            <w:tcW w:type="dxa" w:w="3437"/>
            <w:vAlign w:val="center"/>
            <w:shd w:fill="17365D"/>
          </w:tcPr>
          <w:p>
            <w:r/>
            <w:r>
              <w:rPr>
                <w:b/>
                <w:color w:val="FFFFFF"/>
                <w:sz w:val="15"/>
              </w:rPr>
              <w:t>Evidence</w:t>
            </w:r>
          </w:p>
        </w:tc>
      </w:tr>
      <w:tr>
        <w:tc>
          <w:tcPr>
            <w:tcW w:type="dxa" w:w="3437"/>
            <w:vAlign w:val="center"/>
          </w:tcPr>
          <w:p>
            <w:r/>
            <w:r>
              <w:rPr>
                <w:b w:val="0"/>
                <w:sz w:val="14"/>
              </w:rPr>
              <w:t>Windows/Linux servers</w:t>
            </w:r>
          </w:p>
        </w:tc>
        <w:tc>
          <w:tcPr>
            <w:tcW w:type="dxa" w:w="3437"/>
            <w:vAlign w:val="center"/>
          </w:tcPr>
          <w:p>
            <w:r/>
            <w:r>
              <w:rPr>
                <w:b w:val="0"/>
                <w:sz w:val="14"/>
              </w:rPr>
              <w:t>Hardened services, restricted admin, patching, logging, time sync</w:t>
            </w:r>
          </w:p>
        </w:tc>
        <w:tc>
          <w:tcPr>
            <w:tcW w:type="dxa" w:w="3437"/>
            <w:vAlign w:val="center"/>
          </w:tcPr>
          <w:p>
            <w:r/>
            <w:r>
              <w:rPr>
                <w:b w:val="0"/>
                <w:sz w:val="14"/>
              </w:rPr>
              <w:t>Build standard; scan results</w:t>
            </w:r>
          </w:p>
        </w:tc>
      </w:tr>
      <w:tr>
        <w:tc>
          <w:tcPr>
            <w:tcW w:type="dxa" w:w="3437"/>
            <w:vAlign w:val="center"/>
          </w:tcPr>
          <w:p>
            <w:r/>
            <w:r>
              <w:rPr>
                <w:b w:val="0"/>
                <w:sz w:val="14"/>
              </w:rPr>
              <w:t>Databases</w:t>
            </w:r>
          </w:p>
        </w:tc>
        <w:tc>
          <w:tcPr>
            <w:tcW w:type="dxa" w:w="3437"/>
            <w:vAlign w:val="center"/>
          </w:tcPr>
          <w:p>
            <w:r/>
            <w:r>
              <w:rPr>
                <w:b w:val="0"/>
                <w:sz w:val="14"/>
              </w:rPr>
              <w:t>Restricted network access, named admins, encryption, audit logs</w:t>
            </w:r>
          </w:p>
        </w:tc>
        <w:tc>
          <w:tcPr>
            <w:tcW w:type="dxa" w:w="3437"/>
            <w:vAlign w:val="center"/>
          </w:tcPr>
          <w:p>
            <w:r/>
            <w:r>
              <w:rPr>
                <w:b w:val="0"/>
                <w:sz w:val="14"/>
              </w:rPr>
              <w:t>DB baseline; access review</w:t>
            </w:r>
          </w:p>
        </w:tc>
      </w:tr>
      <w:tr>
        <w:tc>
          <w:tcPr>
            <w:tcW w:type="dxa" w:w="3437"/>
            <w:vAlign w:val="center"/>
          </w:tcPr>
          <w:p>
            <w:r/>
            <w:r>
              <w:rPr>
                <w:b w:val="0"/>
                <w:sz w:val="14"/>
              </w:rPr>
              <w:t>Cloud accounts</w:t>
            </w:r>
          </w:p>
        </w:tc>
        <w:tc>
          <w:tcPr>
            <w:tcW w:type="dxa" w:w="3437"/>
            <w:vAlign w:val="center"/>
          </w:tcPr>
          <w:p>
            <w:r/>
            <w:r>
              <w:rPr>
                <w:b w:val="0"/>
                <w:sz w:val="14"/>
              </w:rPr>
              <w:t>No public-by-default storage, MFA, role separation, centralized logs</w:t>
            </w:r>
          </w:p>
        </w:tc>
        <w:tc>
          <w:tcPr>
            <w:tcW w:type="dxa" w:w="3437"/>
            <w:vAlign w:val="center"/>
          </w:tcPr>
          <w:p>
            <w:r/>
            <w:r>
              <w:rPr>
                <w:b w:val="0"/>
                <w:sz w:val="14"/>
              </w:rPr>
              <w:t>Cloud posture report</w:t>
            </w:r>
          </w:p>
        </w:tc>
      </w:tr>
      <w:tr>
        <w:tc>
          <w:tcPr>
            <w:tcW w:type="dxa" w:w="3437"/>
            <w:vAlign w:val="center"/>
          </w:tcPr>
          <w:p>
            <w:r/>
            <w:r>
              <w:rPr>
                <w:b w:val="0"/>
                <w:sz w:val="14"/>
              </w:rPr>
              <w:t>Network devices</w:t>
            </w:r>
          </w:p>
        </w:tc>
        <w:tc>
          <w:tcPr>
            <w:tcW w:type="dxa" w:w="3437"/>
            <w:vAlign w:val="center"/>
          </w:tcPr>
          <w:p>
            <w:r/>
            <w:r>
              <w:rPr>
                <w:b w:val="0"/>
                <w:sz w:val="14"/>
              </w:rPr>
              <w:t>Named admin, config backup, restricted management plane</w:t>
            </w:r>
          </w:p>
        </w:tc>
        <w:tc>
          <w:tcPr>
            <w:tcW w:type="dxa" w:w="3437"/>
            <w:vAlign w:val="center"/>
          </w:tcPr>
          <w:p>
            <w:r/>
            <w:r>
              <w:rPr>
                <w:b w:val="0"/>
                <w:sz w:val="14"/>
              </w:rPr>
              <w:t>Config standard; AAA logs</w:t>
            </w:r>
          </w:p>
        </w:tc>
      </w:tr>
      <w:tr>
        <w:tc>
          <w:tcPr>
            <w:tcW w:type="dxa" w:w="3437"/>
            <w:vAlign w:val="center"/>
          </w:tcPr>
          <w:p>
            <w:r/>
            <w:r>
              <w:rPr>
                <w:b w:val="0"/>
                <w:sz w:val="14"/>
              </w:rPr>
              <w:t>Endpoints</w:t>
            </w:r>
          </w:p>
        </w:tc>
        <w:tc>
          <w:tcPr>
            <w:tcW w:type="dxa" w:w="3437"/>
            <w:vAlign w:val="center"/>
          </w:tcPr>
          <w:p>
            <w:r/>
            <w:r>
              <w:rPr>
                <w:b w:val="0"/>
                <w:sz w:val="14"/>
              </w:rPr>
              <w:t>EDR, disk encryption, screen lock, patching</w:t>
            </w:r>
          </w:p>
        </w:tc>
        <w:tc>
          <w:tcPr>
            <w:tcW w:type="dxa" w:w="3437"/>
            <w:vAlign w:val="center"/>
          </w:tcPr>
          <w:p>
            <w:r/>
            <w:r>
              <w:rPr>
                <w:b w:val="0"/>
                <w:sz w:val="14"/>
              </w:rPr>
              <w:t>Endpoint compliance dashboard</w:t>
            </w:r>
          </w:p>
        </w:tc>
      </w:tr>
      <w:tr>
        <w:tc>
          <w:tcPr>
            <w:tcW w:type="dxa" w:w="3437"/>
            <w:vAlign w:val="center"/>
          </w:tcPr>
          <w:p>
            <w:r/>
            <w:r>
              <w:rPr>
                <w:b w:val="0"/>
                <w:sz w:val="14"/>
              </w:rPr>
              <w:t>Containers</w:t>
            </w:r>
          </w:p>
        </w:tc>
        <w:tc>
          <w:tcPr>
            <w:tcW w:type="dxa" w:w="3437"/>
            <w:vAlign w:val="center"/>
          </w:tcPr>
          <w:p>
            <w:r/>
            <w:r>
              <w:rPr>
                <w:b w:val="0"/>
                <w:sz w:val="14"/>
              </w:rPr>
              <w:t>Trusted registries, image scanning, secret management</w:t>
            </w:r>
          </w:p>
        </w:tc>
        <w:tc>
          <w:tcPr>
            <w:tcW w:type="dxa" w:w="3437"/>
            <w:vAlign w:val="center"/>
          </w:tcPr>
          <w:p>
            <w:r/>
            <w:r>
              <w:rPr>
                <w:b w:val="0"/>
                <w:sz w:val="14"/>
              </w:rPr>
              <w:t>Pipeline/scanner evidence</w:t>
            </w:r>
          </w:p>
        </w:tc>
      </w:tr>
      <w:tr>
        <w:tc>
          <w:tcPr>
            <w:tcW w:type="dxa" w:w="3437"/>
            <w:vAlign w:val="center"/>
          </w:tcPr>
          <w:p>
            <w:r/>
            <w:r>
              <w:rPr>
                <w:b w:val="0"/>
                <w:sz w:val="14"/>
              </w:rPr>
              <w:t>SaaS</w:t>
            </w:r>
          </w:p>
        </w:tc>
        <w:tc>
          <w:tcPr>
            <w:tcW w:type="dxa" w:w="3437"/>
            <w:vAlign w:val="center"/>
          </w:tcPr>
          <w:p>
            <w:r/>
            <w:r>
              <w:rPr>
                <w:b w:val="0"/>
                <w:sz w:val="14"/>
              </w:rPr>
              <w:t>SSO/MFA, restricted sharing, admin roles, audit logs</w:t>
            </w:r>
          </w:p>
        </w:tc>
        <w:tc>
          <w:tcPr>
            <w:tcW w:type="dxa" w:w="3437"/>
            <w:vAlign w:val="center"/>
          </w:tcPr>
          <w:p>
            <w:r/>
            <w:r>
              <w:rPr>
                <w:b w:val="0"/>
                <w:sz w:val="14"/>
              </w:rPr>
              <w:t>Tenant configuration review</w:t>
            </w:r>
          </w:p>
        </w:tc>
      </w:tr>
      <w:tr>
        <w:tc>
          <w:tcPr>
            <w:tcW w:type="dxa" w:w="3437"/>
            <w:vAlign w:val="center"/>
          </w:tcPr>
          <w:p>
            <w:r/>
            <w:r>
              <w:rPr>
                <w:b w:val="0"/>
                <w:sz w:val="14"/>
              </w:rPr>
              <w:t>Developer tooling</w:t>
            </w:r>
          </w:p>
        </w:tc>
        <w:tc>
          <w:tcPr>
            <w:tcW w:type="dxa" w:w="3437"/>
            <w:vAlign w:val="center"/>
          </w:tcPr>
          <w:p>
            <w:r/>
            <w:r>
              <w:rPr>
                <w:b w:val="0"/>
                <w:sz w:val="14"/>
              </w:rPr>
              <w:t>Repository access, branch/change controls, secret scanning</w:t>
            </w:r>
          </w:p>
        </w:tc>
        <w:tc>
          <w:tcPr>
            <w:tcW w:type="dxa" w:w="3437"/>
            <w:vAlign w:val="center"/>
          </w:tcPr>
          <w:p>
            <w:r/>
            <w:r>
              <w:rPr>
                <w:b w:val="0"/>
                <w:sz w:val="14"/>
              </w:rPr>
              <w:t>Repo settings; scan results</w:t>
            </w:r>
          </w:p>
        </w:tc>
      </w:tr>
    </w:tbl>
    <w:p/>
    <w:p>
      <w:r>
        <w:br w:type="page"/>
      </w:r>
    </w:p>
    <w:p>
      <w:pPr>
        <w:pStyle w:val="Heading1"/>
      </w:pPr>
      <w:r>
        <w:t>Appendix H — Approved Data Transfer Patterns</w:t>
      </w:r>
    </w:p>
    <w:p>
      <w:r>
        <w:t>Transfer method shall match data sensitivity and destination risk.</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Transfer Scenario</w:t>
            </w:r>
          </w:p>
        </w:tc>
        <w:tc>
          <w:tcPr>
            <w:tcW w:type="dxa" w:w="3437"/>
            <w:vAlign w:val="center"/>
            <w:shd w:fill="17365D"/>
          </w:tcPr>
          <w:p>
            <w:r/>
            <w:r>
              <w:rPr>
                <w:b/>
                <w:color w:val="FFFFFF"/>
                <w:sz w:val="15"/>
              </w:rPr>
              <w:t>Allowed Method</w:t>
            </w:r>
          </w:p>
        </w:tc>
        <w:tc>
          <w:tcPr>
            <w:tcW w:type="dxa" w:w="3437"/>
            <w:vAlign w:val="center"/>
            <w:shd w:fill="17365D"/>
          </w:tcPr>
          <w:p>
            <w:r/>
            <w:r>
              <w:rPr>
                <w:b/>
                <w:color w:val="FFFFFF"/>
                <w:sz w:val="15"/>
              </w:rPr>
              <w:t>Prohibited / Escalate</w:t>
            </w:r>
          </w:p>
        </w:tc>
      </w:tr>
      <w:tr>
        <w:tc>
          <w:tcPr>
            <w:tcW w:type="dxa" w:w="3437"/>
            <w:vAlign w:val="center"/>
          </w:tcPr>
          <w:p>
            <w:r/>
            <w:r>
              <w:rPr>
                <w:b w:val="0"/>
                <w:sz w:val="14"/>
              </w:rPr>
              <w:t>Customer document to internal processor</w:t>
            </w:r>
          </w:p>
        </w:tc>
        <w:tc>
          <w:tcPr>
            <w:tcW w:type="dxa" w:w="3437"/>
            <w:vAlign w:val="center"/>
          </w:tcPr>
          <w:p>
            <w:r/>
            <w:r>
              <w:rPr>
                <w:b w:val="0"/>
                <w:sz w:val="14"/>
              </w:rPr>
              <w:t>Approved case system/secure repository</w:t>
            </w:r>
          </w:p>
        </w:tc>
        <w:tc>
          <w:tcPr>
            <w:tcW w:type="dxa" w:w="3437"/>
            <w:vAlign w:val="center"/>
          </w:tcPr>
          <w:p>
            <w:r/>
            <w:r>
              <w:rPr>
                <w:b w:val="0"/>
                <w:sz w:val="14"/>
              </w:rPr>
              <w:t>Personal email or consumer chat</w:t>
            </w:r>
          </w:p>
        </w:tc>
      </w:tr>
      <w:tr>
        <w:tc>
          <w:tcPr>
            <w:tcW w:type="dxa" w:w="3437"/>
            <w:vAlign w:val="center"/>
          </w:tcPr>
          <w:p>
            <w:r/>
            <w:r>
              <w:rPr>
                <w:b w:val="0"/>
                <w:sz w:val="14"/>
              </w:rPr>
              <w:t>Confidential file to approved vendor</w:t>
            </w:r>
          </w:p>
        </w:tc>
        <w:tc>
          <w:tcPr>
            <w:tcW w:type="dxa" w:w="3437"/>
            <w:vAlign w:val="center"/>
          </w:tcPr>
          <w:p>
            <w:r/>
            <w:r>
              <w:rPr>
                <w:b w:val="0"/>
                <w:sz w:val="14"/>
              </w:rPr>
              <w:t>Secure managed transfer/portal under contract</w:t>
            </w:r>
          </w:p>
        </w:tc>
        <w:tc>
          <w:tcPr>
            <w:tcW w:type="dxa" w:w="3437"/>
            <w:vAlign w:val="center"/>
          </w:tcPr>
          <w:p>
            <w:r/>
            <w:r>
              <w:rPr>
                <w:b w:val="0"/>
                <w:sz w:val="14"/>
              </w:rPr>
              <w:t>Open public link</w:t>
            </w:r>
          </w:p>
        </w:tc>
      </w:tr>
      <w:tr>
        <w:tc>
          <w:tcPr>
            <w:tcW w:type="dxa" w:w="3437"/>
            <w:vAlign w:val="center"/>
          </w:tcPr>
          <w:p>
            <w:r/>
            <w:r>
              <w:rPr>
                <w:b w:val="0"/>
                <w:sz w:val="14"/>
              </w:rPr>
              <w:t>Restricted identity pack to specialist team</w:t>
            </w:r>
          </w:p>
        </w:tc>
        <w:tc>
          <w:tcPr>
            <w:tcW w:type="dxa" w:w="3437"/>
            <w:vAlign w:val="center"/>
          </w:tcPr>
          <w:p>
            <w:r/>
            <w:r>
              <w:rPr>
                <w:b w:val="0"/>
                <w:sz w:val="14"/>
              </w:rPr>
              <w:t>Restricted repository with named access</w:t>
            </w:r>
          </w:p>
        </w:tc>
        <w:tc>
          <w:tcPr>
            <w:tcW w:type="dxa" w:w="3437"/>
            <w:vAlign w:val="center"/>
          </w:tcPr>
          <w:p>
            <w:r/>
            <w:r>
              <w:rPr>
                <w:b w:val="0"/>
                <w:sz w:val="14"/>
              </w:rPr>
              <w:t>Unencrypted attachment to broad list</w:t>
            </w:r>
          </w:p>
        </w:tc>
      </w:tr>
      <w:tr>
        <w:tc>
          <w:tcPr>
            <w:tcW w:type="dxa" w:w="3437"/>
            <w:vAlign w:val="center"/>
          </w:tcPr>
          <w:p>
            <w:r/>
            <w:r>
              <w:rPr>
                <w:b w:val="0"/>
                <w:sz w:val="14"/>
              </w:rPr>
              <w:t>Large dataset between systems</w:t>
            </w:r>
          </w:p>
        </w:tc>
        <w:tc>
          <w:tcPr>
            <w:tcW w:type="dxa" w:w="3437"/>
            <w:vAlign w:val="center"/>
          </w:tcPr>
          <w:p>
            <w:r/>
            <w:r>
              <w:rPr>
                <w:b w:val="0"/>
                <w:sz w:val="14"/>
              </w:rPr>
              <w:t>Approved encrypted integration/SFTP/API</w:t>
            </w:r>
          </w:p>
        </w:tc>
        <w:tc>
          <w:tcPr>
            <w:tcW w:type="dxa" w:w="3437"/>
            <w:vAlign w:val="center"/>
          </w:tcPr>
          <w:p>
            <w:r/>
            <w:r>
              <w:rPr>
                <w:b w:val="0"/>
                <w:sz w:val="14"/>
              </w:rPr>
              <w:t>Ad-hoc removable media</w:t>
            </w:r>
          </w:p>
        </w:tc>
      </w:tr>
      <w:tr>
        <w:tc>
          <w:tcPr>
            <w:tcW w:type="dxa" w:w="3437"/>
            <w:vAlign w:val="center"/>
          </w:tcPr>
          <w:p>
            <w:r/>
            <w:r>
              <w:rPr>
                <w:b w:val="0"/>
                <w:sz w:val="14"/>
              </w:rPr>
              <w:t>Support logs to vendor</w:t>
            </w:r>
          </w:p>
        </w:tc>
        <w:tc>
          <w:tcPr>
            <w:tcW w:type="dxa" w:w="3437"/>
            <w:vAlign w:val="center"/>
          </w:tcPr>
          <w:p>
            <w:r/>
            <w:r>
              <w:rPr>
                <w:b w:val="0"/>
                <w:sz w:val="14"/>
              </w:rPr>
              <w:t>Minimized/redacted secure channel</w:t>
            </w:r>
          </w:p>
        </w:tc>
        <w:tc>
          <w:tcPr>
            <w:tcW w:type="dxa" w:w="3437"/>
            <w:vAlign w:val="center"/>
          </w:tcPr>
          <w:p>
            <w:r/>
            <w:r>
              <w:rPr>
                <w:b w:val="0"/>
                <w:sz w:val="14"/>
              </w:rPr>
              <w:t>Full production dump without approval</w:t>
            </w:r>
          </w:p>
        </w:tc>
      </w:tr>
      <w:tr>
        <w:tc>
          <w:tcPr>
            <w:tcW w:type="dxa" w:w="3437"/>
            <w:vAlign w:val="center"/>
          </w:tcPr>
          <w:p>
            <w:r/>
            <w:r>
              <w:rPr>
                <w:b w:val="0"/>
                <w:sz w:val="14"/>
              </w:rPr>
              <w:t>Board risk pack</w:t>
            </w:r>
          </w:p>
        </w:tc>
        <w:tc>
          <w:tcPr>
            <w:tcW w:type="dxa" w:w="3437"/>
            <w:vAlign w:val="center"/>
          </w:tcPr>
          <w:p>
            <w:r/>
            <w:r>
              <w:rPr>
                <w:b w:val="0"/>
                <w:sz w:val="14"/>
              </w:rPr>
              <w:t>Approved secure board channel</w:t>
            </w:r>
          </w:p>
        </w:tc>
        <w:tc>
          <w:tcPr>
            <w:tcW w:type="dxa" w:w="3437"/>
            <w:vAlign w:val="center"/>
          </w:tcPr>
          <w:p>
            <w:r/>
            <w:r>
              <w:rPr>
                <w:b w:val="0"/>
                <w:sz w:val="14"/>
              </w:rPr>
              <w:t>Uncontrolled personal storage</w:t>
            </w:r>
          </w:p>
        </w:tc>
      </w:tr>
      <w:tr>
        <w:tc>
          <w:tcPr>
            <w:tcW w:type="dxa" w:w="3437"/>
            <w:vAlign w:val="center"/>
          </w:tcPr>
          <w:p>
            <w:r/>
            <w:r>
              <w:rPr>
                <w:b w:val="0"/>
                <w:sz w:val="14"/>
              </w:rPr>
              <w:t>Printed Confidential material</w:t>
            </w:r>
          </w:p>
        </w:tc>
        <w:tc>
          <w:tcPr>
            <w:tcW w:type="dxa" w:w="3437"/>
            <w:vAlign w:val="center"/>
          </w:tcPr>
          <w:p>
            <w:r/>
            <w:r>
              <w:rPr>
                <w:b w:val="0"/>
                <w:sz w:val="14"/>
              </w:rPr>
              <w:t>Controlled print and secure disposal</w:t>
            </w:r>
          </w:p>
        </w:tc>
        <w:tc>
          <w:tcPr>
            <w:tcW w:type="dxa" w:w="3437"/>
            <w:vAlign w:val="center"/>
          </w:tcPr>
          <w:p>
            <w:r/>
            <w:r>
              <w:rPr>
                <w:b w:val="0"/>
                <w:sz w:val="14"/>
              </w:rPr>
              <w:t>Unattended public printer</w:t>
            </w:r>
          </w:p>
        </w:tc>
      </w:tr>
      <w:tr>
        <w:tc>
          <w:tcPr>
            <w:tcW w:type="dxa" w:w="3437"/>
            <w:vAlign w:val="center"/>
          </w:tcPr>
          <w:p>
            <w:r/>
            <w:r>
              <w:rPr>
                <w:b w:val="0"/>
                <w:sz w:val="14"/>
              </w:rPr>
              <w:t>Emergency transfer</w:t>
            </w:r>
          </w:p>
        </w:tc>
        <w:tc>
          <w:tcPr>
            <w:tcW w:type="dxa" w:w="3437"/>
            <w:vAlign w:val="center"/>
          </w:tcPr>
          <w:p>
            <w:r/>
            <w:r>
              <w:rPr>
                <w:b w:val="0"/>
                <w:sz w:val="14"/>
              </w:rPr>
              <w:t>Security-approved alternate channel with record</w:t>
            </w:r>
          </w:p>
        </w:tc>
        <w:tc>
          <w:tcPr>
            <w:tcW w:type="dxa" w:w="3437"/>
            <w:vAlign w:val="center"/>
          </w:tcPr>
          <w:p>
            <w:r/>
            <w:r>
              <w:rPr>
                <w:b w:val="0"/>
                <w:sz w:val="14"/>
              </w:rPr>
              <w:t>Bypass without later evidence</w:t>
            </w:r>
          </w:p>
        </w:tc>
      </w:tr>
    </w:tbl>
    <w:p/>
    <w:p>
      <w:r>
        <w:br w:type="page"/>
      </w:r>
    </w:p>
    <w:p>
      <w:pPr>
        <w:pStyle w:val="Heading1"/>
      </w:pPr>
      <w:r>
        <w:t>Appendix I — Encryption and Key Lifecycle</w:t>
      </w:r>
    </w:p>
    <w:p>
      <w:r>
        <w:t>Key management must protect confidentiality while maintaining recoverability and operational accountability.</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Lifecycle Stage</w:t>
            </w:r>
          </w:p>
        </w:tc>
        <w:tc>
          <w:tcPr>
            <w:tcW w:type="dxa" w:w="3437"/>
            <w:vAlign w:val="center"/>
            <w:shd w:fill="17365D"/>
          </w:tcPr>
          <w:p>
            <w:r/>
            <w:r>
              <w:rPr>
                <w:b/>
                <w:color w:val="FFFFFF"/>
                <w:sz w:val="15"/>
              </w:rPr>
              <w:t>Control</w:t>
            </w:r>
          </w:p>
        </w:tc>
        <w:tc>
          <w:tcPr>
            <w:tcW w:type="dxa" w:w="3437"/>
            <w:vAlign w:val="center"/>
            <w:shd w:fill="17365D"/>
          </w:tcPr>
          <w:p>
            <w:r/>
            <w:r>
              <w:rPr>
                <w:b/>
                <w:color w:val="FFFFFF"/>
                <w:sz w:val="15"/>
              </w:rPr>
              <w:t>Evidence</w:t>
            </w:r>
          </w:p>
        </w:tc>
      </w:tr>
      <w:tr>
        <w:tc>
          <w:tcPr>
            <w:tcW w:type="dxa" w:w="3437"/>
            <w:vAlign w:val="center"/>
          </w:tcPr>
          <w:p>
            <w:r/>
            <w:r>
              <w:rPr>
                <w:b w:val="0"/>
                <w:sz w:val="14"/>
              </w:rPr>
              <w:t>Creation</w:t>
            </w:r>
          </w:p>
        </w:tc>
        <w:tc>
          <w:tcPr>
            <w:tcW w:type="dxa" w:w="3437"/>
            <w:vAlign w:val="center"/>
          </w:tcPr>
          <w:p>
            <w:r/>
            <w:r>
              <w:rPr>
                <w:b w:val="0"/>
                <w:sz w:val="14"/>
              </w:rPr>
              <w:t>Approved algorithm/service and strong random generation</w:t>
            </w:r>
          </w:p>
        </w:tc>
        <w:tc>
          <w:tcPr>
            <w:tcW w:type="dxa" w:w="3437"/>
            <w:vAlign w:val="center"/>
          </w:tcPr>
          <w:p>
            <w:r/>
            <w:r>
              <w:rPr>
                <w:b w:val="0"/>
                <w:sz w:val="14"/>
              </w:rPr>
              <w:t>KMS/HSM record</w:t>
            </w:r>
          </w:p>
        </w:tc>
      </w:tr>
      <w:tr>
        <w:tc>
          <w:tcPr>
            <w:tcW w:type="dxa" w:w="3437"/>
            <w:vAlign w:val="center"/>
          </w:tcPr>
          <w:p>
            <w:r/>
            <w:r>
              <w:rPr>
                <w:b w:val="0"/>
                <w:sz w:val="14"/>
              </w:rPr>
              <w:t>Storage</w:t>
            </w:r>
          </w:p>
        </w:tc>
        <w:tc>
          <w:tcPr>
            <w:tcW w:type="dxa" w:w="3437"/>
            <w:vAlign w:val="center"/>
          </w:tcPr>
          <w:p>
            <w:r/>
            <w:r>
              <w:rPr>
                <w:b w:val="0"/>
                <w:sz w:val="14"/>
              </w:rPr>
              <w:t>Keys separated from protected data where practical</w:t>
            </w:r>
          </w:p>
        </w:tc>
        <w:tc>
          <w:tcPr>
            <w:tcW w:type="dxa" w:w="3437"/>
            <w:vAlign w:val="center"/>
          </w:tcPr>
          <w:p>
            <w:r/>
            <w:r>
              <w:rPr>
                <w:b w:val="0"/>
                <w:sz w:val="14"/>
              </w:rPr>
              <w:t>Key-store configuration</w:t>
            </w:r>
          </w:p>
        </w:tc>
      </w:tr>
      <w:tr>
        <w:tc>
          <w:tcPr>
            <w:tcW w:type="dxa" w:w="3437"/>
            <w:vAlign w:val="center"/>
          </w:tcPr>
          <w:p>
            <w:r/>
            <w:r>
              <w:rPr>
                <w:b w:val="0"/>
                <w:sz w:val="14"/>
              </w:rPr>
              <w:t>Access</w:t>
            </w:r>
          </w:p>
        </w:tc>
        <w:tc>
          <w:tcPr>
            <w:tcW w:type="dxa" w:w="3437"/>
            <w:vAlign w:val="center"/>
          </w:tcPr>
          <w:p>
            <w:r/>
            <w:r>
              <w:rPr>
                <w:b w:val="0"/>
                <w:sz w:val="14"/>
              </w:rPr>
              <w:t>Named/role-based administrators; dual control for highest-impact keys</w:t>
            </w:r>
          </w:p>
        </w:tc>
        <w:tc>
          <w:tcPr>
            <w:tcW w:type="dxa" w:w="3437"/>
            <w:vAlign w:val="center"/>
          </w:tcPr>
          <w:p>
            <w:r/>
            <w:r>
              <w:rPr>
                <w:b w:val="0"/>
                <w:sz w:val="14"/>
              </w:rPr>
              <w:t>Access list and approvals</w:t>
            </w:r>
          </w:p>
        </w:tc>
      </w:tr>
      <w:tr>
        <w:tc>
          <w:tcPr>
            <w:tcW w:type="dxa" w:w="3437"/>
            <w:vAlign w:val="center"/>
          </w:tcPr>
          <w:p>
            <w:r/>
            <w:r>
              <w:rPr>
                <w:b w:val="0"/>
                <w:sz w:val="14"/>
              </w:rPr>
              <w:t>Use</w:t>
            </w:r>
          </w:p>
        </w:tc>
        <w:tc>
          <w:tcPr>
            <w:tcW w:type="dxa" w:w="3437"/>
            <w:vAlign w:val="center"/>
          </w:tcPr>
          <w:p>
            <w:r/>
            <w:r>
              <w:rPr>
                <w:b w:val="0"/>
                <w:sz w:val="14"/>
              </w:rPr>
              <w:t>Application/service uses key without exposing raw secret where possible</w:t>
            </w:r>
          </w:p>
        </w:tc>
        <w:tc>
          <w:tcPr>
            <w:tcW w:type="dxa" w:w="3437"/>
            <w:vAlign w:val="center"/>
          </w:tcPr>
          <w:p>
            <w:r/>
            <w:r>
              <w:rPr>
                <w:b w:val="0"/>
                <w:sz w:val="14"/>
              </w:rPr>
              <w:t>Architecture/configuration</w:t>
            </w:r>
          </w:p>
        </w:tc>
      </w:tr>
      <w:tr>
        <w:tc>
          <w:tcPr>
            <w:tcW w:type="dxa" w:w="3437"/>
            <w:vAlign w:val="center"/>
          </w:tcPr>
          <w:p>
            <w:r/>
            <w:r>
              <w:rPr>
                <w:b w:val="0"/>
                <w:sz w:val="14"/>
              </w:rPr>
              <w:t>Rotation</w:t>
            </w:r>
          </w:p>
        </w:tc>
        <w:tc>
          <w:tcPr>
            <w:tcW w:type="dxa" w:w="3437"/>
            <w:vAlign w:val="center"/>
          </w:tcPr>
          <w:p>
            <w:r/>
            <w:r>
              <w:rPr>
                <w:b w:val="0"/>
                <w:sz w:val="14"/>
              </w:rPr>
              <w:t>Risk-based schedule and immediate rotation after credible compromise</w:t>
            </w:r>
          </w:p>
        </w:tc>
        <w:tc>
          <w:tcPr>
            <w:tcW w:type="dxa" w:w="3437"/>
            <w:vAlign w:val="center"/>
          </w:tcPr>
          <w:p>
            <w:r/>
            <w:r>
              <w:rPr>
                <w:b w:val="0"/>
                <w:sz w:val="14"/>
              </w:rPr>
              <w:t>Rotation record</w:t>
            </w:r>
          </w:p>
        </w:tc>
      </w:tr>
      <w:tr>
        <w:tc>
          <w:tcPr>
            <w:tcW w:type="dxa" w:w="3437"/>
            <w:vAlign w:val="center"/>
          </w:tcPr>
          <w:p>
            <w:r/>
            <w:r>
              <w:rPr>
                <w:b w:val="0"/>
                <w:sz w:val="14"/>
              </w:rPr>
              <w:t>Backup/recovery</w:t>
            </w:r>
          </w:p>
        </w:tc>
        <w:tc>
          <w:tcPr>
            <w:tcW w:type="dxa" w:w="3437"/>
            <w:vAlign w:val="center"/>
          </w:tcPr>
          <w:p>
            <w:r/>
            <w:r>
              <w:rPr>
                <w:b w:val="0"/>
                <w:sz w:val="14"/>
              </w:rPr>
              <w:t>Protected recovery for critical keys</w:t>
            </w:r>
          </w:p>
        </w:tc>
        <w:tc>
          <w:tcPr>
            <w:tcW w:type="dxa" w:w="3437"/>
            <w:vAlign w:val="center"/>
          </w:tcPr>
          <w:p>
            <w:r/>
            <w:r>
              <w:rPr>
                <w:b w:val="0"/>
                <w:sz w:val="14"/>
              </w:rPr>
              <w:t>Recovery test</w:t>
            </w:r>
          </w:p>
        </w:tc>
      </w:tr>
      <w:tr>
        <w:tc>
          <w:tcPr>
            <w:tcW w:type="dxa" w:w="3437"/>
            <w:vAlign w:val="center"/>
          </w:tcPr>
          <w:p>
            <w:r/>
            <w:r>
              <w:rPr>
                <w:b w:val="0"/>
                <w:sz w:val="14"/>
              </w:rPr>
              <w:t>Revocation</w:t>
            </w:r>
          </w:p>
        </w:tc>
        <w:tc>
          <w:tcPr>
            <w:tcW w:type="dxa" w:w="3437"/>
            <w:vAlign w:val="center"/>
          </w:tcPr>
          <w:p>
            <w:r/>
            <w:r>
              <w:rPr>
                <w:b w:val="0"/>
                <w:sz w:val="14"/>
              </w:rPr>
              <w:t>Disable/revoke compromised or retired key</w:t>
            </w:r>
          </w:p>
        </w:tc>
        <w:tc>
          <w:tcPr>
            <w:tcW w:type="dxa" w:w="3437"/>
            <w:vAlign w:val="center"/>
          </w:tcPr>
          <w:p>
            <w:r/>
            <w:r>
              <w:rPr>
                <w:b w:val="0"/>
                <w:sz w:val="14"/>
              </w:rPr>
              <w:t>Revocation log</w:t>
            </w:r>
          </w:p>
        </w:tc>
      </w:tr>
      <w:tr>
        <w:tc>
          <w:tcPr>
            <w:tcW w:type="dxa" w:w="3437"/>
            <w:vAlign w:val="center"/>
          </w:tcPr>
          <w:p>
            <w:r/>
            <w:r>
              <w:rPr>
                <w:b w:val="0"/>
                <w:sz w:val="14"/>
              </w:rPr>
              <w:t>Destruction</w:t>
            </w:r>
          </w:p>
        </w:tc>
        <w:tc>
          <w:tcPr>
            <w:tcW w:type="dxa" w:w="3437"/>
            <w:vAlign w:val="center"/>
          </w:tcPr>
          <w:p>
            <w:r/>
            <w:r>
              <w:rPr>
                <w:b w:val="0"/>
                <w:sz w:val="14"/>
              </w:rPr>
              <w:t>Controlled deletion after retention/transition requirements</w:t>
            </w:r>
          </w:p>
        </w:tc>
        <w:tc>
          <w:tcPr>
            <w:tcW w:type="dxa" w:w="3437"/>
            <w:vAlign w:val="center"/>
          </w:tcPr>
          <w:p>
            <w:r/>
            <w:r>
              <w:rPr>
                <w:b w:val="0"/>
                <w:sz w:val="14"/>
              </w:rPr>
              <w:t>Decommission record</w:t>
            </w:r>
          </w:p>
        </w:tc>
      </w:tr>
    </w:tbl>
    <w:p/>
    <w:p>
      <w:r>
        <w:br w:type="page"/>
      </w:r>
    </w:p>
    <w:p>
      <w:pPr>
        <w:pStyle w:val="Heading1"/>
      </w:pPr>
      <w:r>
        <w:t>Appendix J — Vulnerability Prioritization Factors</w:t>
      </w:r>
    </w:p>
    <w:p>
      <w:r>
        <w:t>Severity rating is one input; remediation priority shall also reflect exposure and credible attack path.</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Factor</w:t>
            </w:r>
          </w:p>
        </w:tc>
        <w:tc>
          <w:tcPr>
            <w:tcW w:type="dxa" w:w="3437"/>
            <w:vAlign w:val="center"/>
            <w:shd w:fill="17365D"/>
          </w:tcPr>
          <w:p>
            <w:r/>
            <w:r>
              <w:rPr>
                <w:b/>
                <w:color w:val="FFFFFF"/>
                <w:sz w:val="15"/>
              </w:rPr>
              <w:t>Lower Priority Indicator</w:t>
            </w:r>
          </w:p>
        </w:tc>
        <w:tc>
          <w:tcPr>
            <w:tcW w:type="dxa" w:w="3437"/>
            <w:vAlign w:val="center"/>
            <w:shd w:fill="17365D"/>
          </w:tcPr>
          <w:p>
            <w:r/>
            <w:r>
              <w:rPr>
                <w:b/>
                <w:color w:val="FFFFFF"/>
                <w:sz w:val="15"/>
              </w:rPr>
              <w:t>Higher Priority Indicator</w:t>
            </w:r>
          </w:p>
        </w:tc>
      </w:tr>
      <w:tr>
        <w:tc>
          <w:tcPr>
            <w:tcW w:type="dxa" w:w="3437"/>
            <w:vAlign w:val="center"/>
          </w:tcPr>
          <w:p>
            <w:r/>
            <w:r>
              <w:rPr>
                <w:b w:val="0"/>
                <w:sz w:val="14"/>
              </w:rPr>
              <w:t>Exposure</w:t>
            </w:r>
          </w:p>
        </w:tc>
        <w:tc>
          <w:tcPr>
            <w:tcW w:type="dxa" w:w="3437"/>
            <w:vAlign w:val="center"/>
          </w:tcPr>
          <w:p>
            <w:r/>
            <w:r>
              <w:rPr>
                <w:b w:val="0"/>
                <w:sz w:val="14"/>
              </w:rPr>
              <w:t>Isolated internal segment</w:t>
            </w:r>
          </w:p>
        </w:tc>
        <w:tc>
          <w:tcPr>
            <w:tcW w:type="dxa" w:w="3437"/>
            <w:vAlign w:val="center"/>
          </w:tcPr>
          <w:p>
            <w:r/>
            <w:r>
              <w:rPr>
                <w:b w:val="0"/>
                <w:sz w:val="14"/>
              </w:rPr>
              <w:t>Internet-facing/public service</w:t>
            </w:r>
          </w:p>
        </w:tc>
      </w:tr>
      <w:tr>
        <w:tc>
          <w:tcPr>
            <w:tcW w:type="dxa" w:w="3437"/>
            <w:vAlign w:val="center"/>
          </w:tcPr>
          <w:p>
            <w:r/>
            <w:r>
              <w:rPr>
                <w:b w:val="0"/>
                <w:sz w:val="14"/>
              </w:rPr>
              <w:t>Exploitability</w:t>
            </w:r>
          </w:p>
        </w:tc>
        <w:tc>
          <w:tcPr>
            <w:tcW w:type="dxa" w:w="3437"/>
            <w:vAlign w:val="center"/>
          </w:tcPr>
          <w:p>
            <w:r/>
            <w:r>
              <w:rPr>
                <w:b w:val="0"/>
                <w:sz w:val="14"/>
              </w:rPr>
              <w:t>No known practical exploit</w:t>
            </w:r>
          </w:p>
        </w:tc>
        <w:tc>
          <w:tcPr>
            <w:tcW w:type="dxa" w:w="3437"/>
            <w:vAlign w:val="center"/>
          </w:tcPr>
          <w:p>
            <w:r/>
            <w:r>
              <w:rPr>
                <w:b w:val="0"/>
                <w:sz w:val="14"/>
              </w:rPr>
              <w:t>Active exploitation/weaponized exploit</w:t>
            </w:r>
          </w:p>
        </w:tc>
      </w:tr>
      <w:tr>
        <w:tc>
          <w:tcPr>
            <w:tcW w:type="dxa" w:w="3437"/>
            <w:vAlign w:val="center"/>
          </w:tcPr>
          <w:p>
            <w:r/>
            <w:r>
              <w:rPr>
                <w:b w:val="0"/>
                <w:sz w:val="14"/>
              </w:rPr>
              <w:t>Privilege</w:t>
            </w:r>
          </w:p>
        </w:tc>
        <w:tc>
          <w:tcPr>
            <w:tcW w:type="dxa" w:w="3437"/>
            <w:vAlign w:val="center"/>
          </w:tcPr>
          <w:p>
            <w:r/>
            <w:r>
              <w:rPr>
                <w:b w:val="0"/>
                <w:sz w:val="14"/>
              </w:rPr>
              <w:t>Low-privilege component</w:t>
            </w:r>
          </w:p>
        </w:tc>
        <w:tc>
          <w:tcPr>
            <w:tcW w:type="dxa" w:w="3437"/>
            <w:vAlign w:val="center"/>
          </w:tcPr>
          <w:p>
            <w:r/>
            <w:r>
              <w:rPr>
                <w:b w:val="0"/>
                <w:sz w:val="14"/>
              </w:rPr>
              <w:t>Identity/admin/security control</w:t>
            </w:r>
          </w:p>
        </w:tc>
      </w:tr>
      <w:tr>
        <w:tc>
          <w:tcPr>
            <w:tcW w:type="dxa" w:w="3437"/>
            <w:vAlign w:val="center"/>
          </w:tcPr>
          <w:p>
            <w:r/>
            <w:r>
              <w:rPr>
                <w:b w:val="0"/>
                <w:sz w:val="14"/>
              </w:rPr>
              <w:t>Data</w:t>
            </w:r>
          </w:p>
        </w:tc>
        <w:tc>
          <w:tcPr>
            <w:tcW w:type="dxa" w:w="3437"/>
            <w:vAlign w:val="center"/>
          </w:tcPr>
          <w:p>
            <w:r/>
            <w:r>
              <w:rPr>
                <w:b w:val="0"/>
                <w:sz w:val="14"/>
              </w:rPr>
              <w:t>Public/Internal</w:t>
            </w:r>
          </w:p>
        </w:tc>
        <w:tc>
          <w:tcPr>
            <w:tcW w:type="dxa" w:w="3437"/>
            <w:vAlign w:val="center"/>
          </w:tcPr>
          <w:p>
            <w:r/>
            <w:r>
              <w:rPr>
                <w:b w:val="0"/>
                <w:sz w:val="14"/>
              </w:rPr>
              <w:t>Restricted/high-volume customer data</w:t>
            </w:r>
          </w:p>
        </w:tc>
      </w:tr>
      <w:tr>
        <w:tc>
          <w:tcPr>
            <w:tcW w:type="dxa" w:w="3437"/>
            <w:vAlign w:val="center"/>
          </w:tcPr>
          <w:p>
            <w:r/>
            <w:r>
              <w:rPr>
                <w:b w:val="0"/>
                <w:sz w:val="14"/>
              </w:rPr>
              <w:t>Compensating controls</w:t>
            </w:r>
          </w:p>
        </w:tc>
        <w:tc>
          <w:tcPr>
            <w:tcW w:type="dxa" w:w="3437"/>
            <w:vAlign w:val="center"/>
          </w:tcPr>
          <w:p>
            <w:r/>
            <w:r>
              <w:rPr>
                <w:b w:val="0"/>
                <w:sz w:val="14"/>
              </w:rPr>
              <w:t>Strong segmentation/allow-listing</w:t>
            </w:r>
          </w:p>
        </w:tc>
        <w:tc>
          <w:tcPr>
            <w:tcW w:type="dxa" w:w="3437"/>
            <w:vAlign w:val="center"/>
          </w:tcPr>
          <w:p>
            <w:r/>
            <w:r>
              <w:rPr>
                <w:b w:val="0"/>
                <w:sz w:val="14"/>
              </w:rPr>
              <w:t>No effective control</w:t>
            </w:r>
          </w:p>
        </w:tc>
      </w:tr>
      <w:tr>
        <w:tc>
          <w:tcPr>
            <w:tcW w:type="dxa" w:w="3437"/>
            <w:vAlign w:val="center"/>
          </w:tcPr>
          <w:p>
            <w:r/>
            <w:r>
              <w:rPr>
                <w:b w:val="0"/>
                <w:sz w:val="14"/>
              </w:rPr>
              <w:t>Business criticality</w:t>
            </w:r>
          </w:p>
        </w:tc>
        <w:tc>
          <w:tcPr>
            <w:tcW w:type="dxa" w:w="3437"/>
            <w:vAlign w:val="center"/>
          </w:tcPr>
          <w:p>
            <w:r/>
            <w:r>
              <w:rPr>
                <w:b w:val="0"/>
                <w:sz w:val="14"/>
              </w:rPr>
              <w:t>Non-critical workbench</w:t>
            </w:r>
          </w:p>
        </w:tc>
        <w:tc>
          <w:tcPr>
            <w:tcW w:type="dxa" w:w="3437"/>
            <w:vAlign w:val="center"/>
          </w:tcPr>
          <w:p>
            <w:r/>
            <w:r>
              <w:rPr>
                <w:b w:val="0"/>
                <w:sz w:val="14"/>
              </w:rPr>
              <w:t>Core servicing/payment/identity</w:t>
            </w:r>
          </w:p>
        </w:tc>
      </w:tr>
      <w:tr>
        <w:tc>
          <w:tcPr>
            <w:tcW w:type="dxa" w:w="3437"/>
            <w:vAlign w:val="center"/>
          </w:tcPr>
          <w:p>
            <w:r/>
            <w:r>
              <w:rPr>
                <w:b w:val="0"/>
                <w:sz w:val="14"/>
              </w:rPr>
              <w:t>Persistence</w:t>
            </w:r>
          </w:p>
        </w:tc>
        <w:tc>
          <w:tcPr>
            <w:tcW w:type="dxa" w:w="3437"/>
            <w:vAlign w:val="center"/>
          </w:tcPr>
          <w:p>
            <w:r/>
            <w:r>
              <w:rPr>
                <w:b w:val="0"/>
                <w:sz w:val="14"/>
              </w:rPr>
              <w:t>Ephemeral/nonpersistent</w:t>
            </w:r>
          </w:p>
        </w:tc>
        <w:tc>
          <w:tcPr>
            <w:tcW w:type="dxa" w:w="3437"/>
            <w:vAlign w:val="center"/>
          </w:tcPr>
          <w:p>
            <w:r/>
            <w:r>
              <w:rPr>
                <w:b w:val="0"/>
                <w:sz w:val="14"/>
              </w:rPr>
              <w:t>Long-lived server/service</w:t>
            </w:r>
          </w:p>
        </w:tc>
      </w:tr>
      <w:tr>
        <w:tc>
          <w:tcPr>
            <w:tcW w:type="dxa" w:w="3437"/>
            <w:vAlign w:val="center"/>
          </w:tcPr>
          <w:p>
            <w:r/>
            <w:r>
              <w:rPr>
                <w:b w:val="0"/>
                <w:sz w:val="14"/>
              </w:rPr>
              <w:t>Detection</w:t>
            </w:r>
          </w:p>
        </w:tc>
        <w:tc>
          <w:tcPr>
            <w:tcW w:type="dxa" w:w="3437"/>
            <w:vAlign w:val="center"/>
          </w:tcPr>
          <w:p>
            <w:r/>
            <w:r>
              <w:rPr>
                <w:b w:val="0"/>
                <w:sz w:val="14"/>
              </w:rPr>
              <w:t>Strong targeted detection</w:t>
            </w:r>
          </w:p>
        </w:tc>
        <w:tc>
          <w:tcPr>
            <w:tcW w:type="dxa" w:w="3437"/>
            <w:vAlign w:val="center"/>
          </w:tcPr>
          <w:p>
            <w:r/>
            <w:r>
              <w:rPr>
                <w:b w:val="0"/>
                <w:sz w:val="14"/>
              </w:rPr>
              <w:t>Poor visibility/logging gap</w:t>
            </w:r>
          </w:p>
        </w:tc>
      </w:tr>
    </w:tbl>
    <w:p/>
    <w:p>
      <w:r>
        <w:br w:type="page"/>
      </w:r>
    </w:p>
    <w:p>
      <w:pPr>
        <w:pStyle w:val="Heading1"/>
      </w:pPr>
      <w:r>
        <w:t>Appendix K — Security Logging Catalogue</w:t>
      </w:r>
    </w:p>
    <w:p>
      <w:r>
        <w:t>The catalogue defines the minimum event types expected from material technologies.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Technology</w:t>
            </w:r>
          </w:p>
        </w:tc>
        <w:tc>
          <w:tcPr>
            <w:tcW w:type="dxa" w:w="3437"/>
            <w:vAlign w:val="center"/>
            <w:shd w:fill="17365D"/>
          </w:tcPr>
          <w:p>
            <w:r/>
            <w:r>
              <w:rPr>
                <w:b/>
                <w:color w:val="FFFFFF"/>
                <w:sz w:val="15"/>
              </w:rPr>
              <w:t>Events to Capture</w:t>
            </w:r>
          </w:p>
        </w:tc>
        <w:tc>
          <w:tcPr>
            <w:tcW w:type="dxa" w:w="3437"/>
            <w:vAlign w:val="center"/>
            <w:shd w:fill="17365D"/>
          </w:tcPr>
          <w:p>
            <w:r/>
            <w:r>
              <w:rPr>
                <w:b/>
                <w:color w:val="FFFFFF"/>
                <w:sz w:val="15"/>
              </w:rPr>
              <w:t>Review Use</w:t>
            </w:r>
          </w:p>
        </w:tc>
      </w:tr>
      <w:tr>
        <w:tc>
          <w:tcPr>
            <w:tcW w:type="dxa" w:w="3437"/>
            <w:vAlign w:val="center"/>
          </w:tcPr>
          <w:p>
            <w:r/>
            <w:r>
              <w:rPr>
                <w:b w:val="0"/>
                <w:sz w:val="14"/>
              </w:rPr>
              <w:t>Identity provider</w:t>
            </w:r>
          </w:p>
        </w:tc>
        <w:tc>
          <w:tcPr>
            <w:tcW w:type="dxa" w:w="3437"/>
            <w:vAlign w:val="center"/>
          </w:tcPr>
          <w:p>
            <w:r/>
            <w:r>
              <w:rPr>
                <w:b w:val="0"/>
                <w:sz w:val="14"/>
              </w:rPr>
              <w:t>Login, MFA, reset, enrollment, admin changes</w:t>
            </w:r>
          </w:p>
        </w:tc>
        <w:tc>
          <w:tcPr>
            <w:tcW w:type="dxa" w:w="3437"/>
            <w:vAlign w:val="center"/>
          </w:tcPr>
          <w:p>
            <w:r/>
            <w:r>
              <w:rPr>
                <w:b w:val="0"/>
                <w:sz w:val="14"/>
              </w:rPr>
              <w:t>Account takeover / access investigation</w:t>
            </w:r>
          </w:p>
        </w:tc>
      </w:tr>
      <w:tr>
        <w:tc>
          <w:tcPr>
            <w:tcW w:type="dxa" w:w="3437"/>
            <w:vAlign w:val="center"/>
          </w:tcPr>
          <w:p>
            <w:r/>
            <w:r>
              <w:rPr>
                <w:b w:val="0"/>
                <w:sz w:val="14"/>
              </w:rPr>
              <w:t>PAM</w:t>
            </w:r>
          </w:p>
        </w:tc>
        <w:tc>
          <w:tcPr>
            <w:tcW w:type="dxa" w:w="3437"/>
            <w:vAlign w:val="center"/>
          </w:tcPr>
          <w:p>
            <w:r/>
            <w:r>
              <w:rPr>
                <w:b w:val="0"/>
                <w:sz w:val="14"/>
              </w:rPr>
              <w:t>Checkout, session, privilege elevation, command/activity</w:t>
            </w:r>
          </w:p>
        </w:tc>
        <w:tc>
          <w:tcPr>
            <w:tcW w:type="dxa" w:w="3437"/>
            <w:vAlign w:val="center"/>
          </w:tcPr>
          <w:p>
            <w:r/>
            <w:r>
              <w:rPr>
                <w:b w:val="0"/>
                <w:sz w:val="14"/>
              </w:rPr>
              <w:t>Privileged misuse</w:t>
            </w:r>
          </w:p>
        </w:tc>
      </w:tr>
      <w:tr>
        <w:tc>
          <w:tcPr>
            <w:tcW w:type="dxa" w:w="3437"/>
            <w:vAlign w:val="center"/>
          </w:tcPr>
          <w:p>
            <w:r/>
            <w:r>
              <w:rPr>
                <w:b w:val="0"/>
                <w:sz w:val="14"/>
              </w:rPr>
              <w:t>Endpoint security</w:t>
            </w:r>
          </w:p>
        </w:tc>
        <w:tc>
          <w:tcPr>
            <w:tcW w:type="dxa" w:w="3437"/>
            <w:vAlign w:val="center"/>
          </w:tcPr>
          <w:p>
            <w:r/>
            <w:r>
              <w:rPr>
                <w:b w:val="0"/>
                <w:sz w:val="14"/>
              </w:rPr>
              <w:t>Detection, isolation, agent health</w:t>
            </w:r>
          </w:p>
        </w:tc>
        <w:tc>
          <w:tcPr>
            <w:tcW w:type="dxa" w:w="3437"/>
            <w:vAlign w:val="center"/>
          </w:tcPr>
          <w:p>
            <w:r/>
            <w:r>
              <w:rPr>
                <w:b w:val="0"/>
                <w:sz w:val="14"/>
              </w:rPr>
              <w:t>Malware / control coverage</w:t>
            </w:r>
          </w:p>
        </w:tc>
      </w:tr>
      <w:tr>
        <w:tc>
          <w:tcPr>
            <w:tcW w:type="dxa" w:w="3437"/>
            <w:vAlign w:val="center"/>
          </w:tcPr>
          <w:p>
            <w:r/>
            <w:r>
              <w:rPr>
                <w:b w:val="0"/>
                <w:sz w:val="14"/>
              </w:rPr>
              <w:t>Firewall/proxy</w:t>
            </w:r>
          </w:p>
        </w:tc>
        <w:tc>
          <w:tcPr>
            <w:tcW w:type="dxa" w:w="3437"/>
            <w:vAlign w:val="center"/>
          </w:tcPr>
          <w:p>
            <w:r/>
            <w:r>
              <w:rPr>
                <w:b w:val="0"/>
                <w:sz w:val="14"/>
              </w:rPr>
              <w:t>Connection, block, policy changes</w:t>
            </w:r>
          </w:p>
        </w:tc>
        <w:tc>
          <w:tcPr>
            <w:tcW w:type="dxa" w:w="3437"/>
            <w:vAlign w:val="center"/>
          </w:tcPr>
          <w:p>
            <w:r/>
            <w:r>
              <w:rPr>
                <w:b w:val="0"/>
                <w:sz w:val="14"/>
              </w:rPr>
              <w:t>Threat path / exfiltration</w:t>
            </w:r>
          </w:p>
        </w:tc>
      </w:tr>
      <w:tr>
        <w:tc>
          <w:tcPr>
            <w:tcW w:type="dxa" w:w="3437"/>
            <w:vAlign w:val="center"/>
          </w:tcPr>
          <w:p>
            <w:r/>
            <w:r>
              <w:rPr>
                <w:b w:val="0"/>
                <w:sz w:val="14"/>
              </w:rPr>
              <w:t>Cloud control plane</w:t>
            </w:r>
          </w:p>
        </w:tc>
        <w:tc>
          <w:tcPr>
            <w:tcW w:type="dxa" w:w="3437"/>
            <w:vAlign w:val="center"/>
          </w:tcPr>
          <w:p>
            <w:r/>
            <w:r>
              <w:rPr>
                <w:b w:val="0"/>
                <w:sz w:val="14"/>
              </w:rPr>
              <w:t>Admin/API actions, key changes, storage exposure</w:t>
            </w:r>
          </w:p>
        </w:tc>
        <w:tc>
          <w:tcPr>
            <w:tcW w:type="dxa" w:w="3437"/>
            <w:vAlign w:val="center"/>
          </w:tcPr>
          <w:p>
            <w:r/>
            <w:r>
              <w:rPr>
                <w:b w:val="0"/>
                <w:sz w:val="14"/>
              </w:rPr>
              <w:t>Cloud compromise</w:t>
            </w:r>
          </w:p>
        </w:tc>
      </w:tr>
      <w:tr>
        <w:tc>
          <w:tcPr>
            <w:tcW w:type="dxa" w:w="3437"/>
            <w:vAlign w:val="center"/>
          </w:tcPr>
          <w:p>
            <w:r/>
            <w:r>
              <w:rPr>
                <w:b w:val="0"/>
                <w:sz w:val="14"/>
              </w:rPr>
              <w:t>Database</w:t>
            </w:r>
          </w:p>
        </w:tc>
        <w:tc>
          <w:tcPr>
            <w:tcW w:type="dxa" w:w="3437"/>
            <w:vAlign w:val="center"/>
          </w:tcPr>
          <w:p>
            <w:r/>
            <w:r>
              <w:rPr>
                <w:b w:val="0"/>
                <w:sz w:val="14"/>
              </w:rPr>
              <w:t>Admin login, grants, material data access where enabled</w:t>
            </w:r>
          </w:p>
        </w:tc>
        <w:tc>
          <w:tcPr>
            <w:tcW w:type="dxa" w:w="3437"/>
            <w:vAlign w:val="center"/>
          </w:tcPr>
          <w:p>
            <w:r/>
            <w:r>
              <w:rPr>
                <w:b w:val="0"/>
                <w:sz w:val="14"/>
              </w:rPr>
              <w:t>Unauthorized data activity</w:t>
            </w:r>
          </w:p>
        </w:tc>
      </w:tr>
      <w:tr>
        <w:tc>
          <w:tcPr>
            <w:tcW w:type="dxa" w:w="3437"/>
            <w:vAlign w:val="center"/>
          </w:tcPr>
          <w:p>
            <w:r/>
            <w:r>
              <w:rPr>
                <w:b w:val="0"/>
                <w:sz w:val="14"/>
              </w:rPr>
              <w:t>Application</w:t>
            </w:r>
          </w:p>
        </w:tc>
        <w:tc>
          <w:tcPr>
            <w:tcW w:type="dxa" w:w="3437"/>
            <w:vAlign w:val="center"/>
          </w:tcPr>
          <w:p>
            <w:r/>
            <w:r>
              <w:rPr>
                <w:b w:val="0"/>
                <w:sz w:val="14"/>
              </w:rPr>
              <w:t>Authentication, role changes, high-risk transactions</w:t>
            </w:r>
          </w:p>
        </w:tc>
        <w:tc>
          <w:tcPr>
            <w:tcW w:type="dxa" w:w="3437"/>
            <w:vAlign w:val="center"/>
          </w:tcPr>
          <w:p>
            <w:r/>
            <w:r>
              <w:rPr>
                <w:b w:val="0"/>
                <w:sz w:val="14"/>
              </w:rPr>
              <w:t>Application abuse</w:t>
            </w:r>
          </w:p>
        </w:tc>
      </w:tr>
      <w:tr>
        <w:tc>
          <w:tcPr>
            <w:tcW w:type="dxa" w:w="3437"/>
            <w:vAlign w:val="center"/>
          </w:tcPr>
          <w:p>
            <w:r/>
            <w:r>
              <w:rPr>
                <w:b w:val="0"/>
                <w:sz w:val="14"/>
              </w:rPr>
              <w:t>Email</w:t>
            </w:r>
          </w:p>
        </w:tc>
        <w:tc>
          <w:tcPr>
            <w:tcW w:type="dxa" w:w="3437"/>
            <w:vAlign w:val="center"/>
          </w:tcPr>
          <w:p>
            <w:r/>
            <w:r>
              <w:rPr>
                <w:b w:val="0"/>
                <w:sz w:val="14"/>
              </w:rPr>
              <w:t>Message trace, security detections, forwarding rules</w:t>
            </w:r>
          </w:p>
        </w:tc>
        <w:tc>
          <w:tcPr>
            <w:tcW w:type="dxa" w:w="3437"/>
            <w:vAlign w:val="center"/>
          </w:tcPr>
          <w:p>
            <w:r/>
            <w:r>
              <w:rPr>
                <w:b w:val="0"/>
                <w:sz w:val="14"/>
              </w:rPr>
              <w:t>Phishing / mailbox compromise</w:t>
            </w:r>
          </w:p>
        </w:tc>
      </w:tr>
      <w:tr>
        <w:tc>
          <w:tcPr>
            <w:tcW w:type="dxa" w:w="3437"/>
            <w:vAlign w:val="center"/>
          </w:tcPr>
          <w:p>
            <w:r/>
            <w:r>
              <w:rPr>
                <w:b w:val="0"/>
                <w:sz w:val="14"/>
              </w:rPr>
              <w:t>Backup platform</w:t>
            </w:r>
          </w:p>
        </w:tc>
        <w:tc>
          <w:tcPr>
            <w:tcW w:type="dxa" w:w="3437"/>
            <w:vAlign w:val="center"/>
          </w:tcPr>
          <w:p>
            <w:r/>
            <w:r>
              <w:rPr>
                <w:b w:val="0"/>
                <w:sz w:val="14"/>
              </w:rPr>
              <w:t>Backup, delete, restore, admin changes</w:t>
            </w:r>
          </w:p>
        </w:tc>
        <w:tc>
          <w:tcPr>
            <w:tcW w:type="dxa" w:w="3437"/>
            <w:vAlign w:val="center"/>
          </w:tcPr>
          <w:p>
            <w:r/>
            <w:r>
              <w:rPr>
                <w:b w:val="0"/>
                <w:sz w:val="14"/>
              </w:rPr>
              <w:t>Ransomware resilience</w:t>
            </w:r>
          </w:p>
        </w:tc>
      </w:tr>
    </w:tbl>
    <w:p/>
    <w:p>
      <w:r>
        <w:br w:type="page"/>
      </w:r>
    </w:p>
    <w:p>
      <w:pPr>
        <w:pStyle w:val="Heading1"/>
      </w:pPr>
      <w:r>
        <w:t>Appendix L — Backup and Recovery Test Scenarios</w:t>
      </w:r>
    </w:p>
    <w:p>
      <w:r>
        <w:t>Recovery tests shall demonstrate more than successful backup-job completion.</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Scenario</w:t>
            </w:r>
          </w:p>
        </w:tc>
        <w:tc>
          <w:tcPr>
            <w:tcW w:type="dxa" w:w="3437"/>
            <w:vAlign w:val="center"/>
            <w:shd w:fill="17365D"/>
          </w:tcPr>
          <w:p>
            <w:r/>
            <w:r>
              <w:rPr>
                <w:b/>
                <w:color w:val="FFFFFF"/>
                <w:sz w:val="15"/>
              </w:rPr>
              <w:t>Test Objective</w:t>
            </w:r>
          </w:p>
        </w:tc>
        <w:tc>
          <w:tcPr>
            <w:tcW w:type="dxa" w:w="3437"/>
            <w:vAlign w:val="center"/>
            <w:shd w:fill="17365D"/>
          </w:tcPr>
          <w:p>
            <w:r/>
            <w:r>
              <w:rPr>
                <w:b/>
                <w:color w:val="FFFFFF"/>
                <w:sz w:val="15"/>
              </w:rPr>
              <w:t>Evidence</w:t>
            </w:r>
          </w:p>
        </w:tc>
      </w:tr>
      <w:tr>
        <w:tc>
          <w:tcPr>
            <w:tcW w:type="dxa" w:w="3437"/>
            <w:vAlign w:val="center"/>
          </w:tcPr>
          <w:p>
            <w:r/>
            <w:r>
              <w:rPr>
                <w:b w:val="0"/>
                <w:sz w:val="14"/>
              </w:rPr>
              <w:t>File/database restore</w:t>
            </w:r>
          </w:p>
        </w:tc>
        <w:tc>
          <w:tcPr>
            <w:tcW w:type="dxa" w:w="3437"/>
            <w:vAlign w:val="center"/>
          </w:tcPr>
          <w:p>
            <w:r/>
            <w:r>
              <w:rPr>
                <w:b w:val="0"/>
                <w:sz w:val="14"/>
              </w:rPr>
              <w:t>Recover selected data accurately</w:t>
            </w:r>
          </w:p>
        </w:tc>
        <w:tc>
          <w:tcPr>
            <w:tcW w:type="dxa" w:w="3437"/>
            <w:vAlign w:val="center"/>
          </w:tcPr>
          <w:p>
            <w:r/>
            <w:r>
              <w:rPr>
                <w:b w:val="0"/>
                <w:sz w:val="14"/>
              </w:rPr>
              <w:t>Restore log + owner validation</w:t>
            </w:r>
          </w:p>
        </w:tc>
      </w:tr>
      <w:tr>
        <w:tc>
          <w:tcPr>
            <w:tcW w:type="dxa" w:w="3437"/>
            <w:vAlign w:val="center"/>
          </w:tcPr>
          <w:p>
            <w:r/>
            <w:r>
              <w:rPr>
                <w:b w:val="0"/>
                <w:sz w:val="14"/>
              </w:rPr>
              <w:t>Full application restore</w:t>
            </w:r>
          </w:p>
        </w:tc>
        <w:tc>
          <w:tcPr>
            <w:tcW w:type="dxa" w:w="3437"/>
            <w:vAlign w:val="center"/>
          </w:tcPr>
          <w:p>
            <w:r/>
            <w:r>
              <w:rPr>
                <w:b w:val="0"/>
                <w:sz w:val="14"/>
              </w:rPr>
              <w:t>Rebuild service from protected components</w:t>
            </w:r>
          </w:p>
        </w:tc>
        <w:tc>
          <w:tcPr>
            <w:tcW w:type="dxa" w:w="3437"/>
            <w:vAlign w:val="center"/>
          </w:tcPr>
          <w:p>
            <w:r/>
            <w:r>
              <w:rPr>
                <w:b w:val="0"/>
                <w:sz w:val="14"/>
              </w:rPr>
              <w:t>Recovery runbook results</w:t>
            </w:r>
          </w:p>
        </w:tc>
      </w:tr>
      <w:tr>
        <w:tc>
          <w:tcPr>
            <w:tcW w:type="dxa" w:w="3437"/>
            <w:vAlign w:val="center"/>
          </w:tcPr>
          <w:p>
            <w:r/>
            <w:r>
              <w:rPr>
                <w:b w:val="0"/>
                <w:sz w:val="14"/>
              </w:rPr>
              <w:t>Credential compromise</w:t>
            </w:r>
          </w:p>
        </w:tc>
        <w:tc>
          <w:tcPr>
            <w:tcW w:type="dxa" w:w="3437"/>
            <w:vAlign w:val="center"/>
          </w:tcPr>
          <w:p>
            <w:r/>
            <w:r>
              <w:rPr>
                <w:b w:val="0"/>
                <w:sz w:val="14"/>
              </w:rPr>
              <w:t>Restore while rotating impacted secrets</w:t>
            </w:r>
          </w:p>
        </w:tc>
        <w:tc>
          <w:tcPr>
            <w:tcW w:type="dxa" w:w="3437"/>
            <w:vAlign w:val="center"/>
          </w:tcPr>
          <w:p>
            <w:r/>
            <w:r>
              <w:rPr>
                <w:b w:val="0"/>
                <w:sz w:val="14"/>
              </w:rPr>
              <w:t>Credential/recovery evidence</w:t>
            </w:r>
          </w:p>
        </w:tc>
      </w:tr>
      <w:tr>
        <w:tc>
          <w:tcPr>
            <w:tcW w:type="dxa" w:w="3437"/>
            <w:vAlign w:val="center"/>
          </w:tcPr>
          <w:p>
            <w:r/>
            <w:r>
              <w:rPr>
                <w:b w:val="0"/>
                <w:sz w:val="14"/>
              </w:rPr>
              <w:t>Ransomware</w:t>
            </w:r>
          </w:p>
        </w:tc>
        <w:tc>
          <w:tcPr>
            <w:tcW w:type="dxa" w:w="3437"/>
            <w:vAlign w:val="center"/>
          </w:tcPr>
          <w:p>
            <w:r/>
            <w:r>
              <w:rPr>
                <w:b w:val="0"/>
                <w:sz w:val="14"/>
              </w:rPr>
              <w:t>Recover from clean/isolated copy</w:t>
            </w:r>
          </w:p>
        </w:tc>
        <w:tc>
          <w:tcPr>
            <w:tcW w:type="dxa" w:w="3437"/>
            <w:vAlign w:val="center"/>
          </w:tcPr>
          <w:p>
            <w:r/>
            <w:r>
              <w:rPr>
                <w:b w:val="0"/>
                <w:sz w:val="14"/>
              </w:rPr>
              <w:t>Integrity validation</w:t>
            </w:r>
          </w:p>
        </w:tc>
      </w:tr>
      <w:tr>
        <w:tc>
          <w:tcPr>
            <w:tcW w:type="dxa" w:w="3437"/>
            <w:vAlign w:val="center"/>
          </w:tcPr>
          <w:p>
            <w:r/>
            <w:r>
              <w:rPr>
                <w:b w:val="0"/>
                <w:sz w:val="14"/>
              </w:rPr>
              <w:t>Cloud region/service outage</w:t>
            </w:r>
          </w:p>
        </w:tc>
        <w:tc>
          <w:tcPr>
            <w:tcW w:type="dxa" w:w="3437"/>
            <w:vAlign w:val="center"/>
          </w:tcPr>
          <w:p>
            <w:r/>
            <w:r>
              <w:rPr>
                <w:b w:val="0"/>
                <w:sz w:val="14"/>
              </w:rPr>
              <w:t>Use alternate recovery pattern where designed</w:t>
            </w:r>
          </w:p>
        </w:tc>
        <w:tc>
          <w:tcPr>
            <w:tcW w:type="dxa" w:w="3437"/>
            <w:vAlign w:val="center"/>
          </w:tcPr>
          <w:p>
            <w:r/>
            <w:r>
              <w:rPr>
                <w:b w:val="0"/>
                <w:sz w:val="14"/>
              </w:rPr>
              <w:t>Failover test</w:t>
            </w:r>
          </w:p>
        </w:tc>
      </w:tr>
      <w:tr>
        <w:tc>
          <w:tcPr>
            <w:tcW w:type="dxa" w:w="3437"/>
            <w:vAlign w:val="center"/>
          </w:tcPr>
          <w:p>
            <w:r/>
            <w:r>
              <w:rPr>
                <w:b w:val="0"/>
                <w:sz w:val="14"/>
              </w:rPr>
              <w:t>Corrupt backup</w:t>
            </w:r>
          </w:p>
        </w:tc>
        <w:tc>
          <w:tcPr>
            <w:tcW w:type="dxa" w:w="3437"/>
            <w:vAlign w:val="center"/>
          </w:tcPr>
          <w:p>
            <w:r/>
            <w:r>
              <w:rPr>
                <w:b w:val="0"/>
                <w:sz w:val="14"/>
              </w:rPr>
              <w:t>Detect unusable recovery media</w:t>
            </w:r>
          </w:p>
        </w:tc>
        <w:tc>
          <w:tcPr>
            <w:tcW w:type="dxa" w:w="3437"/>
            <w:vAlign w:val="center"/>
          </w:tcPr>
          <w:p>
            <w:r/>
            <w:r>
              <w:rPr>
                <w:b w:val="0"/>
                <w:sz w:val="14"/>
              </w:rPr>
              <w:t>Validation alert/test</w:t>
            </w:r>
          </w:p>
        </w:tc>
      </w:tr>
      <w:tr>
        <w:tc>
          <w:tcPr>
            <w:tcW w:type="dxa" w:w="3437"/>
            <w:vAlign w:val="center"/>
          </w:tcPr>
          <w:p>
            <w:r/>
            <w:r>
              <w:rPr>
                <w:b w:val="0"/>
                <w:sz w:val="14"/>
              </w:rPr>
              <w:t>Key loss</w:t>
            </w:r>
          </w:p>
        </w:tc>
        <w:tc>
          <w:tcPr>
            <w:tcW w:type="dxa" w:w="3437"/>
            <w:vAlign w:val="center"/>
          </w:tcPr>
          <w:p>
            <w:r/>
            <w:r>
              <w:rPr>
                <w:b w:val="0"/>
                <w:sz w:val="14"/>
              </w:rPr>
              <w:t>Recover encrypted backup with controlled keys</w:t>
            </w:r>
          </w:p>
        </w:tc>
        <w:tc>
          <w:tcPr>
            <w:tcW w:type="dxa" w:w="3437"/>
            <w:vAlign w:val="center"/>
          </w:tcPr>
          <w:p>
            <w:r/>
            <w:r>
              <w:rPr>
                <w:b w:val="0"/>
                <w:sz w:val="14"/>
              </w:rPr>
              <w:t>Key recovery evidence</w:t>
            </w:r>
          </w:p>
        </w:tc>
      </w:tr>
      <w:tr>
        <w:tc>
          <w:tcPr>
            <w:tcW w:type="dxa" w:w="3437"/>
            <w:vAlign w:val="center"/>
          </w:tcPr>
          <w:p>
            <w:r/>
            <w:r>
              <w:rPr>
                <w:b w:val="0"/>
                <w:sz w:val="14"/>
              </w:rPr>
              <w:t>Third-party SaaS loss</w:t>
            </w:r>
          </w:p>
        </w:tc>
        <w:tc>
          <w:tcPr>
            <w:tcW w:type="dxa" w:w="3437"/>
            <w:vAlign w:val="center"/>
          </w:tcPr>
          <w:p>
            <w:r/>
            <w:r>
              <w:rPr>
                <w:b w:val="0"/>
                <w:sz w:val="14"/>
              </w:rPr>
              <w:t>Export/restore or alternate service plan</w:t>
            </w:r>
          </w:p>
        </w:tc>
        <w:tc>
          <w:tcPr>
            <w:tcW w:type="dxa" w:w="3437"/>
            <w:vAlign w:val="center"/>
          </w:tcPr>
          <w:p>
            <w:r/>
            <w:r>
              <w:rPr>
                <w:b w:val="0"/>
                <w:sz w:val="14"/>
              </w:rPr>
              <w:t>Vendor/exit evidence</w:t>
            </w:r>
          </w:p>
        </w:tc>
      </w:tr>
    </w:tbl>
    <w:p/>
    <w:p>
      <w:r>
        <w:br w:type="page"/>
      </w:r>
    </w:p>
    <w:p>
      <w:pPr>
        <w:pStyle w:val="Heading1"/>
      </w:pPr>
      <w:r>
        <w:t>Appendix M — Security Awareness Curriculum</w:t>
      </w:r>
    </w:p>
    <w:p>
      <w:r>
        <w:t>Awareness content should reflect role and emerging risk.</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Module</w:t>
            </w:r>
          </w:p>
        </w:tc>
        <w:tc>
          <w:tcPr>
            <w:tcW w:type="dxa" w:w="3437"/>
            <w:vAlign w:val="center"/>
            <w:shd w:fill="17365D"/>
          </w:tcPr>
          <w:p>
            <w:r/>
            <w:r>
              <w:rPr>
                <w:b/>
                <w:color w:val="FFFFFF"/>
                <w:sz w:val="15"/>
              </w:rPr>
              <w:t>Audience</w:t>
            </w:r>
          </w:p>
        </w:tc>
        <w:tc>
          <w:tcPr>
            <w:tcW w:type="dxa" w:w="3437"/>
            <w:vAlign w:val="center"/>
            <w:shd w:fill="17365D"/>
          </w:tcPr>
          <w:p>
            <w:r/>
            <w:r>
              <w:rPr>
                <w:b/>
                <w:color w:val="FFFFFF"/>
                <w:sz w:val="15"/>
              </w:rPr>
              <w:t>Key Behaviors</w:t>
            </w:r>
          </w:p>
        </w:tc>
      </w:tr>
      <w:tr>
        <w:tc>
          <w:tcPr>
            <w:tcW w:type="dxa" w:w="3437"/>
            <w:vAlign w:val="center"/>
          </w:tcPr>
          <w:p>
            <w:r/>
            <w:r>
              <w:rPr>
                <w:b w:val="0"/>
                <w:sz w:val="14"/>
              </w:rPr>
              <w:t>Phishing/social engineering</w:t>
            </w:r>
          </w:p>
        </w:tc>
        <w:tc>
          <w:tcPr>
            <w:tcW w:type="dxa" w:w="3437"/>
            <w:vAlign w:val="center"/>
          </w:tcPr>
          <w:p>
            <w:r/>
            <w:r>
              <w:rPr>
                <w:b w:val="0"/>
                <w:sz w:val="14"/>
              </w:rPr>
              <w:t>All staff</w:t>
            </w:r>
          </w:p>
        </w:tc>
        <w:tc>
          <w:tcPr>
            <w:tcW w:type="dxa" w:w="3437"/>
            <w:vAlign w:val="center"/>
          </w:tcPr>
          <w:p>
            <w:r/>
            <w:r>
              <w:rPr>
                <w:b w:val="0"/>
                <w:sz w:val="14"/>
              </w:rPr>
              <w:t>Verify unexpected requests; report quickly</w:t>
            </w:r>
          </w:p>
        </w:tc>
      </w:tr>
      <w:tr>
        <w:tc>
          <w:tcPr>
            <w:tcW w:type="dxa" w:w="3437"/>
            <w:vAlign w:val="center"/>
          </w:tcPr>
          <w:p>
            <w:r/>
            <w:r>
              <w:rPr>
                <w:b w:val="0"/>
                <w:sz w:val="14"/>
              </w:rPr>
              <w:t>MFA/credential safety</w:t>
            </w:r>
          </w:p>
        </w:tc>
        <w:tc>
          <w:tcPr>
            <w:tcW w:type="dxa" w:w="3437"/>
            <w:vAlign w:val="center"/>
          </w:tcPr>
          <w:p>
            <w:r/>
            <w:r>
              <w:rPr>
                <w:b w:val="0"/>
                <w:sz w:val="14"/>
              </w:rPr>
              <w:t>All staff</w:t>
            </w:r>
          </w:p>
        </w:tc>
        <w:tc>
          <w:tcPr>
            <w:tcW w:type="dxa" w:w="3437"/>
            <w:vAlign w:val="center"/>
          </w:tcPr>
          <w:p>
            <w:r/>
            <w:r>
              <w:rPr>
                <w:b w:val="0"/>
                <w:sz w:val="14"/>
              </w:rPr>
              <w:t>Never approve unexpected prompts/share OTPs</w:t>
            </w:r>
          </w:p>
        </w:tc>
      </w:tr>
      <w:tr>
        <w:tc>
          <w:tcPr>
            <w:tcW w:type="dxa" w:w="3437"/>
            <w:vAlign w:val="center"/>
          </w:tcPr>
          <w:p>
            <w:r/>
            <w:r>
              <w:rPr>
                <w:b w:val="0"/>
                <w:sz w:val="14"/>
              </w:rPr>
              <w:t>Customer data</w:t>
            </w:r>
          </w:p>
        </w:tc>
        <w:tc>
          <w:tcPr>
            <w:tcW w:type="dxa" w:w="3437"/>
            <w:vAlign w:val="center"/>
          </w:tcPr>
          <w:p>
            <w:r/>
            <w:r>
              <w:rPr>
                <w:b w:val="0"/>
                <w:sz w:val="14"/>
              </w:rPr>
              <w:t>Customer-facing/operations</w:t>
            </w:r>
          </w:p>
        </w:tc>
        <w:tc>
          <w:tcPr>
            <w:tcW w:type="dxa" w:w="3437"/>
            <w:vAlign w:val="center"/>
          </w:tcPr>
          <w:p>
            <w:r/>
            <w:r>
              <w:rPr>
                <w:b w:val="0"/>
                <w:sz w:val="14"/>
              </w:rPr>
              <w:t>Use approved channels and minimum data</w:t>
            </w:r>
          </w:p>
        </w:tc>
      </w:tr>
      <w:tr>
        <w:tc>
          <w:tcPr>
            <w:tcW w:type="dxa" w:w="3437"/>
            <w:vAlign w:val="center"/>
          </w:tcPr>
          <w:p>
            <w:r/>
            <w:r>
              <w:rPr>
                <w:b w:val="0"/>
                <w:sz w:val="14"/>
              </w:rPr>
              <w:t>Privileged security</w:t>
            </w:r>
          </w:p>
        </w:tc>
        <w:tc>
          <w:tcPr>
            <w:tcW w:type="dxa" w:w="3437"/>
            <w:vAlign w:val="center"/>
          </w:tcPr>
          <w:p>
            <w:r/>
            <w:r>
              <w:rPr>
                <w:b w:val="0"/>
                <w:sz w:val="14"/>
              </w:rPr>
              <w:t>Admins</w:t>
            </w:r>
          </w:p>
        </w:tc>
        <w:tc>
          <w:tcPr>
            <w:tcW w:type="dxa" w:w="3437"/>
            <w:vAlign w:val="center"/>
          </w:tcPr>
          <w:p>
            <w:r/>
            <w:r>
              <w:rPr>
                <w:b w:val="0"/>
                <w:sz w:val="14"/>
              </w:rPr>
              <w:t>Separate IDs, PAM, no shared credentials</w:t>
            </w:r>
          </w:p>
        </w:tc>
      </w:tr>
      <w:tr>
        <w:tc>
          <w:tcPr>
            <w:tcW w:type="dxa" w:w="3437"/>
            <w:vAlign w:val="center"/>
          </w:tcPr>
          <w:p>
            <w:r/>
            <w:r>
              <w:rPr>
                <w:b w:val="0"/>
                <w:sz w:val="14"/>
              </w:rPr>
              <w:t>Secure development</w:t>
            </w:r>
          </w:p>
        </w:tc>
        <w:tc>
          <w:tcPr>
            <w:tcW w:type="dxa" w:w="3437"/>
            <w:vAlign w:val="center"/>
          </w:tcPr>
          <w:p>
            <w:r/>
            <w:r>
              <w:rPr>
                <w:b w:val="0"/>
                <w:sz w:val="14"/>
              </w:rPr>
              <w:t>Developers</w:t>
            </w:r>
          </w:p>
        </w:tc>
        <w:tc>
          <w:tcPr>
            <w:tcW w:type="dxa" w:w="3437"/>
            <w:vAlign w:val="center"/>
          </w:tcPr>
          <w:p>
            <w:r/>
            <w:r>
              <w:rPr>
                <w:b w:val="0"/>
                <w:sz w:val="14"/>
              </w:rPr>
              <w:t>Secrets, dependency risk, code review</w:t>
            </w:r>
          </w:p>
        </w:tc>
      </w:tr>
      <w:tr>
        <w:tc>
          <w:tcPr>
            <w:tcW w:type="dxa" w:w="3437"/>
            <w:vAlign w:val="center"/>
          </w:tcPr>
          <w:p>
            <w:r/>
            <w:r>
              <w:rPr>
                <w:b w:val="0"/>
                <w:sz w:val="14"/>
              </w:rPr>
              <w:t>Cloud administration</w:t>
            </w:r>
          </w:p>
        </w:tc>
        <w:tc>
          <w:tcPr>
            <w:tcW w:type="dxa" w:w="3437"/>
            <w:vAlign w:val="center"/>
          </w:tcPr>
          <w:p>
            <w:r/>
            <w:r>
              <w:rPr>
                <w:b w:val="0"/>
                <w:sz w:val="14"/>
              </w:rPr>
              <w:t>Cloud teams</w:t>
            </w:r>
          </w:p>
        </w:tc>
        <w:tc>
          <w:tcPr>
            <w:tcW w:type="dxa" w:w="3437"/>
            <w:vAlign w:val="center"/>
          </w:tcPr>
          <w:p>
            <w:r/>
            <w:r>
              <w:rPr>
                <w:b w:val="0"/>
                <w:sz w:val="14"/>
              </w:rPr>
              <w:t>IAM, logging, public exposure prevention</w:t>
            </w:r>
          </w:p>
        </w:tc>
      </w:tr>
      <w:tr>
        <w:tc>
          <w:tcPr>
            <w:tcW w:type="dxa" w:w="3437"/>
            <w:vAlign w:val="center"/>
          </w:tcPr>
          <w:p>
            <w:r/>
            <w:r>
              <w:rPr>
                <w:b w:val="0"/>
                <w:sz w:val="14"/>
              </w:rPr>
              <w:t>Vendor security</w:t>
            </w:r>
          </w:p>
        </w:tc>
        <w:tc>
          <w:tcPr>
            <w:tcW w:type="dxa" w:w="3437"/>
            <w:vAlign w:val="center"/>
          </w:tcPr>
          <w:p>
            <w:r/>
            <w:r>
              <w:rPr>
                <w:b w:val="0"/>
                <w:sz w:val="14"/>
              </w:rPr>
              <w:t>Procurement/business owners</w:t>
            </w:r>
          </w:p>
        </w:tc>
        <w:tc>
          <w:tcPr>
            <w:tcW w:type="dxa" w:w="3437"/>
            <w:vAlign w:val="center"/>
          </w:tcPr>
          <w:p>
            <w:r/>
            <w:r>
              <w:rPr>
                <w:b w:val="0"/>
                <w:sz w:val="14"/>
              </w:rPr>
              <w:t>Due diligence, access, incident notices</w:t>
            </w:r>
          </w:p>
        </w:tc>
      </w:tr>
      <w:tr>
        <w:tc>
          <w:tcPr>
            <w:tcW w:type="dxa" w:w="3437"/>
            <w:vAlign w:val="center"/>
          </w:tcPr>
          <w:p>
            <w:r/>
            <w:r>
              <w:rPr>
                <w:b w:val="0"/>
                <w:sz w:val="14"/>
              </w:rPr>
              <w:t>Incident leadership</w:t>
            </w:r>
          </w:p>
        </w:tc>
        <w:tc>
          <w:tcPr>
            <w:tcW w:type="dxa" w:w="3437"/>
            <w:vAlign w:val="center"/>
          </w:tcPr>
          <w:p>
            <w:r/>
            <w:r>
              <w:rPr>
                <w:b w:val="0"/>
                <w:sz w:val="14"/>
              </w:rPr>
              <w:t>Executives/managers</w:t>
            </w:r>
          </w:p>
        </w:tc>
        <w:tc>
          <w:tcPr>
            <w:tcW w:type="dxa" w:w="3437"/>
            <w:vAlign w:val="center"/>
          </w:tcPr>
          <w:p>
            <w:r/>
            <w:r>
              <w:rPr>
                <w:b w:val="0"/>
                <w:sz w:val="14"/>
              </w:rPr>
              <w:t>Trusted comms, decisions, evidence preservation</w:t>
            </w:r>
          </w:p>
        </w:tc>
      </w:tr>
    </w:tbl>
    <w:p/>
    <w:p>
      <w:r>
        <w:br w:type="page"/>
      </w:r>
    </w:p>
    <w:p>
      <w:pPr>
        <w:pStyle w:val="Heading1"/>
      </w:pPr>
      <w:r>
        <w:t>Appendix N — Security Assurance Calendar</w:t>
      </w:r>
    </w:p>
    <w:p>
      <w:r>
        <w:t>Control assurance should be planned and evidence-based rather than performed only after incidents.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Control</w:t>
            </w:r>
          </w:p>
        </w:tc>
        <w:tc>
          <w:tcPr>
            <w:tcW w:type="dxa" w:w="3437"/>
            <w:vAlign w:val="center"/>
            <w:shd w:fill="17365D"/>
          </w:tcPr>
          <w:p>
            <w:r/>
            <w:r>
              <w:rPr>
                <w:b/>
                <w:color w:val="FFFFFF"/>
                <w:sz w:val="15"/>
              </w:rPr>
              <w:t>Owner</w:t>
            </w:r>
          </w:p>
        </w:tc>
        <w:tc>
          <w:tcPr>
            <w:tcW w:type="dxa" w:w="3437"/>
            <w:vAlign w:val="center"/>
            <w:shd w:fill="17365D"/>
          </w:tcPr>
          <w:p>
            <w:r/>
            <w:r>
              <w:rPr>
                <w:b/>
                <w:color w:val="FFFFFF"/>
                <w:sz w:val="15"/>
              </w:rPr>
              <w:t>Indicative Frequency</w:t>
            </w:r>
          </w:p>
        </w:tc>
      </w:tr>
      <w:tr>
        <w:tc>
          <w:tcPr>
            <w:tcW w:type="dxa" w:w="3437"/>
            <w:vAlign w:val="center"/>
          </w:tcPr>
          <w:p>
            <w:r/>
            <w:r>
              <w:rPr>
                <w:b w:val="0"/>
                <w:sz w:val="14"/>
              </w:rPr>
              <w:t>Privileged access recertification</w:t>
            </w:r>
          </w:p>
        </w:tc>
        <w:tc>
          <w:tcPr>
            <w:tcW w:type="dxa" w:w="3437"/>
            <w:vAlign w:val="center"/>
          </w:tcPr>
          <w:p>
            <w:r/>
            <w:r>
              <w:rPr>
                <w:b w:val="0"/>
                <w:sz w:val="14"/>
              </w:rPr>
              <w:t>IAM/System Owners</w:t>
            </w:r>
          </w:p>
        </w:tc>
        <w:tc>
          <w:tcPr>
            <w:tcW w:type="dxa" w:w="3437"/>
            <w:vAlign w:val="center"/>
          </w:tcPr>
          <w:p>
            <w:r/>
            <w:r>
              <w:rPr>
                <w:b w:val="0"/>
                <w:sz w:val="14"/>
              </w:rPr>
              <w:t>Monthly A4 / quarterly A3</w:t>
            </w:r>
          </w:p>
        </w:tc>
      </w:tr>
      <w:tr>
        <w:tc>
          <w:tcPr>
            <w:tcW w:type="dxa" w:w="3437"/>
            <w:vAlign w:val="center"/>
          </w:tcPr>
          <w:p>
            <w:r/>
            <w:r>
              <w:rPr>
                <w:b w:val="0"/>
                <w:sz w:val="14"/>
              </w:rPr>
              <w:t>Vulnerability scanning</w:t>
            </w:r>
          </w:p>
        </w:tc>
        <w:tc>
          <w:tcPr>
            <w:tcW w:type="dxa" w:w="3437"/>
            <w:vAlign w:val="center"/>
          </w:tcPr>
          <w:p>
            <w:r/>
            <w:r>
              <w:rPr>
                <w:b w:val="0"/>
                <w:sz w:val="14"/>
              </w:rPr>
              <w:t>Security/Technology</w:t>
            </w:r>
          </w:p>
        </w:tc>
        <w:tc>
          <w:tcPr>
            <w:tcW w:type="dxa" w:w="3437"/>
            <w:vAlign w:val="center"/>
          </w:tcPr>
          <w:p>
            <w:r/>
            <w:r>
              <w:rPr>
                <w:b w:val="0"/>
                <w:sz w:val="14"/>
              </w:rPr>
              <w:t>Weekly to monthly by criticality</w:t>
            </w:r>
          </w:p>
        </w:tc>
      </w:tr>
      <w:tr>
        <w:tc>
          <w:tcPr>
            <w:tcW w:type="dxa" w:w="3437"/>
            <w:vAlign w:val="center"/>
          </w:tcPr>
          <w:p>
            <w:r/>
            <w:r>
              <w:rPr>
                <w:b w:val="0"/>
                <w:sz w:val="14"/>
              </w:rPr>
              <w:t>External attack-surface review</w:t>
            </w:r>
          </w:p>
        </w:tc>
        <w:tc>
          <w:tcPr>
            <w:tcW w:type="dxa" w:w="3437"/>
            <w:vAlign w:val="center"/>
          </w:tcPr>
          <w:p>
            <w:r/>
            <w:r>
              <w:rPr>
                <w:b w:val="0"/>
                <w:sz w:val="14"/>
              </w:rPr>
              <w:t>Security</w:t>
            </w:r>
          </w:p>
        </w:tc>
        <w:tc>
          <w:tcPr>
            <w:tcW w:type="dxa" w:w="3437"/>
            <w:vAlign w:val="center"/>
          </w:tcPr>
          <w:p>
            <w:r/>
            <w:r>
              <w:rPr>
                <w:b w:val="0"/>
                <w:sz w:val="14"/>
              </w:rPr>
              <w:t>Monthly / continuous where supported</w:t>
            </w:r>
          </w:p>
        </w:tc>
      </w:tr>
      <w:tr>
        <w:tc>
          <w:tcPr>
            <w:tcW w:type="dxa" w:w="3437"/>
            <w:vAlign w:val="center"/>
          </w:tcPr>
          <w:p>
            <w:r/>
            <w:r>
              <w:rPr>
                <w:b w:val="0"/>
                <w:sz w:val="14"/>
              </w:rPr>
              <w:t>Penetration testing</w:t>
            </w:r>
          </w:p>
        </w:tc>
        <w:tc>
          <w:tcPr>
            <w:tcW w:type="dxa" w:w="3437"/>
            <w:vAlign w:val="center"/>
          </w:tcPr>
          <w:p>
            <w:r/>
            <w:r>
              <w:rPr>
                <w:b w:val="0"/>
                <w:sz w:val="14"/>
              </w:rPr>
              <w:t>Security</w:t>
            </w:r>
          </w:p>
        </w:tc>
        <w:tc>
          <w:tcPr>
            <w:tcW w:type="dxa" w:w="3437"/>
            <w:vAlign w:val="center"/>
          </w:tcPr>
          <w:p>
            <w:r/>
            <w:r>
              <w:rPr>
                <w:b w:val="0"/>
                <w:sz w:val="14"/>
              </w:rPr>
              <w:t>Annual for critical/high systems + material change</w:t>
            </w:r>
          </w:p>
        </w:tc>
      </w:tr>
      <w:tr>
        <w:tc>
          <w:tcPr>
            <w:tcW w:type="dxa" w:w="3437"/>
            <w:vAlign w:val="center"/>
          </w:tcPr>
          <w:p>
            <w:r/>
            <w:r>
              <w:rPr>
                <w:b w:val="0"/>
                <w:sz w:val="14"/>
              </w:rPr>
              <w:t>Backup restore test</w:t>
            </w:r>
          </w:p>
        </w:tc>
        <w:tc>
          <w:tcPr>
            <w:tcW w:type="dxa" w:w="3437"/>
            <w:vAlign w:val="center"/>
          </w:tcPr>
          <w:p>
            <w:r/>
            <w:r>
              <w:rPr>
                <w:b w:val="0"/>
                <w:sz w:val="14"/>
              </w:rPr>
              <w:t>Technology/Business</w:t>
            </w:r>
          </w:p>
        </w:tc>
        <w:tc>
          <w:tcPr>
            <w:tcW w:type="dxa" w:w="3437"/>
            <w:vAlign w:val="center"/>
          </w:tcPr>
          <w:p>
            <w:r/>
            <w:r>
              <w:rPr>
                <w:b w:val="0"/>
                <w:sz w:val="14"/>
              </w:rPr>
              <w:t>Semiannual critical / annual other material</w:t>
            </w:r>
          </w:p>
        </w:tc>
      </w:tr>
      <w:tr>
        <w:tc>
          <w:tcPr>
            <w:tcW w:type="dxa" w:w="3437"/>
            <w:vAlign w:val="center"/>
          </w:tcPr>
          <w:p>
            <w:r/>
            <w:r>
              <w:rPr>
                <w:b w:val="0"/>
                <w:sz w:val="14"/>
              </w:rPr>
              <w:t>Firewall rule review</w:t>
            </w:r>
          </w:p>
        </w:tc>
        <w:tc>
          <w:tcPr>
            <w:tcW w:type="dxa" w:w="3437"/>
            <w:vAlign w:val="center"/>
          </w:tcPr>
          <w:p>
            <w:r/>
            <w:r>
              <w:rPr>
                <w:b w:val="0"/>
                <w:sz w:val="14"/>
              </w:rPr>
              <w:t>Network/Security</w:t>
            </w:r>
          </w:p>
        </w:tc>
        <w:tc>
          <w:tcPr>
            <w:tcW w:type="dxa" w:w="3437"/>
            <w:vAlign w:val="center"/>
          </w:tcPr>
          <w:p>
            <w:r/>
            <w:r>
              <w:rPr>
                <w:b w:val="0"/>
                <w:sz w:val="14"/>
              </w:rPr>
              <w:t>Semiannual or risk-based</w:t>
            </w:r>
          </w:p>
        </w:tc>
      </w:tr>
      <w:tr>
        <w:tc>
          <w:tcPr>
            <w:tcW w:type="dxa" w:w="3437"/>
            <w:vAlign w:val="center"/>
          </w:tcPr>
          <w:p>
            <w:r/>
            <w:r>
              <w:rPr>
                <w:b w:val="0"/>
                <w:sz w:val="14"/>
              </w:rPr>
              <w:t>Cloud posture review</w:t>
            </w:r>
          </w:p>
        </w:tc>
        <w:tc>
          <w:tcPr>
            <w:tcW w:type="dxa" w:w="3437"/>
            <w:vAlign w:val="center"/>
          </w:tcPr>
          <w:p>
            <w:r/>
            <w:r>
              <w:rPr>
                <w:b w:val="0"/>
                <w:sz w:val="14"/>
              </w:rPr>
              <w:t>Cloud/Security</w:t>
            </w:r>
          </w:p>
        </w:tc>
        <w:tc>
          <w:tcPr>
            <w:tcW w:type="dxa" w:w="3437"/>
            <w:vAlign w:val="center"/>
          </w:tcPr>
          <w:p>
            <w:r/>
            <w:r>
              <w:rPr>
                <w:b w:val="0"/>
                <w:sz w:val="14"/>
              </w:rPr>
              <w:t>Monthly for critical tenants</w:t>
            </w:r>
          </w:p>
        </w:tc>
      </w:tr>
      <w:tr>
        <w:tc>
          <w:tcPr>
            <w:tcW w:type="dxa" w:w="3437"/>
            <w:vAlign w:val="center"/>
          </w:tcPr>
          <w:p>
            <w:r/>
            <w:r>
              <w:rPr>
                <w:b w:val="0"/>
                <w:sz w:val="14"/>
              </w:rPr>
              <w:t>Vendor security reassessment</w:t>
            </w:r>
          </w:p>
        </w:tc>
        <w:tc>
          <w:tcPr>
            <w:tcW w:type="dxa" w:w="3437"/>
            <w:vAlign w:val="center"/>
          </w:tcPr>
          <w:p>
            <w:r/>
            <w:r>
              <w:rPr>
                <w:b w:val="0"/>
                <w:sz w:val="14"/>
              </w:rPr>
              <w:t>Third-Party Risk/Security</w:t>
            </w:r>
          </w:p>
        </w:tc>
        <w:tc>
          <w:tcPr>
            <w:tcW w:type="dxa" w:w="3437"/>
            <w:vAlign w:val="center"/>
          </w:tcPr>
          <w:p>
            <w:r/>
            <w:r>
              <w:rPr>
                <w:b w:val="0"/>
                <w:sz w:val="14"/>
              </w:rPr>
              <w:t>Annual T1/T2</w:t>
            </w:r>
          </w:p>
        </w:tc>
      </w:tr>
      <w:tr>
        <w:tc>
          <w:tcPr>
            <w:tcW w:type="dxa" w:w="3437"/>
            <w:vAlign w:val="center"/>
          </w:tcPr>
          <w:p>
            <w:r/>
            <w:r>
              <w:rPr>
                <w:b w:val="0"/>
                <w:sz w:val="14"/>
              </w:rPr>
              <w:t>Security awareness</w:t>
            </w:r>
          </w:p>
        </w:tc>
        <w:tc>
          <w:tcPr>
            <w:tcW w:type="dxa" w:w="3437"/>
            <w:vAlign w:val="center"/>
          </w:tcPr>
          <w:p>
            <w:r/>
            <w:r>
              <w:rPr>
                <w:b w:val="0"/>
                <w:sz w:val="14"/>
              </w:rPr>
              <w:t>HR/Security</w:t>
            </w:r>
          </w:p>
        </w:tc>
        <w:tc>
          <w:tcPr>
            <w:tcW w:type="dxa" w:w="3437"/>
            <w:vAlign w:val="center"/>
          </w:tcPr>
          <w:p>
            <w:r/>
            <w:r>
              <w:rPr>
                <w:b w:val="0"/>
                <w:sz w:val="14"/>
              </w:rPr>
              <w:t>Annual + targeted campaigns</w:t>
            </w:r>
          </w:p>
        </w:tc>
      </w:tr>
      <w:tr>
        <w:tc>
          <w:tcPr>
            <w:tcW w:type="dxa" w:w="3437"/>
            <w:vAlign w:val="center"/>
          </w:tcPr>
          <w:p>
            <w:r/>
            <w:r>
              <w:rPr>
                <w:b w:val="0"/>
                <w:sz w:val="14"/>
              </w:rPr>
              <w:t>Incident exercise</w:t>
            </w:r>
          </w:p>
        </w:tc>
        <w:tc>
          <w:tcPr>
            <w:tcW w:type="dxa" w:w="3437"/>
            <w:vAlign w:val="center"/>
          </w:tcPr>
          <w:p>
            <w:r/>
            <w:r>
              <w:rPr>
                <w:b w:val="0"/>
                <w:sz w:val="14"/>
              </w:rPr>
              <w:t>Security/Business</w:t>
            </w:r>
          </w:p>
        </w:tc>
        <w:tc>
          <w:tcPr>
            <w:tcW w:type="dxa" w:w="3437"/>
            <w:vAlign w:val="center"/>
          </w:tcPr>
          <w:p>
            <w:r/>
            <w:r>
              <w:rPr>
                <w:b w:val="0"/>
                <w:sz w:val="14"/>
              </w:rPr>
              <w:t>At least annual for critical scenarios</w:t>
            </w:r>
          </w:p>
        </w:tc>
      </w:tr>
    </w:tbl>
    <w:p/>
    <w:p>
      <w:r>
        <w:br w:type="page"/>
      </w:r>
    </w:p>
    <w:p>
      <w:pPr>
        <w:pStyle w:val="Heading1"/>
      </w:pPr>
      <w:r>
        <w:t>Appendix O — Prohibited Security Practices</w:t>
      </w:r>
    </w:p>
    <w:p>
      <w:r>
        <w:t>The following practices are prohibited unless an explicit controlled exception exists.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7365D"/>
          </w:tcPr>
          <w:p>
            <w:r/>
            <w:r>
              <w:rPr>
                <w:b/>
                <w:color w:val="FFFFFF"/>
                <w:sz w:val="15"/>
              </w:rPr>
              <w:t>Practice</w:t>
            </w:r>
          </w:p>
        </w:tc>
        <w:tc>
          <w:tcPr>
            <w:tcW w:type="dxa" w:w="5155"/>
            <w:vAlign w:val="center"/>
            <w:shd w:fill="17365D"/>
          </w:tcPr>
          <w:p>
            <w:r/>
            <w:r>
              <w:rPr>
                <w:b/>
                <w:color w:val="FFFFFF"/>
                <w:sz w:val="15"/>
              </w:rPr>
              <w:t>Reason</w:t>
            </w:r>
          </w:p>
        </w:tc>
      </w:tr>
      <w:tr>
        <w:tc>
          <w:tcPr>
            <w:tcW w:type="dxa" w:w="5155"/>
            <w:vAlign w:val="center"/>
          </w:tcPr>
          <w:p>
            <w:r/>
            <w:r>
              <w:rPr>
                <w:b w:val="0"/>
                <w:sz w:val="14"/>
              </w:rPr>
              <w:t>Sharing user passwords or OTPs</w:t>
            </w:r>
          </w:p>
        </w:tc>
        <w:tc>
          <w:tcPr>
            <w:tcW w:type="dxa" w:w="5155"/>
            <w:vAlign w:val="center"/>
          </w:tcPr>
          <w:p>
            <w:r/>
            <w:r>
              <w:rPr>
                <w:b w:val="0"/>
                <w:sz w:val="14"/>
              </w:rPr>
              <w:t>Destroys attribution and enables unauthorized access</w:t>
            </w:r>
          </w:p>
        </w:tc>
      </w:tr>
      <w:tr>
        <w:tc>
          <w:tcPr>
            <w:tcW w:type="dxa" w:w="5155"/>
            <w:vAlign w:val="center"/>
          </w:tcPr>
          <w:p>
            <w:r/>
            <w:r>
              <w:rPr>
                <w:b w:val="0"/>
                <w:sz w:val="14"/>
              </w:rPr>
              <w:t>Storing credentials in spreadsheets/tickets/plain code</w:t>
            </w:r>
          </w:p>
        </w:tc>
        <w:tc>
          <w:tcPr>
            <w:tcW w:type="dxa" w:w="5155"/>
            <w:vAlign w:val="center"/>
          </w:tcPr>
          <w:p>
            <w:r/>
            <w:r>
              <w:rPr>
                <w:b w:val="0"/>
                <w:sz w:val="14"/>
              </w:rPr>
              <w:t>High exposure and reuse risk</w:t>
            </w:r>
          </w:p>
        </w:tc>
      </w:tr>
      <w:tr>
        <w:tc>
          <w:tcPr>
            <w:tcW w:type="dxa" w:w="5155"/>
            <w:vAlign w:val="center"/>
          </w:tcPr>
          <w:p>
            <w:r/>
            <w:r>
              <w:rPr>
                <w:b w:val="0"/>
                <w:sz w:val="14"/>
              </w:rPr>
              <w:t>Disabling security agents for convenience</w:t>
            </w:r>
          </w:p>
        </w:tc>
        <w:tc>
          <w:tcPr>
            <w:tcW w:type="dxa" w:w="5155"/>
            <w:vAlign w:val="center"/>
          </w:tcPr>
          <w:p>
            <w:r/>
            <w:r>
              <w:rPr>
                <w:b w:val="0"/>
                <w:sz w:val="14"/>
              </w:rPr>
              <w:t>Removes preventive/detective control</w:t>
            </w:r>
          </w:p>
        </w:tc>
      </w:tr>
      <w:tr>
        <w:tc>
          <w:tcPr>
            <w:tcW w:type="dxa" w:w="5155"/>
            <w:vAlign w:val="center"/>
          </w:tcPr>
          <w:p>
            <w:r/>
            <w:r>
              <w:rPr>
                <w:b w:val="0"/>
                <w:sz w:val="14"/>
              </w:rPr>
              <w:t>Using personal email for Northstar data</w:t>
            </w:r>
          </w:p>
        </w:tc>
        <w:tc>
          <w:tcPr>
            <w:tcW w:type="dxa" w:w="5155"/>
            <w:vAlign w:val="center"/>
          </w:tcPr>
          <w:p>
            <w:r/>
            <w:r>
              <w:rPr>
                <w:b w:val="0"/>
                <w:sz w:val="14"/>
              </w:rPr>
              <w:t>Uncontrolled storage and transmission</w:t>
            </w:r>
          </w:p>
        </w:tc>
      </w:tr>
      <w:tr>
        <w:tc>
          <w:tcPr>
            <w:tcW w:type="dxa" w:w="5155"/>
            <w:vAlign w:val="center"/>
          </w:tcPr>
          <w:p>
            <w:r/>
            <w:r>
              <w:rPr>
                <w:b w:val="0"/>
                <w:sz w:val="14"/>
              </w:rPr>
              <w:t>Creating public cloud storage for business data</w:t>
            </w:r>
          </w:p>
        </w:tc>
        <w:tc>
          <w:tcPr>
            <w:tcW w:type="dxa" w:w="5155"/>
            <w:vAlign w:val="center"/>
          </w:tcPr>
          <w:p>
            <w:r/>
            <w:r>
              <w:rPr>
                <w:b w:val="0"/>
                <w:sz w:val="14"/>
              </w:rPr>
              <w:t>Unapproved exposure</w:t>
            </w:r>
          </w:p>
        </w:tc>
      </w:tr>
      <w:tr>
        <w:tc>
          <w:tcPr>
            <w:tcW w:type="dxa" w:w="5155"/>
            <w:vAlign w:val="center"/>
          </w:tcPr>
          <w:p>
            <w:r/>
            <w:r>
              <w:rPr>
                <w:b w:val="0"/>
                <w:sz w:val="14"/>
              </w:rPr>
              <w:t>Installing unapproved remote-access tools</w:t>
            </w:r>
          </w:p>
        </w:tc>
        <w:tc>
          <w:tcPr>
            <w:tcW w:type="dxa" w:w="5155"/>
            <w:vAlign w:val="center"/>
          </w:tcPr>
          <w:p>
            <w:r/>
            <w:r>
              <w:rPr>
                <w:b w:val="0"/>
                <w:sz w:val="14"/>
              </w:rPr>
              <w:t>Bypasses security monitoring/access control</w:t>
            </w:r>
          </w:p>
        </w:tc>
      </w:tr>
      <w:tr>
        <w:tc>
          <w:tcPr>
            <w:tcW w:type="dxa" w:w="5155"/>
            <w:vAlign w:val="center"/>
          </w:tcPr>
          <w:p>
            <w:r/>
            <w:r>
              <w:rPr>
                <w:b w:val="0"/>
                <w:sz w:val="14"/>
              </w:rPr>
              <w:t>Using production customer data in demos without approval</w:t>
            </w:r>
          </w:p>
        </w:tc>
        <w:tc>
          <w:tcPr>
            <w:tcW w:type="dxa" w:w="5155"/>
            <w:vAlign w:val="center"/>
          </w:tcPr>
          <w:p>
            <w:r/>
            <w:r>
              <w:rPr>
                <w:b w:val="0"/>
                <w:sz w:val="14"/>
              </w:rPr>
              <w:t>Unnecessary exposure</w:t>
            </w:r>
          </w:p>
        </w:tc>
      </w:tr>
      <w:tr>
        <w:tc>
          <w:tcPr>
            <w:tcW w:type="dxa" w:w="5155"/>
            <w:vAlign w:val="center"/>
          </w:tcPr>
          <w:p>
            <w:r/>
            <w:r>
              <w:rPr>
                <w:b w:val="0"/>
                <w:sz w:val="14"/>
              </w:rPr>
              <w:t>Deleting logs/evidence during incident</w:t>
            </w:r>
          </w:p>
        </w:tc>
        <w:tc>
          <w:tcPr>
            <w:tcW w:type="dxa" w:w="5155"/>
            <w:vAlign w:val="center"/>
          </w:tcPr>
          <w:p>
            <w:r/>
            <w:r>
              <w:rPr>
                <w:b w:val="0"/>
                <w:sz w:val="14"/>
              </w:rPr>
              <w:t>Prevents investigation/reconstruction</w:t>
            </w:r>
          </w:p>
        </w:tc>
      </w:tr>
      <w:tr>
        <w:tc>
          <w:tcPr>
            <w:tcW w:type="dxa" w:w="5155"/>
            <w:vAlign w:val="center"/>
          </w:tcPr>
          <w:p>
            <w:r/>
            <w:r>
              <w:rPr>
                <w:b w:val="0"/>
                <w:sz w:val="14"/>
              </w:rPr>
              <w:t>Granting permanent admin to solve temporary support issue</w:t>
            </w:r>
          </w:p>
        </w:tc>
        <w:tc>
          <w:tcPr>
            <w:tcW w:type="dxa" w:w="5155"/>
            <w:vAlign w:val="center"/>
          </w:tcPr>
          <w:p>
            <w:r/>
            <w:r>
              <w:rPr>
                <w:b w:val="0"/>
                <w:sz w:val="14"/>
              </w:rPr>
              <w:t>Violates least privilege</w:t>
            </w:r>
          </w:p>
        </w:tc>
      </w:tr>
      <w:tr>
        <w:tc>
          <w:tcPr>
            <w:tcW w:type="dxa" w:w="5155"/>
            <w:vAlign w:val="center"/>
          </w:tcPr>
          <w:p>
            <w:r/>
            <w:r>
              <w:rPr>
                <w:b w:val="0"/>
                <w:sz w:val="14"/>
              </w:rPr>
              <w:t>Ignoring repeated unexpected MFA prompts</w:t>
            </w:r>
          </w:p>
        </w:tc>
        <w:tc>
          <w:tcPr>
            <w:tcW w:type="dxa" w:w="5155"/>
            <w:vAlign w:val="center"/>
          </w:tcPr>
          <w:p>
            <w:r/>
            <w:r>
              <w:rPr>
                <w:b w:val="0"/>
                <w:sz w:val="14"/>
              </w:rPr>
              <w:t>Potential credential compromise indicator</w:t>
            </w:r>
          </w:p>
        </w:tc>
      </w:tr>
    </w:tbl>
    <w:p/>
    <w:p>
      <w:r>
        <w:br w:type="page"/>
      </w:r>
    </w:p>
    <w:p>
      <w:pPr>
        <w:pStyle w:val="Heading1"/>
      </w:pPr>
      <w:r>
        <w:t>Appendix P — Security Risk Acceptance Examples</w:t>
      </w:r>
    </w:p>
    <w:p>
      <w:r>
        <w:t>Risk acceptance shall describe the actual security exposure and time-bound treatment.</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Scenario</w:t>
            </w:r>
          </w:p>
        </w:tc>
        <w:tc>
          <w:tcPr>
            <w:tcW w:type="dxa" w:w="3437"/>
            <w:vAlign w:val="center"/>
            <w:shd w:fill="17365D"/>
          </w:tcPr>
          <w:p>
            <w:r/>
            <w:r>
              <w:rPr>
                <w:b/>
                <w:color w:val="FFFFFF"/>
                <w:sz w:val="15"/>
              </w:rPr>
              <w:t>Acceptable Evidence</w:t>
            </w:r>
          </w:p>
        </w:tc>
        <w:tc>
          <w:tcPr>
            <w:tcW w:type="dxa" w:w="3437"/>
            <w:vAlign w:val="center"/>
            <w:shd w:fill="17365D"/>
          </w:tcPr>
          <w:p>
            <w:r/>
            <w:r>
              <w:rPr>
                <w:b/>
                <w:color w:val="FFFFFF"/>
                <w:sz w:val="15"/>
              </w:rPr>
              <w:t>Unacceptable Rationale</w:t>
            </w:r>
          </w:p>
        </w:tc>
      </w:tr>
      <w:tr>
        <w:tc>
          <w:tcPr>
            <w:tcW w:type="dxa" w:w="3437"/>
            <w:vAlign w:val="center"/>
          </w:tcPr>
          <w:p>
            <w:r/>
            <w:r>
              <w:rPr>
                <w:b w:val="0"/>
                <w:sz w:val="14"/>
              </w:rPr>
              <w:t>Legacy app lacks MFA</w:t>
            </w:r>
          </w:p>
        </w:tc>
        <w:tc>
          <w:tcPr>
            <w:tcW w:type="dxa" w:w="3437"/>
            <w:vAlign w:val="center"/>
          </w:tcPr>
          <w:p>
            <w:r/>
            <w:r>
              <w:rPr>
                <w:b w:val="0"/>
                <w:sz w:val="14"/>
              </w:rPr>
              <w:t>Restricted network, named users, extra monitoring, migration date</w:t>
            </w:r>
          </w:p>
        </w:tc>
        <w:tc>
          <w:tcPr>
            <w:tcW w:type="dxa" w:w="3437"/>
            <w:vAlign w:val="center"/>
          </w:tcPr>
          <w:p>
            <w:r/>
            <w:r>
              <w:rPr>
                <w:b w:val="0"/>
                <w:sz w:val="14"/>
              </w:rPr>
              <w:t>“System is old”</w:t>
            </w:r>
          </w:p>
        </w:tc>
      </w:tr>
      <w:tr>
        <w:tc>
          <w:tcPr>
            <w:tcW w:type="dxa" w:w="3437"/>
            <w:vAlign w:val="center"/>
          </w:tcPr>
          <w:p>
            <w:r/>
            <w:r>
              <w:rPr>
                <w:b w:val="0"/>
                <w:sz w:val="14"/>
              </w:rPr>
              <w:t>Critical patch delayed</w:t>
            </w:r>
          </w:p>
        </w:tc>
        <w:tc>
          <w:tcPr>
            <w:tcW w:type="dxa" w:w="3437"/>
            <w:vAlign w:val="center"/>
          </w:tcPr>
          <w:p>
            <w:r/>
            <w:r>
              <w:rPr>
                <w:b w:val="0"/>
                <w:sz w:val="14"/>
              </w:rPr>
              <w:t>Exploit blocked, segmentation, monitored, fix date</w:t>
            </w:r>
          </w:p>
        </w:tc>
        <w:tc>
          <w:tcPr>
            <w:tcW w:type="dxa" w:w="3437"/>
            <w:vAlign w:val="center"/>
          </w:tcPr>
          <w:p>
            <w:r/>
            <w:r>
              <w:rPr>
                <w:b w:val="0"/>
                <w:sz w:val="14"/>
              </w:rPr>
              <w:t>“Business does not want downtime”</w:t>
            </w:r>
          </w:p>
        </w:tc>
      </w:tr>
      <w:tr>
        <w:tc>
          <w:tcPr>
            <w:tcW w:type="dxa" w:w="3437"/>
            <w:vAlign w:val="center"/>
          </w:tcPr>
          <w:p>
            <w:r/>
            <w:r>
              <w:rPr>
                <w:b w:val="0"/>
                <w:sz w:val="14"/>
              </w:rPr>
              <w:t>Vendor cannot provide assurance report</w:t>
            </w:r>
          </w:p>
        </w:tc>
        <w:tc>
          <w:tcPr>
            <w:tcW w:type="dxa" w:w="3437"/>
            <w:vAlign w:val="center"/>
          </w:tcPr>
          <w:p>
            <w:r/>
            <w:r>
              <w:rPr>
                <w:b w:val="0"/>
                <w:sz w:val="14"/>
              </w:rPr>
              <w:t>Alternative evidence, limited access, contract commitments, short review cycle</w:t>
            </w:r>
          </w:p>
        </w:tc>
        <w:tc>
          <w:tcPr>
            <w:tcW w:type="dxa" w:w="3437"/>
            <w:vAlign w:val="center"/>
          </w:tcPr>
          <w:p>
            <w:r/>
            <w:r>
              <w:rPr>
                <w:b w:val="0"/>
                <w:sz w:val="14"/>
              </w:rPr>
              <w:t>“Vendor is well known”</w:t>
            </w:r>
          </w:p>
        </w:tc>
      </w:tr>
      <w:tr>
        <w:tc>
          <w:tcPr>
            <w:tcW w:type="dxa" w:w="3437"/>
            <w:vAlign w:val="center"/>
          </w:tcPr>
          <w:p>
            <w:r/>
            <w:r>
              <w:rPr>
                <w:b w:val="0"/>
                <w:sz w:val="14"/>
              </w:rPr>
              <w:t>Log retention below target</w:t>
            </w:r>
          </w:p>
        </w:tc>
        <w:tc>
          <w:tcPr>
            <w:tcW w:type="dxa" w:w="3437"/>
            <w:vAlign w:val="center"/>
          </w:tcPr>
          <w:p>
            <w:r/>
            <w:r>
              <w:rPr>
                <w:b w:val="0"/>
                <w:sz w:val="14"/>
              </w:rPr>
              <w:t>Archive available, compensating detection, platform migration plan</w:t>
            </w:r>
          </w:p>
        </w:tc>
        <w:tc>
          <w:tcPr>
            <w:tcW w:type="dxa" w:w="3437"/>
            <w:vAlign w:val="center"/>
          </w:tcPr>
          <w:p>
            <w:r/>
            <w:r>
              <w:rPr>
                <w:b w:val="0"/>
                <w:sz w:val="14"/>
              </w:rPr>
              <w:t>“Storage is expensive”</w:t>
            </w:r>
          </w:p>
        </w:tc>
      </w:tr>
      <w:tr>
        <w:tc>
          <w:tcPr>
            <w:tcW w:type="dxa" w:w="3437"/>
            <w:vAlign w:val="center"/>
          </w:tcPr>
          <w:p>
            <w:r/>
            <w:r>
              <w:rPr>
                <w:b w:val="0"/>
                <w:sz w:val="14"/>
              </w:rPr>
              <w:t>Temporary broad admin role</w:t>
            </w:r>
          </w:p>
        </w:tc>
        <w:tc>
          <w:tcPr>
            <w:tcW w:type="dxa" w:w="3437"/>
            <w:vAlign w:val="center"/>
          </w:tcPr>
          <w:p>
            <w:r/>
            <w:r>
              <w:rPr>
                <w:b w:val="0"/>
                <w:sz w:val="14"/>
              </w:rPr>
              <w:t>Specific incident/change, PAM logging, expiry</w:t>
            </w:r>
          </w:p>
        </w:tc>
        <w:tc>
          <w:tcPr>
            <w:tcW w:type="dxa" w:w="3437"/>
            <w:vAlign w:val="center"/>
          </w:tcPr>
          <w:p>
            <w:r/>
            <w:r>
              <w:rPr>
                <w:b w:val="0"/>
                <w:sz w:val="14"/>
              </w:rPr>
              <w:t>“Team may need it sometime”</w:t>
            </w:r>
          </w:p>
        </w:tc>
      </w:tr>
    </w:tbl>
    <w:p/>
    <w:p>
      <w:r>
        <w:br w:type="page"/>
      </w:r>
    </w:p>
    <w:p>
      <w:pPr>
        <w:pStyle w:val="Heading1"/>
      </w:pPr>
      <w:r>
        <w:t>Appendix Q — Security Control Ownership RACI</w:t>
      </w:r>
    </w:p>
    <w:p>
      <w:r>
        <w:t>The following examples clarify ownership across Security, Technology and business functions.</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7365D"/>
          </w:tcPr>
          <w:p>
            <w:r/>
            <w:r>
              <w:rPr>
                <w:b/>
                <w:color w:val="FFFFFF"/>
                <w:sz w:val="15"/>
              </w:rPr>
              <w:t>Control</w:t>
            </w:r>
          </w:p>
        </w:tc>
        <w:tc>
          <w:tcPr>
            <w:tcW w:type="dxa" w:w="2577"/>
            <w:vAlign w:val="center"/>
            <w:shd w:fill="17365D"/>
          </w:tcPr>
          <w:p>
            <w:r/>
            <w:r>
              <w:rPr>
                <w:b/>
                <w:color w:val="FFFFFF"/>
                <w:sz w:val="15"/>
              </w:rPr>
              <w:t>Business/System Owner</w:t>
            </w:r>
          </w:p>
        </w:tc>
        <w:tc>
          <w:tcPr>
            <w:tcW w:type="dxa" w:w="2577"/>
            <w:vAlign w:val="center"/>
            <w:shd w:fill="17365D"/>
          </w:tcPr>
          <w:p>
            <w:r/>
            <w:r>
              <w:rPr>
                <w:b/>
                <w:color w:val="FFFFFF"/>
                <w:sz w:val="15"/>
              </w:rPr>
              <w:t>Technology</w:t>
            </w:r>
          </w:p>
        </w:tc>
        <w:tc>
          <w:tcPr>
            <w:tcW w:type="dxa" w:w="2577"/>
            <w:vAlign w:val="center"/>
            <w:shd w:fill="17365D"/>
          </w:tcPr>
          <w:p>
            <w:r/>
            <w:r>
              <w:rPr>
                <w:b/>
                <w:color w:val="FFFFFF"/>
                <w:sz w:val="15"/>
              </w:rPr>
              <w:t>Information Security</w:t>
            </w:r>
          </w:p>
        </w:tc>
      </w:tr>
      <w:tr>
        <w:tc>
          <w:tcPr>
            <w:tcW w:type="dxa" w:w="2577"/>
            <w:vAlign w:val="center"/>
          </w:tcPr>
          <w:p>
            <w:r/>
            <w:r>
              <w:rPr>
                <w:b w:val="0"/>
                <w:sz w:val="14"/>
              </w:rPr>
              <w:t>Data classification</w:t>
            </w:r>
          </w:p>
        </w:tc>
        <w:tc>
          <w:tcPr>
            <w:tcW w:type="dxa" w:w="2577"/>
            <w:vAlign w:val="center"/>
          </w:tcPr>
          <w:p>
            <w:r/>
            <w:r>
              <w:rPr>
                <w:b w:val="0"/>
                <w:sz w:val="14"/>
              </w:rPr>
              <w:t>A/R</w:t>
            </w:r>
          </w:p>
        </w:tc>
        <w:tc>
          <w:tcPr>
            <w:tcW w:type="dxa" w:w="2577"/>
            <w:vAlign w:val="center"/>
          </w:tcPr>
          <w:p>
            <w:r/>
            <w:r>
              <w:rPr>
                <w:b w:val="0"/>
                <w:sz w:val="14"/>
              </w:rPr>
              <w:t>C</w:t>
            </w:r>
          </w:p>
        </w:tc>
        <w:tc>
          <w:tcPr>
            <w:tcW w:type="dxa" w:w="2577"/>
            <w:vAlign w:val="center"/>
          </w:tcPr>
          <w:p>
            <w:r/>
            <w:r>
              <w:rPr>
                <w:b w:val="0"/>
                <w:sz w:val="14"/>
              </w:rPr>
              <w:t>C</w:t>
            </w:r>
          </w:p>
        </w:tc>
      </w:tr>
      <w:tr>
        <w:tc>
          <w:tcPr>
            <w:tcW w:type="dxa" w:w="2577"/>
            <w:vAlign w:val="center"/>
          </w:tcPr>
          <w:p>
            <w:r/>
            <w:r>
              <w:rPr>
                <w:b w:val="0"/>
                <w:sz w:val="14"/>
              </w:rPr>
              <w:t>Business access approval</w:t>
            </w:r>
          </w:p>
        </w:tc>
        <w:tc>
          <w:tcPr>
            <w:tcW w:type="dxa" w:w="2577"/>
            <w:vAlign w:val="center"/>
          </w:tcPr>
          <w:p>
            <w:r/>
            <w:r>
              <w:rPr>
                <w:b w:val="0"/>
                <w:sz w:val="14"/>
              </w:rPr>
              <w:t>A/R</w:t>
            </w:r>
          </w:p>
        </w:tc>
        <w:tc>
          <w:tcPr>
            <w:tcW w:type="dxa" w:w="2577"/>
            <w:vAlign w:val="center"/>
          </w:tcPr>
          <w:p>
            <w:r/>
            <w:r>
              <w:rPr>
                <w:b w:val="0"/>
                <w:sz w:val="14"/>
              </w:rPr>
              <w:t>I</w:t>
            </w:r>
          </w:p>
        </w:tc>
        <w:tc>
          <w:tcPr>
            <w:tcW w:type="dxa" w:w="2577"/>
            <w:vAlign w:val="center"/>
          </w:tcPr>
          <w:p>
            <w:r/>
            <w:r>
              <w:rPr>
                <w:b w:val="0"/>
                <w:sz w:val="14"/>
              </w:rPr>
              <w:t>C</w:t>
            </w:r>
          </w:p>
        </w:tc>
      </w:tr>
      <w:tr>
        <w:tc>
          <w:tcPr>
            <w:tcW w:type="dxa" w:w="2577"/>
            <w:vAlign w:val="center"/>
          </w:tcPr>
          <w:p>
            <w:r/>
            <w:r>
              <w:rPr>
                <w:b w:val="0"/>
                <w:sz w:val="14"/>
              </w:rPr>
              <w:t>Technical provisioning</w:t>
            </w:r>
          </w:p>
        </w:tc>
        <w:tc>
          <w:tcPr>
            <w:tcW w:type="dxa" w:w="2577"/>
            <w:vAlign w:val="center"/>
          </w:tcPr>
          <w:p>
            <w:r/>
            <w:r>
              <w:rPr>
                <w:b w:val="0"/>
                <w:sz w:val="14"/>
              </w:rPr>
              <w:t>I</w:t>
            </w:r>
          </w:p>
        </w:tc>
        <w:tc>
          <w:tcPr>
            <w:tcW w:type="dxa" w:w="2577"/>
            <w:vAlign w:val="center"/>
          </w:tcPr>
          <w:p>
            <w:r/>
            <w:r>
              <w:rPr>
                <w:b w:val="0"/>
                <w:sz w:val="14"/>
              </w:rPr>
              <w:t>R</w:t>
            </w:r>
          </w:p>
        </w:tc>
        <w:tc>
          <w:tcPr>
            <w:tcW w:type="dxa" w:w="2577"/>
            <w:vAlign w:val="center"/>
          </w:tcPr>
          <w:p>
            <w:r/>
            <w:r>
              <w:rPr>
                <w:b w:val="0"/>
                <w:sz w:val="14"/>
              </w:rPr>
              <w:t>C</w:t>
            </w:r>
          </w:p>
        </w:tc>
      </w:tr>
      <w:tr>
        <w:tc>
          <w:tcPr>
            <w:tcW w:type="dxa" w:w="2577"/>
            <w:vAlign w:val="center"/>
          </w:tcPr>
          <w:p>
            <w:r/>
            <w:r>
              <w:rPr>
                <w:b w:val="0"/>
                <w:sz w:val="14"/>
              </w:rPr>
              <w:t>Security standard</w:t>
            </w:r>
          </w:p>
        </w:tc>
        <w:tc>
          <w:tcPr>
            <w:tcW w:type="dxa" w:w="2577"/>
            <w:vAlign w:val="center"/>
          </w:tcPr>
          <w:p>
            <w:r/>
            <w:r>
              <w:rPr>
                <w:b w:val="0"/>
                <w:sz w:val="14"/>
              </w:rPr>
              <w:t>C</w:t>
            </w:r>
          </w:p>
        </w:tc>
        <w:tc>
          <w:tcPr>
            <w:tcW w:type="dxa" w:w="2577"/>
            <w:vAlign w:val="center"/>
          </w:tcPr>
          <w:p>
            <w:r/>
            <w:r>
              <w:rPr>
                <w:b w:val="0"/>
                <w:sz w:val="14"/>
              </w:rPr>
              <w:t>C</w:t>
            </w:r>
          </w:p>
        </w:tc>
        <w:tc>
          <w:tcPr>
            <w:tcW w:type="dxa" w:w="2577"/>
            <w:vAlign w:val="center"/>
          </w:tcPr>
          <w:p>
            <w:r/>
            <w:r>
              <w:rPr>
                <w:b w:val="0"/>
                <w:sz w:val="14"/>
              </w:rPr>
              <w:t>A/R</w:t>
            </w:r>
          </w:p>
        </w:tc>
      </w:tr>
      <w:tr>
        <w:tc>
          <w:tcPr>
            <w:tcW w:type="dxa" w:w="2577"/>
            <w:vAlign w:val="center"/>
          </w:tcPr>
          <w:p>
            <w:r/>
            <w:r>
              <w:rPr>
                <w:b w:val="0"/>
                <w:sz w:val="14"/>
              </w:rPr>
              <w:t>Patch deployment</w:t>
            </w:r>
          </w:p>
        </w:tc>
        <w:tc>
          <w:tcPr>
            <w:tcW w:type="dxa" w:w="2577"/>
            <w:vAlign w:val="center"/>
          </w:tcPr>
          <w:p>
            <w:r/>
            <w:r>
              <w:rPr>
                <w:b w:val="0"/>
                <w:sz w:val="14"/>
              </w:rPr>
              <w:t>I</w:t>
            </w:r>
          </w:p>
        </w:tc>
        <w:tc>
          <w:tcPr>
            <w:tcW w:type="dxa" w:w="2577"/>
            <w:vAlign w:val="center"/>
          </w:tcPr>
          <w:p>
            <w:r/>
            <w:r>
              <w:rPr>
                <w:b w:val="0"/>
                <w:sz w:val="14"/>
              </w:rPr>
              <w:t>A/R</w:t>
            </w:r>
          </w:p>
        </w:tc>
        <w:tc>
          <w:tcPr>
            <w:tcW w:type="dxa" w:w="2577"/>
            <w:vAlign w:val="center"/>
          </w:tcPr>
          <w:p>
            <w:r/>
            <w:r>
              <w:rPr>
                <w:b w:val="0"/>
                <w:sz w:val="14"/>
              </w:rPr>
              <w:t>C/monitor</w:t>
            </w:r>
          </w:p>
        </w:tc>
      </w:tr>
      <w:tr>
        <w:tc>
          <w:tcPr>
            <w:tcW w:type="dxa" w:w="2577"/>
            <w:vAlign w:val="center"/>
          </w:tcPr>
          <w:p>
            <w:r/>
            <w:r>
              <w:rPr>
                <w:b w:val="0"/>
                <w:sz w:val="14"/>
              </w:rPr>
              <w:t>Vulnerability rating</w:t>
            </w:r>
          </w:p>
        </w:tc>
        <w:tc>
          <w:tcPr>
            <w:tcW w:type="dxa" w:w="2577"/>
            <w:vAlign w:val="center"/>
          </w:tcPr>
          <w:p>
            <w:r/>
            <w:r>
              <w:rPr>
                <w:b w:val="0"/>
                <w:sz w:val="14"/>
              </w:rPr>
              <w:t>C</w:t>
            </w:r>
          </w:p>
        </w:tc>
        <w:tc>
          <w:tcPr>
            <w:tcW w:type="dxa" w:w="2577"/>
            <w:vAlign w:val="center"/>
          </w:tcPr>
          <w:p>
            <w:r/>
            <w:r>
              <w:rPr>
                <w:b w:val="0"/>
                <w:sz w:val="14"/>
              </w:rPr>
              <w:t>C</w:t>
            </w:r>
          </w:p>
        </w:tc>
        <w:tc>
          <w:tcPr>
            <w:tcW w:type="dxa" w:w="2577"/>
            <w:vAlign w:val="center"/>
          </w:tcPr>
          <w:p>
            <w:r/>
            <w:r>
              <w:rPr>
                <w:b w:val="0"/>
                <w:sz w:val="14"/>
              </w:rPr>
              <w:t>A/R</w:t>
            </w:r>
          </w:p>
        </w:tc>
      </w:tr>
      <w:tr>
        <w:tc>
          <w:tcPr>
            <w:tcW w:type="dxa" w:w="2577"/>
            <w:vAlign w:val="center"/>
          </w:tcPr>
          <w:p>
            <w:r/>
            <w:r>
              <w:rPr>
                <w:b w:val="0"/>
                <w:sz w:val="14"/>
              </w:rPr>
              <w:t>Incident containment</w:t>
            </w:r>
          </w:p>
        </w:tc>
        <w:tc>
          <w:tcPr>
            <w:tcW w:type="dxa" w:w="2577"/>
            <w:vAlign w:val="center"/>
          </w:tcPr>
          <w:p>
            <w:r/>
            <w:r>
              <w:rPr>
                <w:b w:val="0"/>
                <w:sz w:val="14"/>
              </w:rPr>
              <w:t>C</w:t>
            </w:r>
          </w:p>
        </w:tc>
        <w:tc>
          <w:tcPr>
            <w:tcW w:type="dxa" w:w="2577"/>
            <w:vAlign w:val="center"/>
          </w:tcPr>
          <w:p>
            <w:r/>
            <w:r>
              <w:rPr>
                <w:b w:val="0"/>
                <w:sz w:val="14"/>
              </w:rPr>
              <w:t>R</w:t>
            </w:r>
          </w:p>
        </w:tc>
        <w:tc>
          <w:tcPr>
            <w:tcW w:type="dxa" w:w="2577"/>
            <w:vAlign w:val="center"/>
          </w:tcPr>
          <w:p>
            <w:r/>
            <w:r>
              <w:rPr>
                <w:b w:val="0"/>
                <w:sz w:val="14"/>
              </w:rPr>
              <w:t>A/R coordination</w:t>
            </w:r>
          </w:p>
        </w:tc>
      </w:tr>
      <w:tr>
        <w:tc>
          <w:tcPr>
            <w:tcW w:type="dxa" w:w="2577"/>
            <w:vAlign w:val="center"/>
          </w:tcPr>
          <w:p>
            <w:r/>
            <w:r>
              <w:rPr>
                <w:b w:val="0"/>
                <w:sz w:val="14"/>
              </w:rPr>
              <w:t>Recovery acceptance</w:t>
            </w:r>
          </w:p>
        </w:tc>
        <w:tc>
          <w:tcPr>
            <w:tcW w:type="dxa" w:w="2577"/>
            <w:vAlign w:val="center"/>
          </w:tcPr>
          <w:p>
            <w:r/>
            <w:r>
              <w:rPr>
                <w:b w:val="0"/>
                <w:sz w:val="14"/>
              </w:rPr>
              <w:t>A/R</w:t>
            </w:r>
          </w:p>
        </w:tc>
        <w:tc>
          <w:tcPr>
            <w:tcW w:type="dxa" w:w="2577"/>
            <w:vAlign w:val="center"/>
          </w:tcPr>
          <w:p>
            <w:r/>
            <w:r>
              <w:rPr>
                <w:b w:val="0"/>
                <w:sz w:val="14"/>
              </w:rPr>
              <w:t>R</w:t>
            </w:r>
          </w:p>
        </w:tc>
        <w:tc>
          <w:tcPr>
            <w:tcW w:type="dxa" w:w="2577"/>
            <w:vAlign w:val="center"/>
          </w:tcPr>
          <w:p>
            <w:r/>
            <w:r>
              <w:rPr>
                <w:b w:val="0"/>
                <w:sz w:val="14"/>
              </w:rPr>
              <w:t>C</w:t>
            </w:r>
          </w:p>
        </w:tc>
      </w:tr>
      <w:tr>
        <w:tc>
          <w:tcPr>
            <w:tcW w:type="dxa" w:w="2577"/>
            <w:vAlign w:val="center"/>
          </w:tcPr>
          <w:p>
            <w:r/>
            <w:r>
              <w:rPr>
                <w:b w:val="0"/>
                <w:sz w:val="14"/>
              </w:rPr>
              <w:t>Vendor business need</w:t>
            </w:r>
          </w:p>
        </w:tc>
        <w:tc>
          <w:tcPr>
            <w:tcW w:type="dxa" w:w="2577"/>
            <w:vAlign w:val="center"/>
          </w:tcPr>
          <w:p>
            <w:r/>
            <w:r>
              <w:rPr>
                <w:b w:val="0"/>
                <w:sz w:val="14"/>
              </w:rPr>
              <w:t>A/R</w:t>
            </w:r>
          </w:p>
        </w:tc>
        <w:tc>
          <w:tcPr>
            <w:tcW w:type="dxa" w:w="2577"/>
            <w:vAlign w:val="center"/>
          </w:tcPr>
          <w:p>
            <w:r/>
            <w:r>
              <w:rPr>
                <w:b w:val="0"/>
                <w:sz w:val="14"/>
              </w:rPr>
              <w:t>C</w:t>
            </w:r>
          </w:p>
        </w:tc>
        <w:tc>
          <w:tcPr>
            <w:tcW w:type="dxa" w:w="2577"/>
            <w:vAlign w:val="center"/>
          </w:tcPr>
          <w:p>
            <w:r/>
            <w:r>
              <w:rPr>
                <w:b w:val="0"/>
                <w:sz w:val="14"/>
              </w:rPr>
              <w:t>C</w:t>
            </w:r>
          </w:p>
        </w:tc>
      </w:tr>
      <w:tr>
        <w:tc>
          <w:tcPr>
            <w:tcW w:type="dxa" w:w="2577"/>
            <w:vAlign w:val="center"/>
          </w:tcPr>
          <w:p>
            <w:r/>
            <w:r>
              <w:rPr>
                <w:b w:val="0"/>
                <w:sz w:val="14"/>
              </w:rPr>
              <w:t>Security risk acceptance</w:t>
            </w:r>
          </w:p>
        </w:tc>
        <w:tc>
          <w:tcPr>
            <w:tcW w:type="dxa" w:w="2577"/>
            <w:vAlign w:val="center"/>
          </w:tcPr>
          <w:p>
            <w:r/>
            <w:r>
              <w:rPr>
                <w:b w:val="0"/>
                <w:sz w:val="14"/>
              </w:rPr>
              <w:t>A</w:t>
            </w:r>
          </w:p>
        </w:tc>
        <w:tc>
          <w:tcPr>
            <w:tcW w:type="dxa" w:w="2577"/>
            <w:vAlign w:val="center"/>
          </w:tcPr>
          <w:p>
            <w:r/>
            <w:r>
              <w:rPr>
                <w:b w:val="0"/>
                <w:sz w:val="14"/>
              </w:rPr>
              <w:t>R mitigation</w:t>
            </w:r>
          </w:p>
        </w:tc>
        <w:tc>
          <w:tcPr>
            <w:tcW w:type="dxa" w:w="2577"/>
            <w:vAlign w:val="center"/>
          </w:tcPr>
          <w:p>
            <w:r/>
            <w:r>
              <w:rPr>
                <w:b w:val="0"/>
                <w:sz w:val="14"/>
              </w:rPr>
              <w:t>R recommendation/challenge</w:t>
            </w:r>
          </w:p>
        </w:tc>
      </w:tr>
    </w:tbl>
    <w:p/>
    <w:p>
      <w:r>
        <w:br w:type="page"/>
      </w:r>
    </w:p>
    <w:p>
      <w:pPr>
        <w:pStyle w:val="Heading1"/>
      </w:pPr>
      <w:r>
        <w:t>Appendix R — Internal Security Metrics Dictionary</w:t>
      </w:r>
    </w:p>
    <w:p>
      <w:r>
        <w:t>Metrics require stable definitions so trends remain meaningful.</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7365D"/>
          </w:tcPr>
          <w:p>
            <w:r/>
            <w:r>
              <w:rPr>
                <w:b/>
                <w:color w:val="FFFFFF"/>
                <w:sz w:val="15"/>
              </w:rPr>
              <w:t>Metric</w:t>
            </w:r>
          </w:p>
        </w:tc>
        <w:tc>
          <w:tcPr>
            <w:tcW w:type="dxa" w:w="3437"/>
            <w:vAlign w:val="center"/>
            <w:shd w:fill="17365D"/>
          </w:tcPr>
          <w:p>
            <w:r/>
            <w:r>
              <w:rPr>
                <w:b/>
                <w:color w:val="FFFFFF"/>
                <w:sz w:val="15"/>
              </w:rPr>
              <w:t>Definition</w:t>
            </w:r>
          </w:p>
        </w:tc>
        <w:tc>
          <w:tcPr>
            <w:tcW w:type="dxa" w:w="3437"/>
            <w:vAlign w:val="center"/>
            <w:shd w:fill="17365D"/>
          </w:tcPr>
          <w:p>
            <w:r/>
            <w:r>
              <w:rPr>
                <w:b/>
                <w:color w:val="FFFFFF"/>
                <w:sz w:val="15"/>
              </w:rPr>
              <w:t>Exclusions / Notes</w:t>
            </w:r>
          </w:p>
        </w:tc>
      </w:tr>
      <w:tr>
        <w:tc>
          <w:tcPr>
            <w:tcW w:type="dxa" w:w="3437"/>
            <w:vAlign w:val="center"/>
          </w:tcPr>
          <w:p>
            <w:r/>
            <w:r>
              <w:rPr>
                <w:b w:val="0"/>
                <w:sz w:val="14"/>
              </w:rPr>
              <w:t>Critical vulnerabilities overdue</w:t>
            </w:r>
          </w:p>
        </w:tc>
        <w:tc>
          <w:tcPr>
            <w:tcW w:type="dxa" w:w="3437"/>
            <w:vAlign w:val="center"/>
          </w:tcPr>
          <w:p>
            <w:r/>
            <w:r>
              <w:rPr>
                <w:b w:val="0"/>
                <w:sz w:val="14"/>
              </w:rPr>
              <w:t>Critical findings past approved target without valid exception</w:t>
            </w:r>
          </w:p>
        </w:tc>
        <w:tc>
          <w:tcPr>
            <w:tcW w:type="dxa" w:w="3437"/>
            <w:vAlign w:val="center"/>
          </w:tcPr>
          <w:p>
            <w:r/>
            <w:r>
              <w:rPr>
                <w:b w:val="0"/>
                <w:sz w:val="14"/>
              </w:rPr>
              <w:t>Duplicate scanner records excluded</w:t>
            </w:r>
          </w:p>
        </w:tc>
      </w:tr>
      <w:tr>
        <w:tc>
          <w:tcPr>
            <w:tcW w:type="dxa" w:w="3437"/>
            <w:vAlign w:val="center"/>
          </w:tcPr>
          <w:p>
            <w:r/>
            <w:r>
              <w:rPr>
                <w:b w:val="0"/>
                <w:sz w:val="14"/>
              </w:rPr>
              <w:t>Privileged MFA coverage</w:t>
            </w:r>
          </w:p>
        </w:tc>
        <w:tc>
          <w:tcPr>
            <w:tcW w:type="dxa" w:w="3437"/>
            <w:vAlign w:val="center"/>
          </w:tcPr>
          <w:p>
            <w:r/>
            <w:r>
              <w:rPr>
                <w:b w:val="0"/>
                <w:sz w:val="14"/>
              </w:rPr>
              <w:t>Privileged human accounts protected by MFA / in-scope privileged accounts</w:t>
            </w:r>
          </w:p>
        </w:tc>
        <w:tc>
          <w:tcPr>
            <w:tcW w:type="dxa" w:w="3437"/>
            <w:vAlign w:val="center"/>
          </w:tcPr>
          <w:p>
            <w:r/>
            <w:r>
              <w:rPr>
                <w:b w:val="0"/>
                <w:sz w:val="14"/>
              </w:rPr>
              <w:t>Emergency offline accounts separately reported</w:t>
            </w:r>
          </w:p>
        </w:tc>
      </w:tr>
      <w:tr>
        <w:tc>
          <w:tcPr>
            <w:tcW w:type="dxa" w:w="3437"/>
            <w:vAlign w:val="center"/>
          </w:tcPr>
          <w:p>
            <w:r/>
            <w:r>
              <w:rPr>
                <w:b w:val="0"/>
                <w:sz w:val="14"/>
              </w:rPr>
              <w:t>A4 access review overdue</w:t>
            </w:r>
          </w:p>
        </w:tc>
        <w:tc>
          <w:tcPr>
            <w:tcW w:type="dxa" w:w="3437"/>
            <w:vAlign w:val="center"/>
          </w:tcPr>
          <w:p>
            <w:r/>
            <w:r>
              <w:rPr>
                <w:b w:val="0"/>
                <w:sz w:val="14"/>
              </w:rPr>
              <w:t>Critical-privileged certifications past due date</w:t>
            </w:r>
          </w:p>
        </w:tc>
        <w:tc>
          <w:tcPr>
            <w:tcW w:type="dxa" w:w="3437"/>
            <w:vAlign w:val="center"/>
          </w:tcPr>
          <w:p>
            <w:r/>
            <w:r>
              <w:rPr>
                <w:b w:val="0"/>
                <w:sz w:val="14"/>
              </w:rPr>
              <w:t>Approved review extension separately flagged</w:t>
            </w:r>
          </w:p>
        </w:tc>
      </w:tr>
      <w:tr>
        <w:tc>
          <w:tcPr>
            <w:tcW w:type="dxa" w:w="3437"/>
            <w:vAlign w:val="center"/>
          </w:tcPr>
          <w:p>
            <w:r/>
            <w:r>
              <w:rPr>
                <w:b w:val="0"/>
                <w:sz w:val="14"/>
              </w:rPr>
              <w:t>SEV-1/SEV-2 incidents</w:t>
            </w:r>
          </w:p>
        </w:tc>
        <w:tc>
          <w:tcPr>
            <w:tcW w:type="dxa" w:w="3437"/>
            <w:vAlign w:val="center"/>
          </w:tcPr>
          <w:p>
            <w:r/>
            <w:r>
              <w:rPr>
                <w:b w:val="0"/>
                <w:sz w:val="14"/>
              </w:rPr>
              <w:t>Incidents with final or current severity at reporting cut-off</w:t>
            </w:r>
          </w:p>
        </w:tc>
        <w:tc>
          <w:tcPr>
            <w:tcW w:type="dxa" w:w="3437"/>
            <w:vAlign w:val="center"/>
          </w:tcPr>
          <w:p>
            <w:r/>
            <w:r>
              <w:rPr>
                <w:b w:val="0"/>
                <w:sz w:val="14"/>
              </w:rPr>
              <w:t>Events downgraded before incident confirmation excluded from final count</w:t>
            </w:r>
          </w:p>
        </w:tc>
      </w:tr>
      <w:tr>
        <w:tc>
          <w:tcPr>
            <w:tcW w:type="dxa" w:w="3437"/>
            <w:vAlign w:val="center"/>
          </w:tcPr>
          <w:p>
            <w:r/>
            <w:r>
              <w:rPr>
                <w:b w:val="0"/>
                <w:sz w:val="14"/>
              </w:rPr>
              <w:t>Vendor high findings overdue</w:t>
            </w:r>
          </w:p>
        </w:tc>
        <w:tc>
          <w:tcPr>
            <w:tcW w:type="dxa" w:w="3437"/>
            <w:vAlign w:val="center"/>
          </w:tcPr>
          <w:p>
            <w:r/>
            <w:r>
              <w:rPr>
                <w:b w:val="0"/>
                <w:sz w:val="14"/>
              </w:rPr>
              <w:t>Open High vendor-security findings past target</w:t>
            </w:r>
          </w:p>
        </w:tc>
        <w:tc>
          <w:tcPr>
            <w:tcW w:type="dxa" w:w="3437"/>
            <w:vAlign w:val="center"/>
          </w:tcPr>
          <w:p>
            <w:r/>
            <w:r>
              <w:rPr>
                <w:b w:val="0"/>
                <w:sz w:val="14"/>
              </w:rPr>
              <w:t>Accepted risk shown separately</w:t>
            </w:r>
          </w:p>
        </w:tc>
      </w:tr>
      <w:tr>
        <w:tc>
          <w:tcPr>
            <w:tcW w:type="dxa" w:w="3437"/>
            <w:vAlign w:val="center"/>
          </w:tcPr>
          <w:p>
            <w:r/>
            <w:r>
              <w:rPr>
                <w:b w:val="0"/>
                <w:sz w:val="14"/>
              </w:rPr>
              <w:t>Log coverage</w:t>
            </w:r>
          </w:p>
        </w:tc>
        <w:tc>
          <w:tcPr>
            <w:tcW w:type="dxa" w:w="3437"/>
            <w:vAlign w:val="center"/>
          </w:tcPr>
          <w:p>
            <w:r/>
            <w:r>
              <w:rPr>
                <w:b w:val="0"/>
                <w:sz w:val="14"/>
              </w:rPr>
              <w:t>Critical systems feeding required logs / in-scope critical systems</w:t>
            </w:r>
          </w:p>
        </w:tc>
        <w:tc>
          <w:tcPr>
            <w:tcW w:type="dxa" w:w="3437"/>
            <w:vAlign w:val="center"/>
          </w:tcPr>
          <w:p>
            <w:r/>
            <w:r>
              <w:rPr>
                <w:b w:val="0"/>
                <w:sz w:val="14"/>
              </w:rPr>
              <w:t>Systems under approved migration exception identified</w:t>
            </w:r>
          </w:p>
        </w:tc>
      </w:tr>
    </w:tbl>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