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Internal Regulatory Guidelines</w:t>
      </w:r>
    </w:p>
    <w:p>
      <w:pPr>
        <w:jc w:val="center"/>
      </w:pPr>
      <w:r>
        <w:rPr>
          <w:sz w:val="20"/>
        </w:rPr>
        <w:t>RGG-060  |  Version 1.0  |  Internal — Confidential</w:t>
      </w:r>
    </w:p>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color w:val="17365D"/>
                <w:sz w:val="16"/>
              </w:rPr>
              <w:t>Document ID</w:t>
            </w:r>
          </w:p>
        </w:tc>
        <w:tc>
          <w:tcPr>
            <w:tcW w:type="dxa" w:w="5170"/>
            <w:vAlign w:val="center"/>
          </w:tcPr>
          <w:p>
            <w:r/>
            <w:r>
              <w:rPr>
                <w:b w:val="0"/>
                <w:sz w:val="16"/>
              </w:rPr>
              <w:t>RGG-060</w:t>
            </w:r>
          </w:p>
        </w:tc>
      </w:tr>
      <w:tr>
        <w:tc>
          <w:tcPr>
            <w:tcW w:type="dxa" w:w="5170"/>
            <w:vAlign w:val="center"/>
            <w:shd w:fill="D9EAF7"/>
          </w:tcPr>
          <w:p>
            <w:r/>
            <w:r>
              <w:rPr>
                <w:b/>
                <w:color w:val="17365D"/>
                <w:sz w:val="16"/>
              </w:rPr>
              <w:t>Document Title</w:t>
            </w:r>
          </w:p>
        </w:tc>
        <w:tc>
          <w:tcPr>
            <w:tcW w:type="dxa" w:w="5170"/>
            <w:vAlign w:val="center"/>
          </w:tcPr>
          <w:p>
            <w:r/>
            <w:r>
              <w:rPr>
                <w:b w:val="0"/>
                <w:sz w:val="16"/>
              </w:rPr>
              <w:t>Internal Regulatory Guidelines</w:t>
            </w:r>
          </w:p>
        </w:tc>
      </w:tr>
      <w:tr>
        <w:tc>
          <w:tcPr>
            <w:tcW w:type="dxa" w:w="5170"/>
            <w:vAlign w:val="center"/>
            <w:shd w:fill="D9EAF7"/>
          </w:tcPr>
          <w:p>
            <w:r/>
            <w:r>
              <w:rPr>
                <w:b/>
                <w:color w:val="17365D"/>
                <w:sz w:val="16"/>
              </w:rPr>
              <w:t>Version</w:t>
            </w:r>
          </w:p>
        </w:tc>
        <w:tc>
          <w:tcPr>
            <w:tcW w:type="dxa" w:w="5170"/>
            <w:vAlign w:val="center"/>
          </w:tcPr>
          <w:p>
            <w:r/>
            <w:r>
              <w:rPr>
                <w:b w:val="0"/>
                <w:sz w:val="16"/>
              </w:rPr>
              <w:t>1.0</w:t>
            </w:r>
          </w:p>
        </w:tc>
      </w:tr>
      <w:tr>
        <w:tc>
          <w:tcPr>
            <w:tcW w:type="dxa" w:w="5170"/>
            <w:vAlign w:val="center"/>
            <w:shd w:fill="D9EAF7"/>
          </w:tcPr>
          <w:p>
            <w:r/>
            <w:r>
              <w:rPr>
                <w:b/>
                <w:color w:val="17365D"/>
                <w:sz w:val="16"/>
              </w:rPr>
              <w:t>Policy Owner</w:t>
            </w:r>
          </w:p>
        </w:tc>
        <w:tc>
          <w:tcPr>
            <w:tcW w:type="dxa" w:w="5170"/>
            <w:vAlign w:val="center"/>
          </w:tcPr>
          <w:p>
            <w:r/>
            <w:r>
              <w:rPr>
                <w:b w:val="0"/>
                <w:sz w:val="16"/>
              </w:rPr>
              <w:t>Sanjay Mehta — Chief Compliance Officer</w:t>
            </w:r>
          </w:p>
        </w:tc>
      </w:tr>
      <w:tr>
        <w:tc>
          <w:tcPr>
            <w:tcW w:type="dxa" w:w="5170"/>
            <w:vAlign w:val="center"/>
            <w:shd w:fill="D9EAF7"/>
          </w:tcPr>
          <w:p>
            <w:r/>
            <w:r>
              <w:rPr>
                <w:b/>
                <w:color w:val="17365D"/>
                <w:sz w:val="16"/>
              </w:rPr>
              <w:t>Business Unit</w:t>
            </w:r>
          </w:p>
        </w:tc>
        <w:tc>
          <w:tcPr>
            <w:tcW w:type="dxa" w:w="5170"/>
            <w:vAlign w:val="center"/>
          </w:tcPr>
          <w:p>
            <w:r/>
            <w:r>
              <w:rPr>
                <w:b w:val="0"/>
                <w:sz w:val="16"/>
              </w:rPr>
              <w:t>Compliance / Legal / Enterprise Risk</w:t>
            </w:r>
          </w:p>
        </w:tc>
      </w:tr>
      <w:tr>
        <w:tc>
          <w:tcPr>
            <w:tcW w:type="dxa" w:w="5170"/>
            <w:vAlign w:val="center"/>
            <w:shd w:fill="D9EAF7"/>
          </w:tcPr>
          <w:p>
            <w:r/>
            <w:r>
              <w:rPr>
                <w:b/>
                <w:color w:val="17365D"/>
                <w:sz w:val="16"/>
              </w:rPr>
              <w:t>Approving Authority</w:t>
            </w:r>
          </w:p>
        </w:tc>
        <w:tc>
          <w:tcPr>
            <w:tcW w:type="dxa" w:w="5170"/>
            <w:vAlign w:val="center"/>
          </w:tcPr>
          <w:p>
            <w:r/>
            <w:r>
              <w:rPr>
                <w:b w:val="0"/>
                <w:sz w:val="16"/>
              </w:rPr>
              <w:t>Compliance &amp; Conduct Committee</w:t>
            </w:r>
          </w:p>
        </w:tc>
      </w:tr>
      <w:tr>
        <w:tc>
          <w:tcPr>
            <w:tcW w:type="dxa" w:w="5170"/>
            <w:vAlign w:val="center"/>
            <w:shd w:fill="D9EAF7"/>
          </w:tcPr>
          <w:p>
            <w:r/>
            <w:r>
              <w:rPr>
                <w:b/>
                <w:color w:val="17365D"/>
                <w:sz w:val="16"/>
              </w:rPr>
              <w:t>Effective Date</w:t>
            </w:r>
          </w:p>
        </w:tc>
        <w:tc>
          <w:tcPr>
            <w:tcW w:type="dxa" w:w="5170"/>
            <w:vAlign w:val="center"/>
          </w:tcPr>
          <w:p>
            <w:r/>
            <w:r>
              <w:rPr>
                <w:b w:val="0"/>
                <w:sz w:val="16"/>
              </w:rPr>
              <w:t>1 September 2026</w:t>
            </w:r>
          </w:p>
        </w:tc>
      </w:tr>
      <w:tr>
        <w:tc>
          <w:tcPr>
            <w:tcW w:type="dxa" w:w="5170"/>
            <w:vAlign w:val="center"/>
            <w:shd w:fill="D9EAF7"/>
          </w:tcPr>
          <w:p>
            <w:r/>
            <w:r>
              <w:rPr>
                <w:b/>
                <w:color w:val="17365D"/>
                <w:sz w:val="16"/>
              </w:rPr>
              <w:t>Previous Version</w:t>
            </w:r>
          </w:p>
        </w:tc>
        <w:tc>
          <w:tcPr>
            <w:tcW w:type="dxa" w:w="5170"/>
            <w:vAlign w:val="center"/>
          </w:tcPr>
          <w:p>
            <w:r/>
            <w:r>
              <w:rPr>
                <w:b w:val="0"/>
                <w:sz w:val="16"/>
              </w:rPr>
              <w:t>N/A</w:t>
            </w:r>
          </w:p>
        </w:tc>
      </w:tr>
      <w:tr>
        <w:tc>
          <w:tcPr>
            <w:tcW w:type="dxa" w:w="5170"/>
            <w:vAlign w:val="center"/>
            <w:shd w:fill="D9EAF7"/>
          </w:tcPr>
          <w:p>
            <w:r/>
            <w:r>
              <w:rPr>
                <w:b/>
                <w:color w:val="17365D"/>
                <w:sz w:val="16"/>
              </w:rPr>
              <w:t>Review Frequency</w:t>
            </w:r>
          </w:p>
        </w:tc>
        <w:tc>
          <w:tcPr>
            <w:tcW w:type="dxa" w:w="5170"/>
            <w:vAlign w:val="center"/>
          </w:tcPr>
          <w:p>
            <w:r/>
            <w:r>
              <w:rPr>
                <w:b w:val="0"/>
                <w:sz w:val="16"/>
              </w:rPr>
              <w:t>Annual / material regulatory change</w:t>
            </w:r>
          </w:p>
        </w:tc>
      </w:tr>
      <w:tr>
        <w:tc>
          <w:tcPr>
            <w:tcW w:type="dxa" w:w="5170"/>
            <w:vAlign w:val="center"/>
            <w:shd w:fill="D9EAF7"/>
          </w:tcPr>
          <w:p>
            <w:r/>
            <w:r>
              <w:rPr>
                <w:b/>
                <w:color w:val="17365D"/>
                <w:sz w:val="16"/>
              </w:rPr>
              <w:t>Classification</w:t>
            </w:r>
          </w:p>
        </w:tc>
        <w:tc>
          <w:tcPr>
            <w:tcW w:type="dxa" w:w="5170"/>
            <w:vAlign w:val="center"/>
          </w:tcPr>
          <w:p>
            <w:r/>
            <w:r>
              <w:rPr>
                <w:b w:val="0"/>
                <w:sz w:val="16"/>
              </w:rPr>
              <w:t>Internal — Confidential</w:t>
            </w:r>
          </w:p>
        </w:tc>
      </w:tr>
      <w:tr>
        <w:tc>
          <w:tcPr>
            <w:tcW w:type="dxa" w:w="5170"/>
            <w:vAlign w:val="center"/>
            <w:shd w:fill="D9EAF7"/>
          </w:tcPr>
          <w:p>
            <w:r/>
            <w:r>
              <w:rPr>
                <w:b/>
                <w:color w:val="17365D"/>
                <w:sz w:val="16"/>
              </w:rPr>
              <w:t>Status</w:t>
            </w:r>
          </w:p>
        </w:tc>
        <w:tc>
          <w:tcPr>
            <w:tcW w:type="dxa" w:w="5170"/>
            <w:vAlign w:val="center"/>
          </w:tcPr>
          <w:p>
            <w:r/>
            <w:r>
              <w:rPr>
                <w:b w:val="0"/>
                <w:sz w:val="16"/>
              </w:rPr>
              <w:t>Approved</w:t>
            </w:r>
          </w:p>
        </w:tc>
      </w:tr>
      <w:tr>
        <w:tc>
          <w:tcPr>
            <w:tcW w:type="dxa" w:w="5170"/>
            <w:vAlign w:val="center"/>
            <w:shd w:fill="D9EAF7"/>
          </w:tcPr>
          <w:p>
            <w:r/>
            <w:r>
              <w:rPr>
                <w:b/>
                <w:color w:val="17365D"/>
                <w:sz w:val="16"/>
              </w:rPr>
              <w:t>Supersedes</w:t>
            </w:r>
          </w:p>
        </w:tc>
        <w:tc>
          <w:tcPr>
            <w:tcW w:type="dxa" w:w="5170"/>
            <w:vAlign w:val="center"/>
          </w:tcPr>
          <w:p>
            <w:r/>
            <w:r>
              <w:rPr>
                <w:b w:val="0"/>
                <w:sz w:val="16"/>
              </w:rPr>
              <w:t>Departmental regulatory mapping notes and examination-readiness checklists</w:t>
            </w:r>
          </w:p>
        </w:tc>
      </w:tr>
      <w:tr>
        <w:tc>
          <w:tcPr>
            <w:tcW w:type="dxa" w:w="5170"/>
            <w:vAlign w:val="center"/>
            <w:shd w:fill="D9EAF7"/>
          </w:tcPr>
          <w:p>
            <w:r/>
            <w:r>
              <w:rPr>
                <w:b/>
                <w:color w:val="17365D"/>
                <w:sz w:val="16"/>
              </w:rPr>
              <w:t>Related Documents</w:t>
            </w:r>
          </w:p>
        </w:tc>
        <w:tc>
          <w:tcPr>
            <w:tcW w:type="dxa" w:w="5170"/>
            <w:vAlign w:val="center"/>
          </w:tcPr>
          <w:p>
            <w:r/>
            <w:r>
              <w:rPr>
                <w:b w:val="0"/>
                <w:sz w:val="16"/>
              </w:rPr>
              <w:t>CMP-012; CBP-043; RMF-008; RAS-009; CRP-001; KYC-004; AML-003; ISP-014; EOM-020; ORI-064</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vAlign w:val="center"/>
            <w:shd w:fill="17365D"/>
          </w:tcPr>
          <w:p>
            <w:r/>
            <w:r>
              <w:rPr>
                <w:b/>
                <w:color w:val="FFFFFF"/>
                <w:sz w:val="15"/>
              </w:rPr>
              <w:t>Version</w:t>
            </w:r>
          </w:p>
        </w:tc>
        <w:tc>
          <w:tcPr>
            <w:tcW w:type="dxa" w:w="2585"/>
            <w:vAlign w:val="center"/>
            <w:shd w:fill="17365D"/>
          </w:tcPr>
          <w:p>
            <w:r/>
            <w:r>
              <w:rPr>
                <w:b/>
                <w:color w:val="FFFFFF"/>
                <w:sz w:val="15"/>
              </w:rPr>
              <w:t>Effective Date</w:t>
            </w:r>
          </w:p>
        </w:tc>
        <w:tc>
          <w:tcPr>
            <w:tcW w:type="dxa" w:w="2585"/>
            <w:vAlign w:val="center"/>
            <w:shd w:fill="17365D"/>
          </w:tcPr>
          <w:p>
            <w:r/>
            <w:r>
              <w:rPr>
                <w:b/>
                <w:color w:val="FFFFFF"/>
                <w:sz w:val="15"/>
              </w:rPr>
              <w:t>Change Summary</w:t>
            </w:r>
          </w:p>
        </w:tc>
        <w:tc>
          <w:tcPr>
            <w:tcW w:type="dxa" w:w="2585"/>
            <w:vAlign w:val="center"/>
            <w:shd w:fill="17365D"/>
          </w:tcPr>
          <w:p>
            <w:r/>
            <w:r>
              <w:rPr>
                <w:b/>
                <w:color w:val="FFFFFF"/>
                <w:sz w:val="15"/>
              </w:rPr>
              <w:t>Approving Authority</w:t>
            </w:r>
          </w:p>
        </w:tc>
      </w:tr>
      <w:tr>
        <w:tc>
          <w:tcPr>
            <w:tcW w:type="dxa" w:w="2585"/>
            <w:vAlign w:val="center"/>
          </w:tcPr>
          <w:p>
            <w:r/>
            <w:r>
              <w:rPr>
                <w:b w:val="0"/>
                <w:sz w:val="14"/>
              </w:rPr>
              <w:t>0.8</w:t>
            </w:r>
          </w:p>
        </w:tc>
        <w:tc>
          <w:tcPr>
            <w:tcW w:type="dxa" w:w="2585"/>
            <w:vAlign w:val="center"/>
          </w:tcPr>
          <w:p>
            <w:r/>
            <w:r>
              <w:rPr>
                <w:b w:val="0"/>
                <w:sz w:val="14"/>
              </w:rPr>
              <w:t>10 Jun 2026</w:t>
            </w:r>
          </w:p>
        </w:tc>
        <w:tc>
          <w:tcPr>
            <w:tcW w:type="dxa" w:w="2585"/>
            <w:vAlign w:val="center"/>
          </w:tcPr>
          <w:p>
            <w:r/>
            <w:r>
              <w:rPr>
                <w:b w:val="0"/>
                <w:sz w:val="14"/>
              </w:rPr>
              <w:t>Working draft consolidating departmental obligation maps.</w:t>
            </w:r>
          </w:p>
        </w:tc>
        <w:tc>
          <w:tcPr>
            <w:tcW w:type="dxa" w:w="2585"/>
            <w:vAlign w:val="center"/>
          </w:tcPr>
          <w:p>
            <w:r/>
            <w:r>
              <w:rPr>
                <w:b w:val="0"/>
                <w:sz w:val="14"/>
              </w:rPr>
              <w:t>Chief Compliance Officer</w:t>
            </w:r>
          </w:p>
        </w:tc>
      </w:tr>
      <w:tr>
        <w:tc>
          <w:tcPr>
            <w:tcW w:type="dxa" w:w="2585"/>
            <w:vAlign w:val="center"/>
          </w:tcPr>
          <w:p>
            <w:r/>
            <w:r>
              <w:rPr>
                <w:b w:val="0"/>
                <w:sz w:val="14"/>
              </w:rPr>
              <w:t>0.9</w:t>
            </w:r>
          </w:p>
        </w:tc>
        <w:tc>
          <w:tcPr>
            <w:tcW w:type="dxa" w:w="2585"/>
            <w:vAlign w:val="center"/>
          </w:tcPr>
          <w:p>
            <w:r/>
            <w:r>
              <w:rPr>
                <w:b w:val="0"/>
                <w:sz w:val="14"/>
              </w:rPr>
              <w:t>5 Aug 2026</w:t>
            </w:r>
          </w:p>
        </w:tc>
        <w:tc>
          <w:tcPr>
            <w:tcW w:type="dxa" w:w="2585"/>
            <w:vAlign w:val="center"/>
          </w:tcPr>
          <w:p>
            <w:r/>
            <w:r>
              <w:rPr>
                <w:b w:val="0"/>
                <w:sz w:val="14"/>
              </w:rPr>
              <w:t>Added change-management, examination-readiness and breach-routing controls.</w:t>
            </w:r>
          </w:p>
        </w:tc>
        <w:tc>
          <w:tcPr>
            <w:tcW w:type="dxa" w:w="2585"/>
            <w:vAlign w:val="center"/>
          </w:tcPr>
          <w:p>
            <w:r/>
            <w:r>
              <w:rPr>
                <w:b w:val="0"/>
                <w:sz w:val="14"/>
              </w:rPr>
              <w:t>Compliance &amp; Conduct Committee</w:t>
            </w:r>
          </w:p>
        </w:tc>
      </w:tr>
      <w:tr>
        <w:tc>
          <w:tcPr>
            <w:tcW w:type="dxa" w:w="2585"/>
            <w:vAlign w:val="center"/>
          </w:tcPr>
          <w:p>
            <w:r/>
            <w:r>
              <w:rPr>
                <w:b w:val="0"/>
                <w:sz w:val="14"/>
              </w:rPr>
              <w:t>1.0</w:t>
            </w:r>
          </w:p>
        </w:tc>
        <w:tc>
          <w:tcPr>
            <w:tcW w:type="dxa" w:w="2585"/>
            <w:vAlign w:val="center"/>
          </w:tcPr>
          <w:p>
            <w:r/>
            <w:r>
              <w:rPr>
                <w:b w:val="0"/>
                <w:sz w:val="14"/>
              </w:rPr>
              <w:t>1 Sep 2026</w:t>
            </w:r>
          </w:p>
        </w:tc>
        <w:tc>
          <w:tcPr>
            <w:tcW w:type="dxa" w:w="2585"/>
            <w:vAlign w:val="center"/>
          </w:tcPr>
          <w:p>
            <w:r/>
            <w:r>
              <w:rPr>
                <w:b w:val="0"/>
                <w:sz w:val="14"/>
              </w:rPr>
              <w:t>First controlled enterprise internal regulatory guideline.</w:t>
            </w:r>
          </w:p>
        </w:tc>
        <w:tc>
          <w:tcPr>
            <w:tcW w:type="dxa" w:w="2585"/>
            <w:vAlign w:val="center"/>
          </w:tcPr>
          <w:p>
            <w:r/>
            <w:r>
              <w:rPr>
                <w:b w:val="0"/>
                <w:sz w:val="14"/>
              </w:rPr>
              <w:t>Compliance &amp; Conduct Committee</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These Guidelines establish Northstar Financial’s internal process for identifying, interpreting, mapping, implementing, evidencing and monitoring external regulatory or supervisory expectations that Compliance determines are applicable to Northstar.</w:t>
      </w:r>
    </w:p>
    <w:p>
      <w:r>
        <w:t>The Guidelines do not state that any fictional Northstar threshold is an actual legal or regulatory requirement. Business units shall not represent Northstar internal limits, procedures or service targets as mandatory external law unless Compliance has separately documented that conclusion.</w:t>
      </w:r>
    </w:p>
    <w:p>
      <w:pPr>
        <w:pStyle w:val="Heading1"/>
      </w:pPr>
      <w:r>
        <w:t>2. Scope</w:t>
      </w:r>
    </w:p>
    <w:p>
      <w:r>
        <w:t>The Guidelines apply across lending, deposits, investments, customer onboarding, KYC, AML, compliance, information security, operations, human resources, technology and third-party arrangements.</w:t>
      </w:r>
    </w:p>
    <w:p>
      <w:pPr>
        <w:pStyle w:val="ListBullet"/>
      </w:pPr>
      <w:r>
        <w:t>New and changed obligations identified by Compliance or Legal.</w:t>
      </w:r>
    </w:p>
    <w:p>
      <w:pPr>
        <w:pStyle w:val="ListBullet"/>
      </w:pPr>
      <w:r>
        <w:t>Internal regulatory mappings used by control owners.</w:t>
      </w:r>
    </w:p>
    <w:p>
      <w:pPr>
        <w:pStyle w:val="ListBullet"/>
      </w:pPr>
      <w:r>
        <w:t>Periodic regulatory attestations and management certifications.</w:t>
      </w:r>
    </w:p>
    <w:p>
      <w:pPr>
        <w:pStyle w:val="ListBullet"/>
      </w:pPr>
      <w:r>
        <w:t>Examination, audit or supervisory information requests.</w:t>
      </w:r>
    </w:p>
    <w:p>
      <w:pPr>
        <w:pStyle w:val="ListBullet"/>
      </w:pPr>
      <w:r>
        <w:t>Breaches or late implementation of mapped obligations.</w:t>
      </w:r>
    </w:p>
    <w:p>
      <w:pPr>
        <w:pStyle w:val="ListBullet"/>
      </w:pPr>
      <w:r>
        <w:t>Records used to evidence implementation and operating effectiveness.</w:t>
      </w:r>
    </w:p>
    <w:p>
      <w:pPr>
        <w:pStyle w:val="Heading1"/>
      </w:pPr>
      <w:r>
        <w:t>3. Guiding Principles</w:t>
      </w:r>
    </w:p>
    <w:p>
      <w:r>
        <w:t>Regulatory management shall be controlled, evidence-based and version-aware.</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Principle</w:t>
            </w:r>
          </w:p>
        </w:tc>
        <w:tc>
          <w:tcPr>
            <w:tcW w:type="dxa" w:w="5170"/>
            <w:vAlign w:val="center"/>
            <w:shd w:fill="17365D"/>
          </w:tcPr>
          <w:p>
            <w:r/>
            <w:r>
              <w:rPr>
                <w:b/>
                <w:color w:val="FFFFFF"/>
                <w:sz w:val="15"/>
              </w:rPr>
              <w:t>Northstar Treatment</w:t>
            </w:r>
          </w:p>
        </w:tc>
      </w:tr>
      <w:tr>
        <w:tc>
          <w:tcPr>
            <w:tcW w:type="dxa" w:w="5170"/>
            <w:vAlign w:val="center"/>
          </w:tcPr>
          <w:p>
            <w:r/>
            <w:r>
              <w:rPr>
                <w:b w:val="0"/>
                <w:sz w:val="14"/>
              </w:rPr>
              <w:t>Applicability before action</w:t>
            </w:r>
          </w:p>
        </w:tc>
        <w:tc>
          <w:tcPr>
            <w:tcW w:type="dxa" w:w="5170"/>
            <w:vAlign w:val="center"/>
          </w:tcPr>
          <w:p>
            <w:r/>
            <w:r>
              <w:rPr>
                <w:b w:val="0"/>
                <w:sz w:val="14"/>
              </w:rPr>
              <w:t>Compliance/Legal confirms whether an external requirement applies to Northstar or a specific business/activity.</w:t>
            </w:r>
          </w:p>
        </w:tc>
      </w:tr>
      <w:tr>
        <w:tc>
          <w:tcPr>
            <w:tcW w:type="dxa" w:w="5170"/>
            <w:vAlign w:val="center"/>
          </w:tcPr>
          <w:p>
            <w:r/>
            <w:r>
              <w:rPr>
                <w:b w:val="0"/>
                <w:sz w:val="14"/>
              </w:rPr>
              <w:t>No fictional substitution</w:t>
            </w:r>
          </w:p>
        </w:tc>
        <w:tc>
          <w:tcPr>
            <w:tcW w:type="dxa" w:w="5170"/>
            <w:vAlign w:val="center"/>
          </w:tcPr>
          <w:p>
            <w:r/>
            <w:r>
              <w:rPr>
                <w:b w:val="0"/>
                <w:sz w:val="14"/>
              </w:rPr>
              <w:t>Internal Northstar rules are not described as external law merely because they are conservative.</w:t>
            </w:r>
          </w:p>
        </w:tc>
      </w:tr>
      <w:tr>
        <w:tc>
          <w:tcPr>
            <w:tcW w:type="dxa" w:w="5170"/>
            <w:vAlign w:val="center"/>
          </w:tcPr>
          <w:p>
            <w:r/>
            <w:r>
              <w:rPr>
                <w:b w:val="0"/>
                <w:sz w:val="14"/>
              </w:rPr>
              <w:t>Traceability</w:t>
            </w:r>
          </w:p>
        </w:tc>
        <w:tc>
          <w:tcPr>
            <w:tcW w:type="dxa" w:w="5170"/>
            <w:vAlign w:val="center"/>
          </w:tcPr>
          <w:p>
            <w:r/>
            <w:r>
              <w:rPr>
                <w:b w:val="0"/>
                <w:sz w:val="14"/>
              </w:rPr>
              <w:t>Each material obligation maps to an owner, policy/control, evidence source and review cycle.</w:t>
            </w:r>
          </w:p>
        </w:tc>
      </w:tr>
      <w:tr>
        <w:tc>
          <w:tcPr>
            <w:tcW w:type="dxa" w:w="5170"/>
            <w:vAlign w:val="center"/>
          </w:tcPr>
          <w:p>
            <w:r/>
            <w:r>
              <w:rPr>
                <w:b w:val="0"/>
                <w:sz w:val="14"/>
              </w:rPr>
              <w:t>Effective-date discipline</w:t>
            </w:r>
          </w:p>
        </w:tc>
        <w:tc>
          <w:tcPr>
            <w:tcW w:type="dxa" w:w="5170"/>
            <w:vAlign w:val="center"/>
          </w:tcPr>
          <w:p>
            <w:r/>
            <w:r>
              <w:rPr>
                <w:b w:val="0"/>
                <w:sz w:val="14"/>
              </w:rPr>
              <w:t>Implementation date and transition arrangements are recorded.</w:t>
            </w:r>
          </w:p>
        </w:tc>
      </w:tr>
      <w:tr>
        <w:tc>
          <w:tcPr>
            <w:tcW w:type="dxa" w:w="5170"/>
            <w:vAlign w:val="center"/>
          </w:tcPr>
          <w:p>
            <w:r/>
            <w:r>
              <w:rPr>
                <w:b w:val="0"/>
                <w:sz w:val="14"/>
              </w:rPr>
              <w:t>Document hierarchy</w:t>
            </w:r>
          </w:p>
        </w:tc>
        <w:tc>
          <w:tcPr>
            <w:tcW w:type="dxa" w:w="5170"/>
            <w:vAlign w:val="center"/>
          </w:tcPr>
          <w:p>
            <w:r/>
            <w:r>
              <w:rPr>
                <w:b w:val="0"/>
                <w:sz w:val="14"/>
              </w:rPr>
              <w:t>Regulatory mapping does not silently rewrite Board-approved policy; required changes follow governance.</w:t>
            </w:r>
          </w:p>
        </w:tc>
      </w:tr>
      <w:tr>
        <w:tc>
          <w:tcPr>
            <w:tcW w:type="dxa" w:w="5170"/>
            <w:vAlign w:val="center"/>
          </w:tcPr>
          <w:p>
            <w:r/>
            <w:r>
              <w:rPr>
                <w:b w:val="0"/>
                <w:sz w:val="14"/>
              </w:rPr>
              <w:t>Evidence preservation</w:t>
            </w:r>
          </w:p>
        </w:tc>
        <w:tc>
          <w:tcPr>
            <w:tcW w:type="dxa" w:w="5170"/>
            <w:vAlign w:val="center"/>
          </w:tcPr>
          <w:p>
            <w:r/>
            <w:r>
              <w:rPr>
                <w:b w:val="0"/>
                <w:sz w:val="14"/>
              </w:rPr>
              <w:t>Historical evidence and contemporaneous interpretations are retained.</w:t>
            </w:r>
          </w:p>
        </w:tc>
      </w:tr>
    </w:tbl>
    <w:p/>
    <w:p>
      <w:pPr>
        <w:pStyle w:val="Heading1"/>
      </w:pPr>
      <w:r>
        <w:t>4. Governance</w:t>
      </w:r>
    </w:p>
    <w:p>
      <w:r>
        <w:t>The Compliance &amp; Conduct Committee oversees material regulatory-change implementation and significant control gaps. The Chief Compliance Officer owns the regulatory obligation inventory and may designate business compliance officers as coordinators.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Role</w:t>
            </w:r>
          </w:p>
        </w:tc>
        <w:tc>
          <w:tcPr>
            <w:tcW w:type="dxa" w:w="5170"/>
            <w:vAlign w:val="center"/>
            <w:shd w:fill="17365D"/>
          </w:tcPr>
          <w:p>
            <w:r/>
            <w:r>
              <w:rPr>
                <w:b/>
                <w:color w:val="FFFFFF"/>
                <w:sz w:val="15"/>
              </w:rPr>
              <w:t>Responsibility</w:t>
            </w:r>
          </w:p>
        </w:tc>
      </w:tr>
      <w:tr>
        <w:tc>
          <w:tcPr>
            <w:tcW w:type="dxa" w:w="5170"/>
            <w:vAlign w:val="center"/>
          </w:tcPr>
          <w:p>
            <w:r/>
            <w:r>
              <w:rPr>
                <w:b w:val="0"/>
                <w:sz w:val="14"/>
              </w:rPr>
              <w:t>Board / Board Risk Committee</w:t>
            </w:r>
          </w:p>
        </w:tc>
        <w:tc>
          <w:tcPr>
            <w:tcW w:type="dxa" w:w="5170"/>
            <w:vAlign w:val="center"/>
          </w:tcPr>
          <w:p>
            <w:r/>
            <w:r>
              <w:rPr>
                <w:b w:val="0"/>
                <w:sz w:val="14"/>
              </w:rPr>
              <w:t>Approve matters reserved under policy, risk appetite or governance charter.</w:t>
            </w:r>
          </w:p>
        </w:tc>
      </w:tr>
      <w:tr>
        <w:tc>
          <w:tcPr>
            <w:tcW w:type="dxa" w:w="5170"/>
            <w:vAlign w:val="center"/>
          </w:tcPr>
          <w:p>
            <w:r/>
            <w:r>
              <w:rPr>
                <w:b w:val="0"/>
                <w:sz w:val="14"/>
              </w:rPr>
              <w:t>Compliance &amp; Conduct Committee</w:t>
            </w:r>
          </w:p>
        </w:tc>
        <w:tc>
          <w:tcPr>
            <w:tcW w:type="dxa" w:w="5170"/>
            <w:vAlign w:val="center"/>
          </w:tcPr>
          <w:p>
            <w:r/>
            <w:r>
              <w:rPr>
                <w:b w:val="0"/>
                <w:sz w:val="14"/>
              </w:rPr>
              <w:t>Review material changes, overdue implementation and significant breaches.</w:t>
            </w:r>
          </w:p>
        </w:tc>
      </w:tr>
      <w:tr>
        <w:tc>
          <w:tcPr>
            <w:tcW w:type="dxa" w:w="5170"/>
            <w:vAlign w:val="center"/>
          </w:tcPr>
          <w:p>
            <w:r/>
            <w:r>
              <w:rPr>
                <w:b w:val="0"/>
                <w:sz w:val="14"/>
              </w:rPr>
              <w:t>Chief Compliance Officer</w:t>
            </w:r>
          </w:p>
        </w:tc>
        <w:tc>
          <w:tcPr>
            <w:tcW w:type="dxa" w:w="5170"/>
            <w:vAlign w:val="center"/>
          </w:tcPr>
          <w:p>
            <w:r/>
            <w:r>
              <w:rPr>
                <w:b w:val="0"/>
                <w:sz w:val="14"/>
              </w:rPr>
              <w:t>Own framework, interpretation governance and escalation.</w:t>
            </w:r>
          </w:p>
        </w:tc>
      </w:tr>
      <w:tr>
        <w:tc>
          <w:tcPr>
            <w:tcW w:type="dxa" w:w="5170"/>
            <w:vAlign w:val="center"/>
          </w:tcPr>
          <w:p>
            <w:r/>
            <w:r>
              <w:rPr>
                <w:b w:val="0"/>
                <w:sz w:val="14"/>
              </w:rPr>
              <w:t>Legal</w:t>
            </w:r>
          </w:p>
        </w:tc>
        <w:tc>
          <w:tcPr>
            <w:tcW w:type="dxa" w:w="5170"/>
            <w:vAlign w:val="center"/>
          </w:tcPr>
          <w:p>
            <w:r/>
            <w:r>
              <w:rPr>
                <w:b w:val="0"/>
                <w:sz w:val="14"/>
              </w:rPr>
              <w:t>Provide legal interpretation where requested; identify litigation/contract interaction.</w:t>
            </w:r>
          </w:p>
        </w:tc>
      </w:tr>
      <w:tr>
        <w:tc>
          <w:tcPr>
            <w:tcW w:type="dxa" w:w="5170"/>
            <w:vAlign w:val="center"/>
          </w:tcPr>
          <w:p>
            <w:r/>
            <w:r>
              <w:rPr>
                <w:b w:val="0"/>
                <w:sz w:val="14"/>
              </w:rPr>
              <w:t>Business Owner</w:t>
            </w:r>
          </w:p>
        </w:tc>
        <w:tc>
          <w:tcPr>
            <w:tcW w:type="dxa" w:w="5170"/>
            <w:vAlign w:val="center"/>
          </w:tcPr>
          <w:p>
            <w:r/>
            <w:r>
              <w:rPr>
                <w:b w:val="0"/>
                <w:sz w:val="14"/>
              </w:rPr>
              <w:t>Implement requirements in process, systems, products and training.</w:t>
            </w:r>
          </w:p>
        </w:tc>
      </w:tr>
      <w:tr>
        <w:tc>
          <w:tcPr>
            <w:tcW w:type="dxa" w:w="5170"/>
            <w:vAlign w:val="center"/>
          </w:tcPr>
          <w:p>
            <w:r/>
            <w:r>
              <w:rPr>
                <w:b w:val="0"/>
                <w:sz w:val="14"/>
              </w:rPr>
              <w:t>Enterprise Risk</w:t>
            </w:r>
          </w:p>
        </w:tc>
        <w:tc>
          <w:tcPr>
            <w:tcW w:type="dxa" w:w="5170"/>
            <w:vAlign w:val="center"/>
          </w:tcPr>
          <w:p>
            <w:r/>
            <w:r>
              <w:rPr>
                <w:b w:val="0"/>
                <w:sz w:val="14"/>
              </w:rPr>
              <w:t>Assess risk implications and appetite impact where material.</w:t>
            </w:r>
          </w:p>
        </w:tc>
      </w:tr>
      <w:tr>
        <w:tc>
          <w:tcPr>
            <w:tcW w:type="dxa" w:w="5170"/>
            <w:vAlign w:val="center"/>
          </w:tcPr>
          <w:p>
            <w:r/>
            <w:r>
              <w:rPr>
                <w:b w:val="0"/>
                <w:sz w:val="14"/>
              </w:rPr>
              <w:t>Internal Audit</w:t>
            </w:r>
          </w:p>
        </w:tc>
        <w:tc>
          <w:tcPr>
            <w:tcW w:type="dxa" w:w="5170"/>
            <w:vAlign w:val="center"/>
          </w:tcPr>
          <w:p>
            <w:r/>
            <w:r>
              <w:rPr>
                <w:b w:val="0"/>
                <w:sz w:val="14"/>
              </w:rPr>
              <w:t>Independent assurance; not implementation owner.</w:t>
            </w:r>
          </w:p>
        </w:tc>
      </w:tr>
    </w:tbl>
    <w:p/>
    <w:p>
      <w:pPr>
        <w:pStyle w:val="Heading1"/>
      </w:pPr>
      <w:r>
        <w:t>5. Regulatory Source Intake</w:t>
      </w:r>
    </w:p>
    <w:p>
      <w:r>
        <w:t>Compliance shall maintain a controlled intake process for external publications, correspondence, examination findings or other sources considered relevant.</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Intake Field</w:t>
            </w:r>
          </w:p>
        </w:tc>
        <w:tc>
          <w:tcPr>
            <w:tcW w:type="dxa" w:w="5170"/>
            <w:vAlign w:val="center"/>
            <w:shd w:fill="17365D"/>
          </w:tcPr>
          <w:p>
            <w:r/>
            <w:r>
              <w:rPr>
                <w:b/>
                <w:color w:val="FFFFFF"/>
                <w:sz w:val="15"/>
              </w:rPr>
              <w:t>Minimum Record</w:t>
            </w:r>
          </w:p>
        </w:tc>
      </w:tr>
      <w:tr>
        <w:tc>
          <w:tcPr>
            <w:tcW w:type="dxa" w:w="5170"/>
            <w:vAlign w:val="center"/>
          </w:tcPr>
          <w:p>
            <w:r/>
            <w:r>
              <w:rPr>
                <w:b w:val="0"/>
                <w:sz w:val="14"/>
              </w:rPr>
              <w:t>Source reference</w:t>
            </w:r>
          </w:p>
        </w:tc>
        <w:tc>
          <w:tcPr>
            <w:tcW w:type="dxa" w:w="5170"/>
            <w:vAlign w:val="center"/>
          </w:tcPr>
          <w:p>
            <w:r/>
            <w:r>
              <w:rPr>
                <w:b w:val="0"/>
                <w:sz w:val="14"/>
              </w:rPr>
              <w:t>External source title/reference and date.</w:t>
            </w:r>
          </w:p>
        </w:tc>
      </w:tr>
      <w:tr>
        <w:tc>
          <w:tcPr>
            <w:tcW w:type="dxa" w:w="5170"/>
            <w:vAlign w:val="center"/>
          </w:tcPr>
          <w:p>
            <w:r/>
            <w:r>
              <w:rPr>
                <w:b w:val="0"/>
                <w:sz w:val="14"/>
              </w:rPr>
              <w:t>Received/identified</w:t>
            </w:r>
          </w:p>
        </w:tc>
        <w:tc>
          <w:tcPr>
            <w:tcW w:type="dxa" w:w="5170"/>
            <w:vAlign w:val="center"/>
          </w:tcPr>
          <w:p>
            <w:r/>
            <w:r>
              <w:rPr>
                <w:b w:val="0"/>
                <w:sz w:val="14"/>
              </w:rPr>
              <w:t>Date Northstar became reasonably aware.</w:t>
            </w:r>
          </w:p>
        </w:tc>
      </w:tr>
      <w:tr>
        <w:tc>
          <w:tcPr>
            <w:tcW w:type="dxa" w:w="5170"/>
            <w:vAlign w:val="center"/>
          </w:tcPr>
          <w:p>
            <w:r/>
            <w:r>
              <w:rPr>
                <w:b w:val="0"/>
                <w:sz w:val="14"/>
              </w:rPr>
              <w:t>Initial owner</w:t>
            </w:r>
          </w:p>
        </w:tc>
        <w:tc>
          <w:tcPr>
            <w:tcW w:type="dxa" w:w="5170"/>
            <w:vAlign w:val="center"/>
          </w:tcPr>
          <w:p>
            <w:r/>
            <w:r>
              <w:rPr>
                <w:b w:val="0"/>
                <w:sz w:val="14"/>
              </w:rPr>
              <w:t>Compliance coordinator.</w:t>
            </w:r>
          </w:p>
        </w:tc>
      </w:tr>
      <w:tr>
        <w:tc>
          <w:tcPr>
            <w:tcW w:type="dxa" w:w="5170"/>
            <w:vAlign w:val="center"/>
          </w:tcPr>
          <w:p>
            <w:r/>
            <w:r>
              <w:rPr>
                <w:b w:val="0"/>
                <w:sz w:val="14"/>
              </w:rPr>
              <w:t>Potentially affected areas</w:t>
            </w:r>
          </w:p>
        </w:tc>
        <w:tc>
          <w:tcPr>
            <w:tcW w:type="dxa" w:w="5170"/>
            <w:vAlign w:val="center"/>
          </w:tcPr>
          <w:p>
            <w:r/>
            <w:r>
              <w:rPr>
                <w:b w:val="0"/>
                <w:sz w:val="14"/>
              </w:rPr>
              <w:t>Products, legal entities, processes or systems.</w:t>
            </w:r>
          </w:p>
        </w:tc>
      </w:tr>
      <w:tr>
        <w:tc>
          <w:tcPr>
            <w:tcW w:type="dxa" w:w="5170"/>
            <w:vAlign w:val="center"/>
          </w:tcPr>
          <w:p>
            <w:r/>
            <w:r>
              <w:rPr>
                <w:b w:val="0"/>
                <w:sz w:val="14"/>
              </w:rPr>
              <w:t>Urgency</w:t>
            </w:r>
          </w:p>
        </w:tc>
        <w:tc>
          <w:tcPr>
            <w:tcW w:type="dxa" w:w="5170"/>
            <w:vAlign w:val="center"/>
          </w:tcPr>
          <w:p>
            <w:r/>
            <w:r>
              <w:rPr>
                <w:b w:val="0"/>
                <w:sz w:val="14"/>
              </w:rPr>
              <w:t>Normal / accelerated / immediate.</w:t>
            </w:r>
          </w:p>
        </w:tc>
      </w:tr>
      <w:tr>
        <w:tc>
          <w:tcPr>
            <w:tcW w:type="dxa" w:w="5170"/>
            <w:vAlign w:val="center"/>
          </w:tcPr>
          <w:p>
            <w:r/>
            <w:r>
              <w:rPr>
                <w:b w:val="0"/>
                <w:sz w:val="14"/>
              </w:rPr>
              <w:t>Decision</w:t>
            </w:r>
          </w:p>
        </w:tc>
        <w:tc>
          <w:tcPr>
            <w:tcW w:type="dxa" w:w="5170"/>
            <w:vAlign w:val="center"/>
          </w:tcPr>
          <w:p>
            <w:r/>
            <w:r>
              <w:rPr>
                <w:b w:val="0"/>
                <w:sz w:val="14"/>
              </w:rPr>
              <w:t>Applicable, not applicable, monitor, or further analysis.</w:t>
            </w:r>
          </w:p>
        </w:tc>
      </w:tr>
    </w:tbl>
    <w:p/>
    <w:p>
      <w:pPr>
        <w:pStyle w:val="Heading1"/>
      </w:pPr>
      <w:r>
        <w:t>6. Applicability Assessment</w:t>
      </w:r>
    </w:p>
    <w:p>
      <w:r>
        <w:t>Applicability shall be determined before Northstar commits to implementation as a legal obligation. Where interpretation remains uncertain, the obligation register shall state the uncertainty and interim treatment.</w:t>
      </w:r>
    </w:p>
    <w:p>
      <w:r>
        <w:t>A conservative internal control may be adopted before applicability is fully resolved if risk warrants it, but the control shall be documented as an internal decision rather than an external mandate.</w:t>
      </w:r>
    </w:p>
    <w:p>
      <w:pPr>
        <w:pStyle w:val="Heading1"/>
      </w:pPr>
      <w:r>
        <w:t>7. Internal Regulatory Mapping</w:t>
      </w:r>
    </w:p>
    <w:p>
      <w:r>
        <w:t>Applicable obligations shall map to controlled documents and operating controls.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Mapping Element</w:t>
            </w:r>
          </w:p>
        </w:tc>
        <w:tc>
          <w:tcPr>
            <w:tcW w:type="dxa" w:w="5170"/>
            <w:vAlign w:val="center"/>
            <w:shd w:fill="17365D"/>
          </w:tcPr>
          <w:p>
            <w:r/>
            <w:r>
              <w:rPr>
                <w:b/>
                <w:color w:val="FFFFFF"/>
                <w:sz w:val="15"/>
              </w:rPr>
              <w:t>Example Internal Evidence</w:t>
            </w:r>
          </w:p>
        </w:tc>
      </w:tr>
      <w:tr>
        <w:tc>
          <w:tcPr>
            <w:tcW w:type="dxa" w:w="5170"/>
            <w:vAlign w:val="center"/>
          </w:tcPr>
          <w:p>
            <w:r/>
            <w:r>
              <w:rPr>
                <w:b w:val="0"/>
                <w:sz w:val="14"/>
              </w:rPr>
              <w:t>Obligation statement</w:t>
            </w:r>
          </w:p>
        </w:tc>
        <w:tc>
          <w:tcPr>
            <w:tcW w:type="dxa" w:w="5170"/>
            <w:vAlign w:val="center"/>
          </w:tcPr>
          <w:p>
            <w:r/>
            <w:r>
              <w:rPr>
                <w:b w:val="0"/>
                <w:sz w:val="14"/>
              </w:rPr>
              <w:t>Concise internal paraphrase approved by Compliance.</w:t>
            </w:r>
          </w:p>
        </w:tc>
      </w:tr>
      <w:tr>
        <w:tc>
          <w:tcPr>
            <w:tcW w:type="dxa" w:w="5170"/>
            <w:vAlign w:val="center"/>
          </w:tcPr>
          <w:p>
            <w:r/>
            <w:r>
              <w:rPr>
                <w:b w:val="0"/>
                <w:sz w:val="14"/>
              </w:rPr>
              <w:t>Owner</w:t>
            </w:r>
          </w:p>
        </w:tc>
        <w:tc>
          <w:tcPr>
            <w:tcW w:type="dxa" w:w="5170"/>
            <w:vAlign w:val="center"/>
          </w:tcPr>
          <w:p>
            <w:r/>
            <w:r>
              <w:rPr>
                <w:b w:val="0"/>
                <w:sz w:val="14"/>
              </w:rPr>
              <w:t>Named executive/business function.</w:t>
            </w:r>
          </w:p>
        </w:tc>
      </w:tr>
      <w:tr>
        <w:tc>
          <w:tcPr>
            <w:tcW w:type="dxa" w:w="5170"/>
            <w:vAlign w:val="center"/>
          </w:tcPr>
          <w:p>
            <w:r/>
            <w:r>
              <w:rPr>
                <w:b w:val="0"/>
                <w:sz w:val="14"/>
              </w:rPr>
              <w:t>Policy link</w:t>
            </w:r>
          </w:p>
        </w:tc>
        <w:tc>
          <w:tcPr>
            <w:tcW w:type="dxa" w:w="5170"/>
            <w:vAlign w:val="center"/>
          </w:tcPr>
          <w:p>
            <w:r/>
            <w:r>
              <w:rPr>
                <w:b w:val="0"/>
                <w:sz w:val="14"/>
              </w:rPr>
              <w:t>CRP-001, KYC-004, AML-003, ISP-014 or other current document.</w:t>
            </w:r>
          </w:p>
        </w:tc>
      </w:tr>
      <w:tr>
        <w:tc>
          <w:tcPr>
            <w:tcW w:type="dxa" w:w="5170"/>
            <w:vAlign w:val="center"/>
          </w:tcPr>
          <w:p>
            <w:r/>
            <w:r>
              <w:rPr>
                <w:b w:val="0"/>
                <w:sz w:val="14"/>
              </w:rPr>
              <w:t>Control</w:t>
            </w:r>
          </w:p>
        </w:tc>
        <w:tc>
          <w:tcPr>
            <w:tcW w:type="dxa" w:w="5170"/>
            <w:vAlign w:val="center"/>
          </w:tcPr>
          <w:p>
            <w:r/>
            <w:r>
              <w:rPr>
                <w:b w:val="0"/>
                <w:sz w:val="14"/>
              </w:rPr>
              <w:t>Maker-checker, screening, approval, review, monitoring or access control.</w:t>
            </w:r>
          </w:p>
        </w:tc>
      </w:tr>
      <w:tr>
        <w:tc>
          <w:tcPr>
            <w:tcW w:type="dxa" w:w="5170"/>
            <w:vAlign w:val="center"/>
          </w:tcPr>
          <w:p>
            <w:r/>
            <w:r>
              <w:rPr>
                <w:b w:val="0"/>
                <w:sz w:val="14"/>
              </w:rPr>
              <w:t>Evidence</w:t>
            </w:r>
          </w:p>
        </w:tc>
        <w:tc>
          <w:tcPr>
            <w:tcW w:type="dxa" w:w="5170"/>
            <w:vAlign w:val="center"/>
          </w:tcPr>
          <w:p>
            <w:r/>
            <w:r>
              <w:rPr>
                <w:b w:val="0"/>
                <w:sz w:val="14"/>
              </w:rPr>
              <w:t>System report, register, approval record, case file, training completion.</w:t>
            </w:r>
          </w:p>
        </w:tc>
      </w:tr>
      <w:tr>
        <w:tc>
          <w:tcPr>
            <w:tcW w:type="dxa" w:w="5170"/>
            <w:vAlign w:val="center"/>
          </w:tcPr>
          <w:p>
            <w:r/>
            <w:r>
              <w:rPr>
                <w:b w:val="0"/>
                <w:sz w:val="14"/>
              </w:rPr>
              <w:t>Testing</w:t>
            </w:r>
          </w:p>
        </w:tc>
        <w:tc>
          <w:tcPr>
            <w:tcW w:type="dxa" w:w="5170"/>
            <w:vAlign w:val="center"/>
          </w:tcPr>
          <w:p>
            <w:r/>
            <w:r>
              <w:rPr>
                <w:b w:val="0"/>
                <w:sz w:val="14"/>
              </w:rPr>
              <w:t>Monitoring or Compliance test reference.</w:t>
            </w:r>
          </w:p>
        </w:tc>
      </w:tr>
      <w:tr>
        <w:tc>
          <w:tcPr>
            <w:tcW w:type="dxa" w:w="5170"/>
            <w:vAlign w:val="center"/>
          </w:tcPr>
          <w:p>
            <w:r/>
            <w:r>
              <w:rPr>
                <w:b w:val="0"/>
                <w:sz w:val="14"/>
              </w:rPr>
              <w:t>Status</w:t>
            </w:r>
          </w:p>
        </w:tc>
        <w:tc>
          <w:tcPr>
            <w:tcW w:type="dxa" w:w="5170"/>
            <w:vAlign w:val="center"/>
          </w:tcPr>
          <w:p>
            <w:r/>
            <w:r>
              <w:rPr>
                <w:b w:val="0"/>
                <w:sz w:val="14"/>
              </w:rPr>
              <w:t>Implemented / partially implemented / planned / exception / breach.</w:t>
            </w:r>
          </w:p>
        </w:tc>
      </w:tr>
    </w:tbl>
    <w:p/>
    <w:p>
      <w:pPr>
        <w:pStyle w:val="Heading1"/>
      </w:pPr>
      <w:r>
        <w:t>8. Regulatory Change Classification</w:t>
      </w:r>
    </w:p>
    <w:p>
      <w:r>
        <w:t>Changes are classified based on customer, financial, conduct, operational and control impact.</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Class</w:t>
            </w:r>
          </w:p>
        </w:tc>
        <w:tc>
          <w:tcPr>
            <w:tcW w:type="dxa" w:w="5170"/>
            <w:vAlign w:val="center"/>
            <w:shd w:fill="17365D"/>
          </w:tcPr>
          <w:p>
            <w:r/>
            <w:r>
              <w:rPr>
                <w:b/>
                <w:color w:val="FFFFFF"/>
                <w:sz w:val="15"/>
              </w:rPr>
              <w:t>Indicative Treatment</w:t>
            </w:r>
          </w:p>
        </w:tc>
      </w:tr>
      <w:tr>
        <w:tc>
          <w:tcPr>
            <w:tcW w:type="dxa" w:w="5170"/>
            <w:vAlign w:val="center"/>
          </w:tcPr>
          <w:p>
            <w:r/>
            <w:r>
              <w:rPr>
                <w:b w:val="0"/>
                <w:sz w:val="14"/>
              </w:rPr>
              <w:t>RC1 — Minor</w:t>
            </w:r>
          </w:p>
        </w:tc>
        <w:tc>
          <w:tcPr>
            <w:tcW w:type="dxa" w:w="5170"/>
            <w:vAlign w:val="center"/>
          </w:tcPr>
          <w:p>
            <w:r/>
            <w:r>
              <w:rPr>
                <w:b w:val="0"/>
                <w:sz w:val="14"/>
              </w:rPr>
              <w:t>Clarification or low-impact change handled in ordinary control maintenance.</w:t>
            </w:r>
          </w:p>
        </w:tc>
      </w:tr>
      <w:tr>
        <w:tc>
          <w:tcPr>
            <w:tcW w:type="dxa" w:w="5170"/>
            <w:vAlign w:val="center"/>
          </w:tcPr>
          <w:p>
            <w:r/>
            <w:r>
              <w:rPr>
                <w:b w:val="0"/>
                <w:sz w:val="14"/>
              </w:rPr>
              <w:t>RC2 — Moderate</w:t>
            </w:r>
          </w:p>
        </w:tc>
        <w:tc>
          <w:tcPr>
            <w:tcW w:type="dxa" w:w="5170"/>
            <w:vAlign w:val="center"/>
          </w:tcPr>
          <w:p>
            <w:r/>
            <w:r>
              <w:rPr>
                <w:b w:val="0"/>
                <w:sz w:val="14"/>
              </w:rPr>
              <w:t>Process/document change affecting one or more teams; controlled implementation plan.</w:t>
            </w:r>
          </w:p>
        </w:tc>
      </w:tr>
      <w:tr>
        <w:tc>
          <w:tcPr>
            <w:tcW w:type="dxa" w:w="5170"/>
            <w:vAlign w:val="center"/>
          </w:tcPr>
          <w:p>
            <w:r/>
            <w:r>
              <w:rPr>
                <w:b w:val="0"/>
                <w:sz w:val="14"/>
              </w:rPr>
              <w:t>RC3 — Major</w:t>
            </w:r>
          </w:p>
        </w:tc>
        <w:tc>
          <w:tcPr>
            <w:tcW w:type="dxa" w:w="5170"/>
            <w:vAlign w:val="center"/>
          </w:tcPr>
          <w:p>
            <w:r/>
            <w:r>
              <w:rPr>
                <w:b w:val="0"/>
                <w:sz w:val="14"/>
              </w:rPr>
              <w:t>Material product/system/control change, customer impact or multiple departments; committee oversight.</w:t>
            </w:r>
          </w:p>
        </w:tc>
      </w:tr>
      <w:tr>
        <w:tc>
          <w:tcPr>
            <w:tcW w:type="dxa" w:w="5170"/>
            <w:vAlign w:val="center"/>
          </w:tcPr>
          <w:p>
            <w:r/>
            <w:r>
              <w:rPr>
                <w:b w:val="0"/>
                <w:sz w:val="14"/>
              </w:rPr>
              <w:t>RC4 — Critical</w:t>
            </w:r>
          </w:p>
        </w:tc>
        <w:tc>
          <w:tcPr>
            <w:tcW w:type="dxa" w:w="5170"/>
            <w:vAlign w:val="center"/>
          </w:tcPr>
          <w:p>
            <w:r/>
            <w:r>
              <w:rPr>
                <w:b w:val="0"/>
                <w:sz w:val="14"/>
              </w:rPr>
              <w:t>Immediate legal/control risk, severe customer impact or urgent restriction; executive escalation and accelerated governance.</w:t>
            </w:r>
          </w:p>
        </w:tc>
      </w:tr>
    </w:tbl>
    <w:p/>
    <w:p>
      <w:pPr>
        <w:pStyle w:val="Heading1"/>
      </w:pPr>
      <w:r>
        <w:t>9. Change Management Lifecycle</w:t>
      </w:r>
    </w:p>
    <w:p>
      <w:r>
        <w:t>A regulatory change progresses through intake, assessment, ownership, impact analysis, plan approval, implementation, validation and closure.</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Stage</w:t>
            </w:r>
          </w:p>
        </w:tc>
        <w:tc>
          <w:tcPr>
            <w:tcW w:type="dxa" w:w="5170"/>
            <w:vAlign w:val="center"/>
            <w:shd w:fill="17365D"/>
          </w:tcPr>
          <w:p>
            <w:r/>
            <w:r>
              <w:rPr>
                <w:b/>
                <w:color w:val="FFFFFF"/>
                <w:sz w:val="15"/>
              </w:rPr>
              <w:t>Control</w:t>
            </w:r>
          </w:p>
        </w:tc>
      </w:tr>
      <w:tr>
        <w:tc>
          <w:tcPr>
            <w:tcW w:type="dxa" w:w="5170"/>
            <w:vAlign w:val="center"/>
          </w:tcPr>
          <w:p>
            <w:r/>
            <w:r>
              <w:rPr>
                <w:b w:val="0"/>
                <w:sz w:val="14"/>
              </w:rPr>
              <w:t>Intake</w:t>
            </w:r>
          </w:p>
        </w:tc>
        <w:tc>
          <w:tcPr>
            <w:tcW w:type="dxa" w:w="5170"/>
            <w:vAlign w:val="center"/>
          </w:tcPr>
          <w:p>
            <w:r/>
            <w:r>
              <w:rPr>
                <w:b w:val="0"/>
                <w:sz w:val="14"/>
              </w:rPr>
              <w:t>Record source and awareness date.</w:t>
            </w:r>
          </w:p>
        </w:tc>
      </w:tr>
      <w:tr>
        <w:tc>
          <w:tcPr>
            <w:tcW w:type="dxa" w:w="5170"/>
            <w:vAlign w:val="center"/>
          </w:tcPr>
          <w:p>
            <w:r/>
            <w:r>
              <w:rPr>
                <w:b w:val="0"/>
                <w:sz w:val="14"/>
              </w:rPr>
              <w:t>Assess</w:t>
            </w:r>
          </w:p>
        </w:tc>
        <w:tc>
          <w:tcPr>
            <w:tcW w:type="dxa" w:w="5170"/>
            <w:vAlign w:val="center"/>
          </w:tcPr>
          <w:p>
            <w:r/>
            <w:r>
              <w:rPr>
                <w:b w:val="0"/>
                <w:sz w:val="14"/>
              </w:rPr>
              <w:t>Applicability and urgency.</w:t>
            </w:r>
          </w:p>
        </w:tc>
      </w:tr>
      <w:tr>
        <w:tc>
          <w:tcPr>
            <w:tcW w:type="dxa" w:w="5170"/>
            <w:vAlign w:val="center"/>
          </w:tcPr>
          <w:p>
            <w:r/>
            <w:r>
              <w:rPr>
                <w:b w:val="0"/>
                <w:sz w:val="14"/>
              </w:rPr>
              <w:t>Impact</w:t>
            </w:r>
          </w:p>
        </w:tc>
        <w:tc>
          <w:tcPr>
            <w:tcW w:type="dxa" w:w="5170"/>
            <w:vAlign w:val="center"/>
          </w:tcPr>
          <w:p>
            <w:r/>
            <w:r>
              <w:rPr>
                <w:b w:val="0"/>
                <w:sz w:val="14"/>
              </w:rPr>
              <w:t>Identify documents, systems, data, vendors, people and customer communications affected.</w:t>
            </w:r>
          </w:p>
        </w:tc>
      </w:tr>
      <w:tr>
        <w:tc>
          <w:tcPr>
            <w:tcW w:type="dxa" w:w="5170"/>
            <w:vAlign w:val="center"/>
          </w:tcPr>
          <w:p>
            <w:r/>
            <w:r>
              <w:rPr>
                <w:b w:val="0"/>
                <w:sz w:val="14"/>
              </w:rPr>
              <w:t>Plan</w:t>
            </w:r>
          </w:p>
        </w:tc>
        <w:tc>
          <w:tcPr>
            <w:tcW w:type="dxa" w:w="5170"/>
            <w:vAlign w:val="center"/>
          </w:tcPr>
          <w:p>
            <w:r/>
            <w:r>
              <w:rPr>
                <w:b w:val="0"/>
                <w:sz w:val="14"/>
              </w:rPr>
              <w:t>Actions, owners, milestones, dependencies and evidence.</w:t>
            </w:r>
          </w:p>
        </w:tc>
      </w:tr>
      <w:tr>
        <w:tc>
          <w:tcPr>
            <w:tcW w:type="dxa" w:w="5170"/>
            <w:vAlign w:val="center"/>
          </w:tcPr>
          <w:p>
            <w:r/>
            <w:r>
              <w:rPr>
                <w:b w:val="0"/>
                <w:sz w:val="14"/>
              </w:rPr>
              <w:t>Approve</w:t>
            </w:r>
          </w:p>
        </w:tc>
        <w:tc>
          <w:tcPr>
            <w:tcW w:type="dxa" w:w="5170"/>
            <w:vAlign w:val="center"/>
          </w:tcPr>
          <w:p>
            <w:r/>
            <w:r>
              <w:rPr>
                <w:b w:val="0"/>
                <w:sz w:val="14"/>
              </w:rPr>
              <w:t>Governance proportionate to class.</w:t>
            </w:r>
          </w:p>
        </w:tc>
      </w:tr>
      <w:tr>
        <w:tc>
          <w:tcPr>
            <w:tcW w:type="dxa" w:w="5170"/>
            <w:vAlign w:val="center"/>
          </w:tcPr>
          <w:p>
            <w:r/>
            <w:r>
              <w:rPr>
                <w:b w:val="0"/>
                <w:sz w:val="14"/>
              </w:rPr>
              <w:t>Implement</w:t>
            </w:r>
          </w:p>
        </w:tc>
        <w:tc>
          <w:tcPr>
            <w:tcW w:type="dxa" w:w="5170"/>
            <w:vAlign w:val="center"/>
          </w:tcPr>
          <w:p>
            <w:r/>
            <w:r>
              <w:rPr>
                <w:b w:val="0"/>
                <w:sz w:val="14"/>
              </w:rPr>
              <w:t>Complete controlled changes and training.</w:t>
            </w:r>
          </w:p>
        </w:tc>
      </w:tr>
      <w:tr>
        <w:tc>
          <w:tcPr>
            <w:tcW w:type="dxa" w:w="5170"/>
            <w:vAlign w:val="center"/>
          </w:tcPr>
          <w:p>
            <w:r/>
            <w:r>
              <w:rPr>
                <w:b w:val="0"/>
                <w:sz w:val="14"/>
              </w:rPr>
              <w:t>Validate</w:t>
            </w:r>
          </w:p>
        </w:tc>
        <w:tc>
          <w:tcPr>
            <w:tcW w:type="dxa" w:w="5170"/>
            <w:vAlign w:val="center"/>
          </w:tcPr>
          <w:p>
            <w:r/>
            <w:r>
              <w:rPr>
                <w:b w:val="0"/>
                <w:sz w:val="14"/>
              </w:rPr>
              <w:t>Independent or second-person confirmation where material.</w:t>
            </w:r>
          </w:p>
        </w:tc>
      </w:tr>
      <w:tr>
        <w:tc>
          <w:tcPr>
            <w:tcW w:type="dxa" w:w="5170"/>
            <w:vAlign w:val="center"/>
          </w:tcPr>
          <w:p>
            <w:r/>
            <w:r>
              <w:rPr>
                <w:b w:val="0"/>
                <w:sz w:val="14"/>
              </w:rPr>
              <w:t>Close</w:t>
            </w:r>
          </w:p>
        </w:tc>
        <w:tc>
          <w:tcPr>
            <w:tcW w:type="dxa" w:w="5170"/>
            <w:vAlign w:val="center"/>
          </w:tcPr>
          <w:p>
            <w:r/>
            <w:r>
              <w:rPr>
                <w:b w:val="0"/>
                <w:sz w:val="14"/>
              </w:rPr>
              <w:t>Compliance confirms evidence and residual issues.</w:t>
            </w:r>
          </w:p>
        </w:tc>
      </w:tr>
    </w:tbl>
    <w:p/>
    <w:p>
      <w:pPr>
        <w:pStyle w:val="Heading1"/>
      </w:pPr>
      <w:r>
        <w:t>10. Implementation Timelines</w:t>
      </w:r>
    </w:p>
    <w:p>
      <w:r>
        <w:t>Implementation dates shall be based on the actual applicable effective date, internal risk and implementation complexity. Northstar does not use one universal deadline for all changes.</w:t>
      </w:r>
    </w:p>
    <w:p>
      <w:r>
        <w:t>Where an external effective date is unknown, contingent or subject to interpretation, the register shall record the assumption used and any decision point for re-assessment.</w:t>
      </w:r>
    </w:p>
    <w:p>
      <w:pPr>
        <w:pStyle w:val="Heading1"/>
      </w:pPr>
      <w:r>
        <w:t>11. Policy and Procedure Updates</w:t>
      </w:r>
    </w:p>
    <w:p>
      <w:r>
        <w:t>A regulatory mapping entry does not by itself amend a controlled policy. Document owners shall process required changes through normal approval governance.</w:t>
      </w:r>
    </w:p>
    <w:p>
      <w:r>
        <w:t>Temporary instructions may be issued where delay in formal document revision would create material risk. They shall identify scope, owner, effective period and planned incorporation into the controlled document.</w:t>
      </w:r>
    </w:p>
    <w:p>
      <w:pPr>
        <w:pStyle w:val="Heading1"/>
      </w:pPr>
      <w:r>
        <w:t>12. Product and Customer Impact</w:t>
      </w:r>
    </w:p>
    <w:p>
      <w:r>
        <w:t>Changes affecting eligibility, disclosures, fees, servicing, complaints, customer data, credit, KYC or AML shall include a customer-impact assessment before implementation where practicable.</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Question</w:t>
            </w:r>
          </w:p>
        </w:tc>
        <w:tc>
          <w:tcPr>
            <w:tcW w:type="dxa" w:w="5170"/>
            <w:vAlign w:val="center"/>
            <w:shd w:fill="17365D"/>
          </w:tcPr>
          <w:p>
            <w:r/>
            <w:r>
              <w:rPr>
                <w:b/>
                <w:color w:val="FFFFFF"/>
                <w:sz w:val="15"/>
              </w:rPr>
              <w:t>Assessment</w:t>
            </w:r>
          </w:p>
        </w:tc>
      </w:tr>
      <w:tr>
        <w:tc>
          <w:tcPr>
            <w:tcW w:type="dxa" w:w="5170"/>
            <w:vAlign w:val="center"/>
          </w:tcPr>
          <w:p>
            <w:r/>
            <w:r>
              <w:rPr>
                <w:b w:val="0"/>
                <w:sz w:val="14"/>
              </w:rPr>
              <w:t>Existing customers</w:t>
            </w:r>
          </w:p>
        </w:tc>
        <w:tc>
          <w:tcPr>
            <w:tcW w:type="dxa" w:w="5170"/>
            <w:vAlign w:val="center"/>
          </w:tcPr>
          <w:p>
            <w:r/>
            <w:r>
              <w:rPr>
                <w:b w:val="0"/>
                <w:sz w:val="14"/>
              </w:rPr>
              <w:t>Does change apply to existing relationships or only new activity?</w:t>
            </w:r>
          </w:p>
        </w:tc>
      </w:tr>
      <w:tr>
        <w:tc>
          <w:tcPr>
            <w:tcW w:type="dxa" w:w="5170"/>
            <w:vAlign w:val="center"/>
          </w:tcPr>
          <w:p>
            <w:r/>
            <w:r>
              <w:rPr>
                <w:b w:val="0"/>
                <w:sz w:val="14"/>
              </w:rPr>
              <w:t>Pipeline</w:t>
            </w:r>
          </w:p>
        </w:tc>
        <w:tc>
          <w:tcPr>
            <w:tcW w:type="dxa" w:w="5170"/>
            <w:vAlign w:val="center"/>
          </w:tcPr>
          <w:p>
            <w:r/>
            <w:r>
              <w:rPr>
                <w:b w:val="0"/>
                <w:sz w:val="14"/>
              </w:rPr>
              <w:t>How are applications/transactions already in progress treated?</w:t>
            </w:r>
          </w:p>
        </w:tc>
      </w:tr>
      <w:tr>
        <w:tc>
          <w:tcPr>
            <w:tcW w:type="dxa" w:w="5170"/>
            <w:vAlign w:val="center"/>
          </w:tcPr>
          <w:p>
            <w:r/>
            <w:r>
              <w:rPr>
                <w:b w:val="0"/>
                <w:sz w:val="14"/>
              </w:rPr>
              <w:t>Communications</w:t>
            </w:r>
          </w:p>
        </w:tc>
        <w:tc>
          <w:tcPr>
            <w:tcW w:type="dxa" w:w="5170"/>
            <w:vAlign w:val="center"/>
          </w:tcPr>
          <w:p>
            <w:r/>
            <w:r>
              <w:rPr>
                <w:b w:val="0"/>
                <w:sz w:val="14"/>
              </w:rPr>
              <w:t>Is customer notice or updated wording required?</w:t>
            </w:r>
          </w:p>
        </w:tc>
      </w:tr>
      <w:tr>
        <w:tc>
          <w:tcPr>
            <w:tcW w:type="dxa" w:w="5170"/>
            <w:vAlign w:val="center"/>
          </w:tcPr>
          <w:p>
            <w:r/>
            <w:r>
              <w:rPr>
                <w:b w:val="0"/>
                <w:sz w:val="14"/>
              </w:rPr>
              <w:t>Systems</w:t>
            </w:r>
          </w:p>
        </w:tc>
        <w:tc>
          <w:tcPr>
            <w:tcW w:type="dxa" w:w="5170"/>
            <w:vAlign w:val="center"/>
          </w:tcPr>
          <w:p>
            <w:r/>
            <w:r>
              <w:rPr>
                <w:b w:val="0"/>
                <w:sz w:val="14"/>
              </w:rPr>
              <w:t>Can the system enforce the new treatment on effective date?</w:t>
            </w:r>
          </w:p>
        </w:tc>
      </w:tr>
      <w:tr>
        <w:tc>
          <w:tcPr>
            <w:tcW w:type="dxa" w:w="5170"/>
            <w:vAlign w:val="center"/>
          </w:tcPr>
          <w:p>
            <w:r/>
            <w:r>
              <w:rPr>
                <w:b w:val="0"/>
                <w:sz w:val="14"/>
              </w:rPr>
              <w:t>Exceptions</w:t>
            </w:r>
          </w:p>
        </w:tc>
        <w:tc>
          <w:tcPr>
            <w:tcW w:type="dxa" w:w="5170"/>
            <w:vAlign w:val="center"/>
          </w:tcPr>
          <w:p>
            <w:r/>
            <w:r>
              <w:rPr>
                <w:b w:val="0"/>
                <w:sz w:val="14"/>
              </w:rPr>
              <w:t>Are transitional approvals or restrictions required?</w:t>
            </w:r>
          </w:p>
        </w:tc>
      </w:tr>
      <w:tr>
        <w:tc>
          <w:tcPr>
            <w:tcW w:type="dxa" w:w="5170"/>
            <w:vAlign w:val="center"/>
          </w:tcPr>
          <w:p>
            <w:r/>
            <w:r>
              <w:rPr>
                <w:b w:val="0"/>
                <w:sz w:val="14"/>
              </w:rPr>
              <w:t>Remediation</w:t>
            </w:r>
          </w:p>
        </w:tc>
        <w:tc>
          <w:tcPr>
            <w:tcW w:type="dxa" w:w="5170"/>
            <w:vAlign w:val="center"/>
          </w:tcPr>
          <w:p>
            <w:r/>
            <w:r>
              <w:rPr>
                <w:b w:val="0"/>
                <w:sz w:val="14"/>
              </w:rPr>
              <w:t>Could prior treatment require review or correction?</w:t>
            </w:r>
          </w:p>
        </w:tc>
      </w:tr>
    </w:tbl>
    <w:p/>
    <w:p>
      <w:pPr>
        <w:pStyle w:val="Heading1"/>
      </w:pPr>
      <w:r>
        <w:t>13. Credit and Lending Mapping</w:t>
      </w:r>
    </w:p>
    <w:p>
      <w:r>
        <w:t>Credit-related external expectations are translated into Northstar policy only through controlled governance. CRP-001 and product procedures remain the authoritative internal rules for credit decisions until amended.</w:t>
      </w:r>
    </w:p>
    <w:p>
      <w:r>
        <w:t>An external change may require Northstar to tighten, remove or add controls, but Compliance does not grant credit authority and does not approve customer credit exceptions.</w:t>
      </w:r>
    </w:p>
    <w:p>
      <w:pPr>
        <w:pStyle w:val="Heading1"/>
      </w:pPr>
      <w:r>
        <w:t>14. KYC, AML and Customer Due Diligence Mapping</w:t>
      </w:r>
    </w:p>
    <w:p>
      <w:r>
        <w:t>Financial-crime obligations shall be mapped across KYC-004, AML-003, CDD-005, EDD-032, CRR-033 and transaction-monitoring procedures.</w:t>
      </w:r>
    </w:p>
    <w:p>
      <w:r>
        <w:t>Compliance oversight does not permit a business or credit function to release a KYC/AML restriction. Specialist ownership remains with the designated KYC/AML authority.</w:t>
      </w:r>
    </w:p>
    <w:p>
      <w:pPr>
        <w:pStyle w:val="Heading1"/>
      </w:pPr>
      <w:r>
        <w:t>15. Information Security and Data Mapping</w:t>
      </w:r>
    </w:p>
    <w:p>
      <w:r>
        <w:t>Security/data requirements shall map to ISP-014, ACS-051, SIR-052, VRP-053 and related system controls.</w:t>
      </w:r>
    </w:p>
    <w:p>
      <w:r>
        <w:t>A compliance classification and a security incident classification may both apply to the same event and shall be recorded separately.</w:t>
      </w:r>
    </w:p>
    <w:p>
      <w:pPr>
        <w:pStyle w:val="Heading1"/>
      </w:pPr>
      <w:r>
        <w:t>16. Investment and Treasury Mapping</w:t>
      </w:r>
    </w:p>
    <w:p>
      <w:r>
        <w:t>Investment-related expectations shall map to INV-010, IMP-041 and IDS-042. Regulatory interpretation does not expand IA1–IA5 delegated authority or permit purchase of otherwise restricted instruments.</w:t>
      </w:r>
    </w:p>
    <w:p>
      <w:pPr>
        <w:pStyle w:val="Heading1"/>
      </w:pPr>
      <w:r>
        <w:t>17. Third-Party Mapping</w:t>
      </w:r>
    </w:p>
    <w:p>
      <w:r>
        <w:t>Where a change affects outsourced or vendor-delivered services, the business owner and Third-Party Risk shall assess contract, control, data, access, incident and exit implications under VRP-053.</w:t>
      </w:r>
    </w:p>
    <w:p>
      <w:pPr>
        <w:pStyle w:val="Heading1"/>
      </w:pPr>
      <w:r>
        <w:t>18. Regulatory Reporting Governance</w:t>
      </w:r>
    </w:p>
    <w:p>
      <w:r>
        <w:t>Regulatory or supervisory reporting identified by Compliance shall have a named owner, maker-checker control, data lineage, evidence of submission and issue escalation process.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Control</w:t>
            </w:r>
          </w:p>
        </w:tc>
        <w:tc>
          <w:tcPr>
            <w:tcW w:type="dxa" w:w="5170"/>
            <w:vAlign w:val="center"/>
            <w:shd w:fill="17365D"/>
          </w:tcPr>
          <w:p>
            <w:r/>
            <w:r>
              <w:rPr>
                <w:b/>
                <w:color w:val="FFFFFF"/>
                <w:sz w:val="15"/>
              </w:rPr>
              <w:t>Requirement</w:t>
            </w:r>
          </w:p>
        </w:tc>
      </w:tr>
      <w:tr>
        <w:tc>
          <w:tcPr>
            <w:tcW w:type="dxa" w:w="5170"/>
            <w:vAlign w:val="center"/>
          </w:tcPr>
          <w:p>
            <w:r/>
            <w:r>
              <w:rPr>
                <w:b w:val="0"/>
                <w:sz w:val="14"/>
              </w:rPr>
              <w:t>Ownership</w:t>
            </w:r>
          </w:p>
        </w:tc>
        <w:tc>
          <w:tcPr>
            <w:tcW w:type="dxa" w:w="5170"/>
            <w:vAlign w:val="center"/>
          </w:tcPr>
          <w:p>
            <w:r/>
            <w:r>
              <w:rPr>
                <w:b w:val="0"/>
                <w:sz w:val="14"/>
              </w:rPr>
              <w:t>Named accountable business/control owner.</w:t>
            </w:r>
          </w:p>
        </w:tc>
      </w:tr>
      <w:tr>
        <w:tc>
          <w:tcPr>
            <w:tcW w:type="dxa" w:w="5170"/>
            <w:vAlign w:val="center"/>
          </w:tcPr>
          <w:p>
            <w:r/>
            <w:r>
              <w:rPr>
                <w:b w:val="0"/>
                <w:sz w:val="14"/>
              </w:rPr>
              <w:t>Preparation</w:t>
            </w:r>
          </w:p>
        </w:tc>
        <w:tc>
          <w:tcPr>
            <w:tcW w:type="dxa" w:w="5170"/>
            <w:vAlign w:val="center"/>
          </w:tcPr>
          <w:p>
            <w:r/>
            <w:r>
              <w:rPr>
                <w:b w:val="0"/>
                <w:sz w:val="14"/>
              </w:rPr>
              <w:t>Document data source, period and assumptions.</w:t>
            </w:r>
          </w:p>
        </w:tc>
      </w:tr>
      <w:tr>
        <w:tc>
          <w:tcPr>
            <w:tcW w:type="dxa" w:w="5170"/>
            <w:vAlign w:val="center"/>
          </w:tcPr>
          <w:p>
            <w:r/>
            <w:r>
              <w:rPr>
                <w:b w:val="0"/>
                <w:sz w:val="14"/>
              </w:rPr>
              <w:t>Checker</w:t>
            </w:r>
          </w:p>
        </w:tc>
        <w:tc>
          <w:tcPr>
            <w:tcW w:type="dxa" w:w="5170"/>
            <w:vAlign w:val="center"/>
          </w:tcPr>
          <w:p>
            <w:r/>
            <w:r>
              <w:rPr>
                <w:b w:val="0"/>
                <w:sz w:val="14"/>
              </w:rPr>
              <w:t>Independent review proportionate to materiality.</w:t>
            </w:r>
          </w:p>
        </w:tc>
      </w:tr>
      <w:tr>
        <w:tc>
          <w:tcPr>
            <w:tcW w:type="dxa" w:w="5170"/>
            <w:vAlign w:val="center"/>
          </w:tcPr>
          <w:p>
            <w:r/>
            <w:r>
              <w:rPr>
                <w:b w:val="0"/>
                <w:sz w:val="14"/>
              </w:rPr>
              <w:t>Approval</w:t>
            </w:r>
          </w:p>
        </w:tc>
        <w:tc>
          <w:tcPr>
            <w:tcW w:type="dxa" w:w="5170"/>
            <w:vAlign w:val="center"/>
          </w:tcPr>
          <w:p>
            <w:r/>
            <w:r>
              <w:rPr>
                <w:b w:val="0"/>
                <w:sz w:val="14"/>
              </w:rPr>
              <w:t>Appropriate sign-off before submission.</w:t>
            </w:r>
          </w:p>
        </w:tc>
      </w:tr>
      <w:tr>
        <w:tc>
          <w:tcPr>
            <w:tcW w:type="dxa" w:w="5170"/>
            <w:vAlign w:val="center"/>
          </w:tcPr>
          <w:p>
            <w:r/>
            <w:r>
              <w:rPr>
                <w:b w:val="0"/>
                <w:sz w:val="14"/>
              </w:rPr>
              <w:t>Submission evidence</w:t>
            </w:r>
          </w:p>
        </w:tc>
        <w:tc>
          <w:tcPr>
            <w:tcW w:type="dxa" w:w="5170"/>
            <w:vAlign w:val="center"/>
          </w:tcPr>
          <w:p>
            <w:r/>
            <w:r>
              <w:rPr>
                <w:b w:val="0"/>
                <w:sz w:val="14"/>
              </w:rPr>
              <w:t>Receipt, acknowledgment or controlled record.</w:t>
            </w:r>
          </w:p>
        </w:tc>
      </w:tr>
      <w:tr>
        <w:tc>
          <w:tcPr>
            <w:tcW w:type="dxa" w:w="5170"/>
            <w:vAlign w:val="center"/>
          </w:tcPr>
          <w:p>
            <w:r/>
            <w:r>
              <w:rPr>
                <w:b w:val="0"/>
                <w:sz w:val="14"/>
              </w:rPr>
              <w:t>Correction</w:t>
            </w:r>
          </w:p>
        </w:tc>
        <w:tc>
          <w:tcPr>
            <w:tcW w:type="dxa" w:w="5170"/>
            <w:vAlign w:val="center"/>
          </w:tcPr>
          <w:p>
            <w:r/>
            <w:r>
              <w:rPr>
                <w:b w:val="0"/>
                <w:sz w:val="14"/>
              </w:rPr>
              <w:t>Error correction and breach assessment where required.</w:t>
            </w:r>
          </w:p>
        </w:tc>
      </w:tr>
    </w:tbl>
    <w:p/>
    <w:p>
      <w:pPr>
        <w:pStyle w:val="Heading1"/>
      </w:pPr>
      <w:r>
        <w:t>19. Recordkeeping</w:t>
      </w:r>
    </w:p>
    <w:p>
      <w:r>
        <w:t>Records shall be retained under the applicable internal retention schedule and any specific requirement mapped by Compliance. Where two retention periods differ, the longer controlled period generally applies unless Legal/Compliance determines otherwise.</w:t>
      </w:r>
    </w:p>
    <w:p>
      <w:pPr>
        <w:pStyle w:val="Heading1"/>
      </w:pPr>
      <w:r>
        <w:t>20. Examination and Audit Readiness</w:t>
      </w:r>
    </w:p>
    <w:p>
      <w:r>
        <w:t>Departments shall maintain evidence so controls can be explained and demonstrated without reconstructing decisions from memory.</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Readiness Area</w:t>
            </w:r>
          </w:p>
        </w:tc>
        <w:tc>
          <w:tcPr>
            <w:tcW w:type="dxa" w:w="5170"/>
            <w:vAlign w:val="center"/>
            <w:shd w:fill="17365D"/>
          </w:tcPr>
          <w:p>
            <w:r/>
            <w:r>
              <w:rPr>
                <w:b/>
                <w:color w:val="FFFFFF"/>
                <w:sz w:val="15"/>
              </w:rPr>
              <w:t>Expected Evidence</w:t>
            </w:r>
          </w:p>
        </w:tc>
      </w:tr>
      <w:tr>
        <w:tc>
          <w:tcPr>
            <w:tcW w:type="dxa" w:w="5170"/>
            <w:vAlign w:val="center"/>
          </w:tcPr>
          <w:p>
            <w:r/>
            <w:r>
              <w:rPr>
                <w:b w:val="0"/>
                <w:sz w:val="14"/>
              </w:rPr>
              <w:t>Current documents</w:t>
            </w:r>
          </w:p>
        </w:tc>
        <w:tc>
          <w:tcPr>
            <w:tcW w:type="dxa" w:w="5170"/>
            <w:vAlign w:val="center"/>
          </w:tcPr>
          <w:p>
            <w:r/>
            <w:r>
              <w:rPr>
                <w:b w:val="0"/>
                <w:sz w:val="14"/>
              </w:rPr>
              <w:t>Approved policy/procedure and version history.</w:t>
            </w:r>
          </w:p>
        </w:tc>
      </w:tr>
      <w:tr>
        <w:tc>
          <w:tcPr>
            <w:tcW w:type="dxa" w:w="5170"/>
            <w:vAlign w:val="center"/>
          </w:tcPr>
          <w:p>
            <w:r/>
            <w:r>
              <w:rPr>
                <w:b w:val="0"/>
                <w:sz w:val="14"/>
              </w:rPr>
              <w:t>Operating evidence</w:t>
            </w:r>
          </w:p>
        </w:tc>
        <w:tc>
          <w:tcPr>
            <w:tcW w:type="dxa" w:w="5170"/>
            <w:vAlign w:val="center"/>
          </w:tcPr>
          <w:p>
            <w:r/>
            <w:r>
              <w:rPr>
                <w:b w:val="0"/>
                <w:sz w:val="14"/>
              </w:rPr>
              <w:t>Registers, approvals, cases, system reports and samples.</w:t>
            </w:r>
          </w:p>
        </w:tc>
      </w:tr>
      <w:tr>
        <w:tc>
          <w:tcPr>
            <w:tcW w:type="dxa" w:w="5170"/>
            <w:vAlign w:val="center"/>
          </w:tcPr>
          <w:p>
            <w:r/>
            <w:r>
              <w:rPr>
                <w:b w:val="0"/>
                <w:sz w:val="14"/>
              </w:rPr>
              <w:t>Issue history</w:t>
            </w:r>
          </w:p>
        </w:tc>
        <w:tc>
          <w:tcPr>
            <w:tcW w:type="dxa" w:w="5170"/>
            <w:vAlign w:val="center"/>
          </w:tcPr>
          <w:p>
            <w:r/>
            <w:r>
              <w:rPr>
                <w:b w:val="0"/>
                <w:sz w:val="14"/>
              </w:rPr>
              <w:t>Breaches, exceptions, remediation and closure.</w:t>
            </w:r>
          </w:p>
        </w:tc>
      </w:tr>
      <w:tr>
        <w:tc>
          <w:tcPr>
            <w:tcW w:type="dxa" w:w="5170"/>
            <w:vAlign w:val="center"/>
          </w:tcPr>
          <w:p>
            <w:r/>
            <w:r>
              <w:rPr>
                <w:b w:val="0"/>
                <w:sz w:val="14"/>
              </w:rPr>
              <w:t>Training</w:t>
            </w:r>
          </w:p>
        </w:tc>
        <w:tc>
          <w:tcPr>
            <w:tcW w:type="dxa" w:w="5170"/>
            <w:vAlign w:val="center"/>
          </w:tcPr>
          <w:p>
            <w:r/>
            <w:r>
              <w:rPr>
                <w:b w:val="0"/>
                <w:sz w:val="14"/>
              </w:rPr>
              <w:t>Applicable employee completion.</w:t>
            </w:r>
          </w:p>
        </w:tc>
      </w:tr>
      <w:tr>
        <w:tc>
          <w:tcPr>
            <w:tcW w:type="dxa" w:w="5170"/>
            <w:vAlign w:val="center"/>
          </w:tcPr>
          <w:p>
            <w:r/>
            <w:r>
              <w:rPr>
                <w:b w:val="0"/>
                <w:sz w:val="14"/>
              </w:rPr>
              <w:t>Governance</w:t>
            </w:r>
          </w:p>
        </w:tc>
        <w:tc>
          <w:tcPr>
            <w:tcW w:type="dxa" w:w="5170"/>
            <w:vAlign w:val="center"/>
          </w:tcPr>
          <w:p>
            <w:r/>
            <w:r>
              <w:rPr>
                <w:b w:val="0"/>
                <w:sz w:val="14"/>
              </w:rPr>
              <w:t>Committee minutes and escalation.</w:t>
            </w:r>
          </w:p>
        </w:tc>
      </w:tr>
      <w:tr>
        <w:tc>
          <w:tcPr>
            <w:tcW w:type="dxa" w:w="5170"/>
            <w:vAlign w:val="center"/>
          </w:tcPr>
          <w:p>
            <w:r/>
            <w:r>
              <w:rPr>
                <w:b w:val="0"/>
                <w:sz w:val="14"/>
              </w:rPr>
              <w:t>Data</w:t>
            </w:r>
          </w:p>
        </w:tc>
        <w:tc>
          <w:tcPr>
            <w:tcW w:type="dxa" w:w="5170"/>
            <w:vAlign w:val="center"/>
          </w:tcPr>
          <w:p>
            <w:r/>
            <w:r>
              <w:rPr>
                <w:b w:val="0"/>
                <w:sz w:val="14"/>
              </w:rPr>
              <w:t>Source, transformation and reconciliation where relevant.</w:t>
            </w:r>
          </w:p>
        </w:tc>
      </w:tr>
    </w:tbl>
    <w:p/>
    <w:p>
      <w:pPr>
        <w:pStyle w:val="Heading1"/>
      </w:pPr>
      <w:r>
        <w:t>21. Information Requests</w:t>
      </w:r>
    </w:p>
    <w:p>
      <w:r>
        <w:t>External information requests routed through Compliance/Legal shall be logged, assigned and quality checked. Employees shall not provide sensitive information through unofficial channels or beyond authorized scope.</w:t>
      </w:r>
    </w:p>
    <w:p>
      <w:pPr>
        <w:pStyle w:val="Heading1"/>
      </w:pPr>
      <w:r>
        <w:t>22. Regulatory Breaches</w:t>
      </w:r>
    </w:p>
    <w:p>
      <w:r>
        <w:t>Failure to implement or operate a mapped requirement may require CBP-043 classification. Security, operational-risk, fraud or customer-remediation processes may run in parallel.</w:t>
      </w:r>
    </w:p>
    <w:p>
      <w:r>
        <w:t>A retrospective approval or after-the-fact management acknowledgement may help remediate governance but does not convert an untimely action into a timely prospective exception.</w:t>
      </w:r>
    </w:p>
    <w:p>
      <w:pPr>
        <w:pStyle w:val="Heading1"/>
      </w:pPr>
      <w:r>
        <w:t>23. Issue Remediation</w:t>
      </w:r>
    </w:p>
    <w:p>
      <w:r>
        <w:t>Remediation shall address immediate correction, root cause, affected population, customer impact, data/system change, training and sustainable control design where relevant.</w:t>
      </w:r>
    </w:p>
    <w:p>
      <w:pPr>
        <w:pStyle w:val="Heading1"/>
      </w:pPr>
      <w:r>
        <w:t>24. Training and Communications</w:t>
      </w:r>
    </w:p>
    <w:p>
      <w:r>
        <w:t>Material changes shall be communicated to affected staff before or at implementation, with role-specific training where the change cannot reasonably be understood from a short notice alone.</w:t>
      </w:r>
    </w:p>
    <w:p>
      <w:pPr>
        <w:pStyle w:val="Heading1"/>
      </w:pPr>
      <w:r>
        <w:t>25. Monitoring and Testing</w:t>
      </w:r>
    </w:p>
    <w:p>
      <w:r>
        <w:t>Compliance monitoring shall prioritize obligations with customer impact, zero-tolerance treatment, high transaction volume, repeated findings or significant regulatory-change dependency.</w:t>
      </w:r>
    </w:p>
    <w:p>
      <w:pPr>
        <w:pStyle w:val="Heading1"/>
      </w:pPr>
      <w:r>
        <w:t>26. Committee Reporting</w:t>
      </w:r>
    </w:p>
    <w:p>
      <w:r>
        <w:t>Material regulatory changes, overdue actions, significant breaches, examination findings and unresolved interpretation issues shall be reported to the appropriate committee based on subject matter and severity.</w:t>
      </w:r>
    </w:p>
    <w:p>
      <w:pPr>
        <w:pStyle w:val="Heading1"/>
      </w:pPr>
      <w:r>
        <w:t>27. Historical and Transitional Records</w:t>
      </w:r>
    </w:p>
    <w:p>
      <w:r>
        <w:t>Historical mappings shall not be overwritten to reflect current interpretation. A superseded mapping should remain linked to the newer mapping and its effective date.</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Situation</w:t>
            </w:r>
          </w:p>
        </w:tc>
        <w:tc>
          <w:tcPr>
            <w:tcW w:type="dxa" w:w="5170"/>
            <w:vAlign w:val="center"/>
            <w:shd w:fill="17365D"/>
          </w:tcPr>
          <w:p>
            <w:r/>
            <w:r>
              <w:rPr>
                <w:b/>
                <w:color w:val="FFFFFF"/>
                <w:sz w:val="15"/>
              </w:rPr>
              <w:t>Treatment</w:t>
            </w:r>
          </w:p>
        </w:tc>
      </w:tr>
      <w:tr>
        <w:tc>
          <w:tcPr>
            <w:tcW w:type="dxa" w:w="5170"/>
            <w:vAlign w:val="center"/>
          </w:tcPr>
          <w:p>
            <w:r/>
            <w:r>
              <w:rPr>
                <w:b w:val="0"/>
                <w:sz w:val="14"/>
              </w:rPr>
              <w:t>Old interpretation later changed</w:t>
            </w:r>
          </w:p>
        </w:tc>
        <w:tc>
          <w:tcPr>
            <w:tcW w:type="dxa" w:w="5170"/>
            <w:vAlign w:val="center"/>
          </w:tcPr>
          <w:p>
            <w:r/>
            <w:r>
              <w:rPr>
                <w:b w:val="0"/>
                <w:sz w:val="14"/>
              </w:rPr>
              <w:t>Retain original interpretation, decision owner and evidence; document current position separately.</w:t>
            </w:r>
          </w:p>
        </w:tc>
      </w:tr>
      <w:tr>
        <w:tc>
          <w:tcPr>
            <w:tcW w:type="dxa" w:w="5170"/>
            <w:vAlign w:val="center"/>
          </w:tcPr>
          <w:p>
            <w:r/>
            <w:r>
              <w:rPr>
                <w:b w:val="0"/>
                <w:sz w:val="14"/>
              </w:rPr>
              <w:t>Control tightened internally before external date</w:t>
            </w:r>
          </w:p>
        </w:tc>
        <w:tc>
          <w:tcPr>
            <w:tcW w:type="dxa" w:w="5170"/>
            <w:vAlign w:val="center"/>
          </w:tcPr>
          <w:p>
            <w:r/>
            <w:r>
              <w:rPr>
                <w:b w:val="0"/>
                <w:sz w:val="14"/>
              </w:rPr>
              <w:t>Record as internal risk decision.</w:t>
            </w:r>
          </w:p>
        </w:tc>
      </w:tr>
      <w:tr>
        <w:tc>
          <w:tcPr>
            <w:tcW w:type="dxa" w:w="5170"/>
            <w:vAlign w:val="center"/>
          </w:tcPr>
          <w:p>
            <w:r/>
            <w:r>
              <w:rPr>
                <w:b w:val="0"/>
                <w:sz w:val="14"/>
              </w:rPr>
              <w:t>New policy effective before system release</w:t>
            </w:r>
          </w:p>
        </w:tc>
        <w:tc>
          <w:tcPr>
            <w:tcW w:type="dxa" w:w="5170"/>
            <w:vAlign w:val="center"/>
          </w:tcPr>
          <w:p>
            <w:r/>
            <w:r>
              <w:rPr>
                <w:b w:val="0"/>
                <w:sz w:val="14"/>
              </w:rPr>
              <w:t>Use documented interim manual control where approved.</w:t>
            </w:r>
          </w:p>
        </w:tc>
      </w:tr>
      <w:tr>
        <w:tc>
          <w:tcPr>
            <w:tcW w:type="dxa" w:w="5170"/>
            <w:vAlign w:val="center"/>
          </w:tcPr>
          <w:p>
            <w:r/>
            <w:r>
              <w:rPr>
                <w:b w:val="0"/>
                <w:sz w:val="14"/>
              </w:rPr>
              <w:t>Historical customer treatment under old rule</w:t>
            </w:r>
          </w:p>
        </w:tc>
        <w:tc>
          <w:tcPr>
            <w:tcW w:type="dxa" w:w="5170"/>
            <w:vAlign w:val="center"/>
          </w:tcPr>
          <w:p>
            <w:r/>
            <w:r>
              <w:rPr>
                <w:b w:val="0"/>
                <w:sz w:val="14"/>
              </w:rPr>
              <w:t>Assess under rule effective at the relevant time unless remediation decision states otherwise.</w:t>
            </w:r>
          </w:p>
        </w:tc>
      </w:tr>
    </w:tbl>
    <w:p/>
    <w:p>
      <w:pPr>
        <w:pStyle w:val="Heading1"/>
      </w:pPr>
      <w:r>
        <w:t>28. Exceptions</w:t>
      </w:r>
    </w:p>
    <w:p>
      <w:r>
        <w:t>Any temporary departure from this Guideline requires documented Compliance approval, rationale, owner, compensating control and expiry. It does not authorize departure from a substantive underlying regulatory requirement.</w:t>
      </w:r>
    </w:p>
    <w:p>
      <w:pPr>
        <w:pStyle w:val="Heading1"/>
      </w:pPr>
      <w:r>
        <w:t>29. Quality Assurance</w:t>
      </w:r>
    </w:p>
    <w:p>
      <w:r>
        <w:t>Compliance shall periodically review obligation records for missing ownership, stale status, unsupported closure, broken document links, inconsistent effective dates and absent evidence.</w:t>
      </w:r>
    </w:p>
    <w:p>
      <w:pPr>
        <w:pStyle w:val="Heading1"/>
      </w:pPr>
      <w:r>
        <w:t>30. Management Information</w:t>
      </w:r>
    </w:p>
    <w:p>
      <w:r>
        <w:t>Minimum MI includes open RC3/RC4 changes, overdue actions, changes within 30 days of effective date, mapped control failures, examination items, repeat breaches and unresolved applicability questions.</w:t>
      </w:r>
    </w:p>
    <w:p>
      <w:r>
        <w:br w:type="page"/>
      </w:r>
    </w:p>
    <w:p>
      <w:pPr>
        <w:pStyle w:val="Heading1"/>
      </w:pPr>
      <w:r>
        <w:t>Appendix A — Regulatory Change Impact Assessment</w:t>
      </w:r>
    </w:p>
    <w:p>
      <w:r>
        <w:t>Use this matrix to structure RC2–RC4 assessments.</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vAlign w:val="center"/>
            <w:shd w:fill="17365D"/>
          </w:tcPr>
          <w:p>
            <w:r/>
            <w:r>
              <w:rPr>
                <w:b/>
                <w:color w:val="FFFFFF"/>
                <w:sz w:val="15"/>
              </w:rPr>
              <w:t>Dimension</w:t>
            </w:r>
          </w:p>
        </w:tc>
        <w:tc>
          <w:tcPr>
            <w:tcW w:type="dxa" w:w="2585"/>
            <w:vAlign w:val="center"/>
            <w:shd w:fill="17365D"/>
          </w:tcPr>
          <w:p>
            <w:r/>
            <w:r>
              <w:rPr>
                <w:b/>
                <w:color w:val="FFFFFF"/>
                <w:sz w:val="15"/>
              </w:rPr>
              <w:t>Low</w:t>
            </w:r>
          </w:p>
        </w:tc>
        <w:tc>
          <w:tcPr>
            <w:tcW w:type="dxa" w:w="2585"/>
            <w:vAlign w:val="center"/>
            <w:shd w:fill="17365D"/>
          </w:tcPr>
          <w:p>
            <w:r/>
            <w:r>
              <w:rPr>
                <w:b/>
                <w:color w:val="FFFFFF"/>
                <w:sz w:val="15"/>
              </w:rPr>
              <w:t>Medium</w:t>
            </w:r>
          </w:p>
        </w:tc>
        <w:tc>
          <w:tcPr>
            <w:tcW w:type="dxa" w:w="2585"/>
            <w:vAlign w:val="center"/>
            <w:shd w:fill="17365D"/>
          </w:tcPr>
          <w:p>
            <w:r/>
            <w:r>
              <w:rPr>
                <w:b/>
                <w:color w:val="FFFFFF"/>
                <w:sz w:val="15"/>
              </w:rPr>
              <w:t>High</w:t>
            </w:r>
          </w:p>
        </w:tc>
      </w:tr>
      <w:tr>
        <w:tc>
          <w:tcPr>
            <w:tcW w:type="dxa" w:w="2585"/>
            <w:vAlign w:val="center"/>
          </w:tcPr>
          <w:p>
            <w:r/>
            <w:r>
              <w:rPr>
                <w:b w:val="0"/>
                <w:sz w:val="14"/>
              </w:rPr>
              <w:t>Customer</w:t>
            </w:r>
          </w:p>
        </w:tc>
        <w:tc>
          <w:tcPr>
            <w:tcW w:type="dxa" w:w="2585"/>
            <w:vAlign w:val="center"/>
          </w:tcPr>
          <w:p>
            <w:r/>
            <w:r>
              <w:rPr>
                <w:b w:val="0"/>
                <w:sz w:val="14"/>
              </w:rPr>
              <w:t>No material customer effect</w:t>
            </w:r>
          </w:p>
        </w:tc>
        <w:tc>
          <w:tcPr>
            <w:tcW w:type="dxa" w:w="2585"/>
            <w:vAlign w:val="center"/>
          </w:tcPr>
          <w:p>
            <w:r/>
            <w:r>
              <w:rPr>
                <w:b w:val="0"/>
                <w:sz w:val="14"/>
              </w:rPr>
              <w:t>Limited segment/process impact</w:t>
            </w:r>
          </w:p>
        </w:tc>
        <w:tc>
          <w:tcPr>
            <w:tcW w:type="dxa" w:w="2585"/>
            <w:vAlign w:val="center"/>
          </w:tcPr>
          <w:p>
            <w:r/>
            <w:r>
              <w:rPr>
                <w:b w:val="0"/>
                <w:sz w:val="14"/>
              </w:rPr>
              <w:t>Broad customer outcome or remediation risk</w:t>
            </w:r>
          </w:p>
        </w:tc>
      </w:tr>
      <w:tr>
        <w:tc>
          <w:tcPr>
            <w:tcW w:type="dxa" w:w="2585"/>
            <w:vAlign w:val="center"/>
          </w:tcPr>
          <w:p>
            <w:r/>
            <w:r>
              <w:rPr>
                <w:b w:val="0"/>
                <w:sz w:val="14"/>
              </w:rPr>
              <w:t>Product</w:t>
            </w:r>
          </w:p>
        </w:tc>
        <w:tc>
          <w:tcPr>
            <w:tcW w:type="dxa" w:w="2585"/>
            <w:vAlign w:val="center"/>
          </w:tcPr>
          <w:p>
            <w:r/>
            <w:r>
              <w:rPr>
                <w:b w:val="0"/>
                <w:sz w:val="14"/>
              </w:rPr>
              <w:t>No change</w:t>
            </w:r>
          </w:p>
        </w:tc>
        <w:tc>
          <w:tcPr>
            <w:tcW w:type="dxa" w:w="2585"/>
            <w:vAlign w:val="center"/>
          </w:tcPr>
          <w:p>
            <w:r/>
            <w:r>
              <w:rPr>
                <w:b w:val="0"/>
                <w:sz w:val="14"/>
              </w:rPr>
              <w:t>Parameter/process update</w:t>
            </w:r>
          </w:p>
        </w:tc>
        <w:tc>
          <w:tcPr>
            <w:tcW w:type="dxa" w:w="2585"/>
            <w:vAlign w:val="center"/>
          </w:tcPr>
          <w:p>
            <w:r/>
            <w:r>
              <w:rPr>
                <w:b w:val="0"/>
                <w:sz w:val="14"/>
              </w:rPr>
              <w:t>Eligibility, pricing, disclosure or product design change</w:t>
            </w:r>
          </w:p>
        </w:tc>
      </w:tr>
      <w:tr>
        <w:tc>
          <w:tcPr>
            <w:tcW w:type="dxa" w:w="2585"/>
            <w:vAlign w:val="center"/>
          </w:tcPr>
          <w:p>
            <w:r/>
            <w:r>
              <w:rPr>
                <w:b w:val="0"/>
                <w:sz w:val="14"/>
              </w:rPr>
              <w:t>Systems</w:t>
            </w:r>
          </w:p>
        </w:tc>
        <w:tc>
          <w:tcPr>
            <w:tcW w:type="dxa" w:w="2585"/>
            <w:vAlign w:val="center"/>
          </w:tcPr>
          <w:p>
            <w:r/>
            <w:r>
              <w:rPr>
                <w:b w:val="0"/>
                <w:sz w:val="14"/>
              </w:rPr>
              <w:t>Configuration only</w:t>
            </w:r>
          </w:p>
        </w:tc>
        <w:tc>
          <w:tcPr>
            <w:tcW w:type="dxa" w:w="2585"/>
            <w:vAlign w:val="center"/>
          </w:tcPr>
          <w:p>
            <w:r/>
            <w:r>
              <w:rPr>
                <w:b w:val="0"/>
                <w:sz w:val="14"/>
              </w:rPr>
              <w:t>Multiple system changes</w:t>
            </w:r>
          </w:p>
        </w:tc>
        <w:tc>
          <w:tcPr>
            <w:tcW w:type="dxa" w:w="2585"/>
            <w:vAlign w:val="center"/>
          </w:tcPr>
          <w:p>
            <w:r/>
            <w:r>
              <w:rPr>
                <w:b w:val="0"/>
                <w:sz w:val="14"/>
              </w:rPr>
              <w:t>Core platform/data-model redesign</w:t>
            </w:r>
          </w:p>
        </w:tc>
      </w:tr>
      <w:tr>
        <w:tc>
          <w:tcPr>
            <w:tcW w:type="dxa" w:w="2585"/>
            <w:vAlign w:val="center"/>
          </w:tcPr>
          <w:p>
            <w:r/>
            <w:r>
              <w:rPr>
                <w:b w:val="0"/>
                <w:sz w:val="14"/>
              </w:rPr>
              <w:t>Operations</w:t>
            </w:r>
          </w:p>
        </w:tc>
        <w:tc>
          <w:tcPr>
            <w:tcW w:type="dxa" w:w="2585"/>
            <w:vAlign w:val="center"/>
          </w:tcPr>
          <w:p>
            <w:r/>
            <w:r>
              <w:rPr>
                <w:b w:val="0"/>
                <w:sz w:val="14"/>
              </w:rPr>
              <w:t>Single team</w:t>
            </w:r>
          </w:p>
        </w:tc>
        <w:tc>
          <w:tcPr>
            <w:tcW w:type="dxa" w:w="2585"/>
            <w:vAlign w:val="center"/>
          </w:tcPr>
          <w:p>
            <w:r/>
            <w:r>
              <w:rPr>
                <w:b w:val="0"/>
                <w:sz w:val="14"/>
              </w:rPr>
              <w:t>Multiple teams</w:t>
            </w:r>
          </w:p>
        </w:tc>
        <w:tc>
          <w:tcPr>
            <w:tcW w:type="dxa" w:w="2585"/>
            <w:vAlign w:val="center"/>
          </w:tcPr>
          <w:p>
            <w:r/>
            <w:r>
              <w:rPr>
                <w:b w:val="0"/>
                <w:sz w:val="14"/>
              </w:rPr>
              <w:t>Enterprise operating model</w:t>
            </w:r>
          </w:p>
        </w:tc>
      </w:tr>
      <w:tr>
        <w:tc>
          <w:tcPr>
            <w:tcW w:type="dxa" w:w="2585"/>
            <w:vAlign w:val="center"/>
          </w:tcPr>
          <w:p>
            <w:r/>
            <w:r>
              <w:rPr>
                <w:b w:val="0"/>
                <w:sz w:val="14"/>
              </w:rPr>
              <w:t>Third party</w:t>
            </w:r>
          </w:p>
        </w:tc>
        <w:tc>
          <w:tcPr>
            <w:tcW w:type="dxa" w:w="2585"/>
            <w:vAlign w:val="center"/>
          </w:tcPr>
          <w:p>
            <w:r/>
            <w:r>
              <w:rPr>
                <w:b w:val="0"/>
                <w:sz w:val="14"/>
              </w:rPr>
              <w:t>None</w:t>
            </w:r>
          </w:p>
        </w:tc>
        <w:tc>
          <w:tcPr>
            <w:tcW w:type="dxa" w:w="2585"/>
            <w:vAlign w:val="center"/>
          </w:tcPr>
          <w:p>
            <w:r/>
            <w:r>
              <w:rPr>
                <w:b w:val="0"/>
                <w:sz w:val="14"/>
              </w:rPr>
              <w:t>Contract/control update</w:t>
            </w:r>
          </w:p>
        </w:tc>
        <w:tc>
          <w:tcPr>
            <w:tcW w:type="dxa" w:w="2585"/>
            <w:vAlign w:val="center"/>
          </w:tcPr>
          <w:p>
            <w:r/>
            <w:r>
              <w:rPr>
                <w:b w:val="0"/>
                <w:sz w:val="14"/>
              </w:rPr>
              <w:t>Critical vendor/service redesign</w:t>
            </w:r>
          </w:p>
        </w:tc>
      </w:tr>
      <w:tr>
        <w:tc>
          <w:tcPr>
            <w:tcW w:type="dxa" w:w="2585"/>
            <w:vAlign w:val="center"/>
          </w:tcPr>
          <w:p>
            <w:r/>
            <w:r>
              <w:rPr>
                <w:b w:val="0"/>
                <w:sz w:val="14"/>
              </w:rPr>
              <w:t>Timing</w:t>
            </w:r>
          </w:p>
        </w:tc>
        <w:tc>
          <w:tcPr>
            <w:tcW w:type="dxa" w:w="2585"/>
            <w:vAlign w:val="center"/>
          </w:tcPr>
          <w:p>
            <w:r/>
            <w:r>
              <w:rPr>
                <w:b w:val="0"/>
                <w:sz w:val="14"/>
              </w:rPr>
              <w:t>&gt;90 days</w:t>
            </w:r>
          </w:p>
        </w:tc>
        <w:tc>
          <w:tcPr>
            <w:tcW w:type="dxa" w:w="2585"/>
            <w:vAlign w:val="center"/>
          </w:tcPr>
          <w:p>
            <w:r/>
            <w:r>
              <w:rPr>
                <w:b w:val="0"/>
                <w:sz w:val="14"/>
              </w:rPr>
              <w:t>30–90 days</w:t>
            </w:r>
          </w:p>
        </w:tc>
        <w:tc>
          <w:tcPr>
            <w:tcW w:type="dxa" w:w="2585"/>
            <w:vAlign w:val="center"/>
          </w:tcPr>
          <w:p>
            <w:r/>
            <w:r>
              <w:rPr>
                <w:b w:val="0"/>
                <w:sz w:val="14"/>
              </w:rPr>
              <w:t>&lt;30 days / immediate</w:t>
            </w:r>
          </w:p>
        </w:tc>
      </w:tr>
    </w:tbl>
    <w:p/>
    <w:p>
      <w:r>
        <w:br w:type="page"/>
      </w:r>
    </w:p>
    <w:p>
      <w:pPr>
        <w:pStyle w:val="Heading1"/>
      </w:pPr>
      <w:r>
        <w:t>Appendix B — Regulatory Obligation Register Fields</w:t>
      </w:r>
    </w:p>
    <w:p>
      <w:r>
        <w:t>The controlled obligation inventory should support traceability.</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Field</w:t>
            </w:r>
          </w:p>
        </w:tc>
        <w:tc>
          <w:tcPr>
            <w:tcW w:type="dxa" w:w="5170"/>
            <w:vAlign w:val="center"/>
            <w:shd w:fill="17365D"/>
          </w:tcPr>
          <w:p>
            <w:r/>
            <w:r>
              <w:rPr>
                <w:b/>
                <w:color w:val="FFFFFF"/>
                <w:sz w:val="15"/>
              </w:rPr>
              <w:t>Description</w:t>
            </w:r>
          </w:p>
        </w:tc>
      </w:tr>
      <w:tr>
        <w:tc>
          <w:tcPr>
            <w:tcW w:type="dxa" w:w="5170"/>
            <w:vAlign w:val="center"/>
          </w:tcPr>
          <w:p>
            <w:r/>
            <w:r>
              <w:rPr>
                <w:b w:val="0"/>
                <w:sz w:val="14"/>
              </w:rPr>
              <w:t>Obligation ID</w:t>
            </w:r>
          </w:p>
        </w:tc>
        <w:tc>
          <w:tcPr>
            <w:tcW w:type="dxa" w:w="5170"/>
            <w:vAlign w:val="center"/>
          </w:tcPr>
          <w:p>
            <w:r/>
            <w:r>
              <w:rPr>
                <w:b w:val="0"/>
                <w:sz w:val="14"/>
              </w:rPr>
              <w:t>Unique internal identifier.</w:t>
            </w:r>
          </w:p>
        </w:tc>
      </w:tr>
      <w:tr>
        <w:tc>
          <w:tcPr>
            <w:tcW w:type="dxa" w:w="5170"/>
            <w:vAlign w:val="center"/>
          </w:tcPr>
          <w:p>
            <w:r/>
            <w:r>
              <w:rPr>
                <w:b w:val="0"/>
                <w:sz w:val="14"/>
              </w:rPr>
              <w:t>Source / reference</w:t>
            </w:r>
          </w:p>
        </w:tc>
        <w:tc>
          <w:tcPr>
            <w:tcW w:type="dxa" w:w="5170"/>
            <w:vAlign w:val="center"/>
          </w:tcPr>
          <w:p>
            <w:r/>
            <w:r>
              <w:rPr>
                <w:b w:val="0"/>
                <w:sz w:val="14"/>
              </w:rPr>
              <w:t>External source and version/date.</w:t>
            </w:r>
          </w:p>
        </w:tc>
      </w:tr>
      <w:tr>
        <w:tc>
          <w:tcPr>
            <w:tcW w:type="dxa" w:w="5170"/>
            <w:vAlign w:val="center"/>
          </w:tcPr>
          <w:p>
            <w:r/>
            <w:r>
              <w:rPr>
                <w:b w:val="0"/>
                <w:sz w:val="14"/>
              </w:rPr>
              <w:t>Applicability</w:t>
            </w:r>
          </w:p>
        </w:tc>
        <w:tc>
          <w:tcPr>
            <w:tcW w:type="dxa" w:w="5170"/>
            <w:vAlign w:val="center"/>
          </w:tcPr>
          <w:p>
            <w:r/>
            <w:r>
              <w:rPr>
                <w:b w:val="0"/>
                <w:sz w:val="14"/>
              </w:rPr>
              <w:t>Why it applies and to which business/activity.</w:t>
            </w:r>
          </w:p>
        </w:tc>
      </w:tr>
      <w:tr>
        <w:tc>
          <w:tcPr>
            <w:tcW w:type="dxa" w:w="5170"/>
            <w:vAlign w:val="center"/>
          </w:tcPr>
          <w:p>
            <w:r/>
            <w:r>
              <w:rPr>
                <w:b w:val="0"/>
                <w:sz w:val="14"/>
              </w:rPr>
              <w:t>Internal interpretation</w:t>
            </w:r>
          </w:p>
        </w:tc>
        <w:tc>
          <w:tcPr>
            <w:tcW w:type="dxa" w:w="5170"/>
            <w:vAlign w:val="center"/>
          </w:tcPr>
          <w:p>
            <w:r/>
            <w:r>
              <w:rPr>
                <w:b w:val="0"/>
                <w:sz w:val="14"/>
              </w:rPr>
              <w:t>Approved concise meaning.</w:t>
            </w:r>
          </w:p>
        </w:tc>
      </w:tr>
      <w:tr>
        <w:tc>
          <w:tcPr>
            <w:tcW w:type="dxa" w:w="5170"/>
            <w:vAlign w:val="center"/>
          </w:tcPr>
          <w:p>
            <w:r/>
            <w:r>
              <w:rPr>
                <w:b w:val="0"/>
                <w:sz w:val="14"/>
              </w:rPr>
              <w:t>Owner</w:t>
            </w:r>
          </w:p>
        </w:tc>
        <w:tc>
          <w:tcPr>
            <w:tcW w:type="dxa" w:w="5170"/>
            <w:vAlign w:val="center"/>
          </w:tcPr>
          <w:p>
            <w:r/>
            <w:r>
              <w:rPr>
                <w:b w:val="0"/>
                <w:sz w:val="14"/>
              </w:rPr>
              <w:t>Accountable executive/function.</w:t>
            </w:r>
          </w:p>
        </w:tc>
      </w:tr>
      <w:tr>
        <w:tc>
          <w:tcPr>
            <w:tcW w:type="dxa" w:w="5170"/>
            <w:vAlign w:val="center"/>
          </w:tcPr>
          <w:p>
            <w:r/>
            <w:r>
              <w:rPr>
                <w:b w:val="0"/>
                <w:sz w:val="14"/>
              </w:rPr>
              <w:t>Controls</w:t>
            </w:r>
          </w:p>
        </w:tc>
        <w:tc>
          <w:tcPr>
            <w:tcW w:type="dxa" w:w="5170"/>
            <w:vAlign w:val="center"/>
          </w:tcPr>
          <w:p>
            <w:r/>
            <w:r>
              <w:rPr>
                <w:b w:val="0"/>
                <w:sz w:val="14"/>
              </w:rPr>
              <w:t>Mapped control IDs/processes.</w:t>
            </w:r>
          </w:p>
        </w:tc>
      </w:tr>
      <w:tr>
        <w:tc>
          <w:tcPr>
            <w:tcW w:type="dxa" w:w="5170"/>
            <w:vAlign w:val="center"/>
          </w:tcPr>
          <w:p>
            <w:r/>
            <w:r>
              <w:rPr>
                <w:b w:val="0"/>
                <w:sz w:val="14"/>
              </w:rPr>
              <w:t>Documents</w:t>
            </w:r>
          </w:p>
        </w:tc>
        <w:tc>
          <w:tcPr>
            <w:tcW w:type="dxa" w:w="5170"/>
            <w:vAlign w:val="center"/>
          </w:tcPr>
          <w:p>
            <w:r/>
            <w:r>
              <w:rPr>
                <w:b w:val="0"/>
                <w:sz w:val="14"/>
              </w:rPr>
              <w:t>Controlled policy/procedure links.</w:t>
            </w:r>
          </w:p>
        </w:tc>
      </w:tr>
      <w:tr>
        <w:tc>
          <w:tcPr>
            <w:tcW w:type="dxa" w:w="5170"/>
            <w:vAlign w:val="center"/>
          </w:tcPr>
          <w:p>
            <w:r/>
            <w:r>
              <w:rPr>
                <w:b w:val="0"/>
                <w:sz w:val="14"/>
              </w:rPr>
              <w:t>Evidence</w:t>
            </w:r>
          </w:p>
        </w:tc>
        <w:tc>
          <w:tcPr>
            <w:tcW w:type="dxa" w:w="5170"/>
            <w:vAlign w:val="center"/>
          </w:tcPr>
          <w:p>
            <w:r/>
            <w:r>
              <w:rPr>
                <w:b w:val="0"/>
                <w:sz w:val="14"/>
              </w:rPr>
              <w:t>Operating evidence source.</w:t>
            </w:r>
          </w:p>
        </w:tc>
      </w:tr>
      <w:tr>
        <w:tc>
          <w:tcPr>
            <w:tcW w:type="dxa" w:w="5170"/>
            <w:vAlign w:val="center"/>
          </w:tcPr>
          <w:p>
            <w:r/>
            <w:r>
              <w:rPr>
                <w:b w:val="0"/>
                <w:sz w:val="14"/>
              </w:rPr>
              <w:t>Effective date</w:t>
            </w:r>
          </w:p>
        </w:tc>
        <w:tc>
          <w:tcPr>
            <w:tcW w:type="dxa" w:w="5170"/>
            <w:vAlign w:val="center"/>
          </w:tcPr>
          <w:p>
            <w:r/>
            <w:r>
              <w:rPr>
                <w:b w:val="0"/>
                <w:sz w:val="14"/>
              </w:rPr>
              <w:t>Relevant implementation date.</w:t>
            </w:r>
          </w:p>
        </w:tc>
      </w:tr>
      <w:tr>
        <w:tc>
          <w:tcPr>
            <w:tcW w:type="dxa" w:w="5170"/>
            <w:vAlign w:val="center"/>
          </w:tcPr>
          <w:p>
            <w:r/>
            <w:r>
              <w:rPr>
                <w:b w:val="0"/>
                <w:sz w:val="14"/>
              </w:rPr>
              <w:t>Status</w:t>
            </w:r>
          </w:p>
        </w:tc>
        <w:tc>
          <w:tcPr>
            <w:tcW w:type="dxa" w:w="5170"/>
            <w:vAlign w:val="center"/>
          </w:tcPr>
          <w:p>
            <w:r/>
            <w:r>
              <w:rPr>
                <w:b w:val="0"/>
                <w:sz w:val="14"/>
              </w:rPr>
              <w:t>Implemented/open/partial/exception/breach.</w:t>
            </w:r>
          </w:p>
        </w:tc>
      </w:tr>
      <w:tr>
        <w:tc>
          <w:tcPr>
            <w:tcW w:type="dxa" w:w="5170"/>
            <w:vAlign w:val="center"/>
          </w:tcPr>
          <w:p>
            <w:r/>
            <w:r>
              <w:rPr>
                <w:b w:val="0"/>
                <w:sz w:val="14"/>
              </w:rPr>
              <w:t>Last review</w:t>
            </w:r>
          </w:p>
        </w:tc>
        <w:tc>
          <w:tcPr>
            <w:tcW w:type="dxa" w:w="5170"/>
            <w:vAlign w:val="center"/>
          </w:tcPr>
          <w:p>
            <w:r/>
            <w:r>
              <w:rPr>
                <w:b w:val="0"/>
                <w:sz w:val="14"/>
              </w:rPr>
              <w:t>Date and reviewer.</w:t>
            </w:r>
          </w:p>
        </w:tc>
      </w:tr>
      <w:tr>
        <w:tc>
          <w:tcPr>
            <w:tcW w:type="dxa" w:w="5170"/>
            <w:vAlign w:val="center"/>
          </w:tcPr>
          <w:p>
            <w:r/>
            <w:r>
              <w:rPr>
                <w:b w:val="0"/>
                <w:sz w:val="14"/>
              </w:rPr>
              <w:t>Next review</w:t>
            </w:r>
          </w:p>
        </w:tc>
        <w:tc>
          <w:tcPr>
            <w:tcW w:type="dxa" w:w="5170"/>
            <w:vAlign w:val="center"/>
          </w:tcPr>
          <w:p>
            <w:r/>
            <w:r>
              <w:rPr>
                <w:b w:val="0"/>
                <w:sz w:val="14"/>
              </w:rPr>
              <w:t>Scheduled reassessment.</w:t>
            </w:r>
          </w:p>
        </w:tc>
      </w:tr>
    </w:tbl>
    <w:p/>
    <w:p>
      <w:r>
        <w:br w:type="page"/>
      </w:r>
    </w:p>
    <w:p>
      <w:pPr>
        <w:pStyle w:val="Heading1"/>
      </w:pPr>
      <w:r>
        <w:t>Appendix C — Examination Readiness Checklist</w:t>
      </w:r>
    </w:p>
    <w:p>
      <w:r>
        <w:t>Departments should be able to produce a coherent evidence chain.</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Area</w:t>
            </w:r>
          </w:p>
        </w:tc>
        <w:tc>
          <w:tcPr>
            <w:tcW w:type="dxa" w:w="5170"/>
            <w:vAlign w:val="center"/>
            <w:shd w:fill="17365D"/>
          </w:tcPr>
          <w:p>
            <w:r/>
            <w:r>
              <w:rPr>
                <w:b/>
                <w:color w:val="FFFFFF"/>
                <w:sz w:val="15"/>
              </w:rPr>
              <w:t>Evidence / Question</w:t>
            </w:r>
          </w:p>
        </w:tc>
      </w:tr>
      <w:tr>
        <w:tc>
          <w:tcPr>
            <w:tcW w:type="dxa" w:w="5170"/>
            <w:vAlign w:val="center"/>
          </w:tcPr>
          <w:p>
            <w:r/>
            <w:r>
              <w:rPr>
                <w:b w:val="0"/>
                <w:sz w:val="14"/>
              </w:rPr>
              <w:t>Governance</w:t>
            </w:r>
          </w:p>
        </w:tc>
        <w:tc>
          <w:tcPr>
            <w:tcW w:type="dxa" w:w="5170"/>
            <w:vAlign w:val="center"/>
          </w:tcPr>
          <w:p>
            <w:r/>
            <w:r>
              <w:rPr>
                <w:b w:val="0"/>
                <w:sz w:val="14"/>
              </w:rPr>
              <w:t>Who owns the requirement and who approved the control?</w:t>
            </w:r>
          </w:p>
        </w:tc>
      </w:tr>
      <w:tr>
        <w:tc>
          <w:tcPr>
            <w:tcW w:type="dxa" w:w="5170"/>
            <w:vAlign w:val="center"/>
          </w:tcPr>
          <w:p>
            <w:r/>
            <w:r>
              <w:rPr>
                <w:b w:val="0"/>
                <w:sz w:val="14"/>
              </w:rPr>
              <w:t>Document</w:t>
            </w:r>
          </w:p>
        </w:tc>
        <w:tc>
          <w:tcPr>
            <w:tcW w:type="dxa" w:w="5170"/>
            <w:vAlign w:val="center"/>
          </w:tcPr>
          <w:p>
            <w:r/>
            <w:r>
              <w:rPr>
                <w:b w:val="0"/>
                <w:sz w:val="14"/>
              </w:rPr>
              <w:t>Which version applied on the tested date?</w:t>
            </w:r>
          </w:p>
        </w:tc>
      </w:tr>
      <w:tr>
        <w:tc>
          <w:tcPr>
            <w:tcW w:type="dxa" w:w="5170"/>
            <w:vAlign w:val="center"/>
          </w:tcPr>
          <w:p>
            <w:r/>
            <w:r>
              <w:rPr>
                <w:b w:val="0"/>
                <w:sz w:val="14"/>
              </w:rPr>
              <w:t>Population</w:t>
            </w:r>
          </w:p>
        </w:tc>
        <w:tc>
          <w:tcPr>
            <w:tcW w:type="dxa" w:w="5170"/>
            <w:vAlign w:val="center"/>
          </w:tcPr>
          <w:p>
            <w:r/>
            <w:r>
              <w:rPr>
                <w:b w:val="0"/>
                <w:sz w:val="14"/>
              </w:rPr>
              <w:t>What transactions/customers/actions were in scope?</w:t>
            </w:r>
          </w:p>
        </w:tc>
      </w:tr>
      <w:tr>
        <w:tc>
          <w:tcPr>
            <w:tcW w:type="dxa" w:w="5170"/>
            <w:vAlign w:val="center"/>
          </w:tcPr>
          <w:p>
            <w:r/>
            <w:r>
              <w:rPr>
                <w:b w:val="0"/>
                <w:sz w:val="14"/>
              </w:rPr>
              <w:t>Control</w:t>
            </w:r>
          </w:p>
        </w:tc>
        <w:tc>
          <w:tcPr>
            <w:tcW w:type="dxa" w:w="5170"/>
            <w:vAlign w:val="center"/>
          </w:tcPr>
          <w:p>
            <w:r/>
            <w:r>
              <w:rPr>
                <w:b w:val="0"/>
                <w:sz w:val="14"/>
              </w:rPr>
              <w:t>How does the control prevent or detect failure?</w:t>
            </w:r>
          </w:p>
        </w:tc>
      </w:tr>
      <w:tr>
        <w:tc>
          <w:tcPr>
            <w:tcW w:type="dxa" w:w="5170"/>
            <w:vAlign w:val="center"/>
          </w:tcPr>
          <w:p>
            <w:r/>
            <w:r>
              <w:rPr>
                <w:b w:val="0"/>
                <w:sz w:val="14"/>
              </w:rPr>
              <w:t>Evidence</w:t>
            </w:r>
          </w:p>
        </w:tc>
        <w:tc>
          <w:tcPr>
            <w:tcW w:type="dxa" w:w="5170"/>
            <w:vAlign w:val="center"/>
          </w:tcPr>
          <w:p>
            <w:r/>
            <w:r>
              <w:rPr>
                <w:b w:val="0"/>
                <w:sz w:val="14"/>
              </w:rPr>
              <w:t>Can performance be shown for the period?</w:t>
            </w:r>
          </w:p>
        </w:tc>
      </w:tr>
      <w:tr>
        <w:tc>
          <w:tcPr>
            <w:tcW w:type="dxa" w:w="5170"/>
            <w:vAlign w:val="center"/>
          </w:tcPr>
          <w:p>
            <w:r/>
            <w:r>
              <w:rPr>
                <w:b w:val="0"/>
                <w:sz w:val="14"/>
              </w:rPr>
              <w:t>Exception</w:t>
            </w:r>
          </w:p>
        </w:tc>
        <w:tc>
          <w:tcPr>
            <w:tcW w:type="dxa" w:w="5170"/>
            <w:vAlign w:val="center"/>
          </w:tcPr>
          <w:p>
            <w:r/>
            <w:r>
              <w:rPr>
                <w:b w:val="0"/>
                <w:sz w:val="14"/>
              </w:rPr>
              <w:t>How were deviations authorized and tracked?</w:t>
            </w:r>
          </w:p>
        </w:tc>
      </w:tr>
      <w:tr>
        <w:tc>
          <w:tcPr>
            <w:tcW w:type="dxa" w:w="5170"/>
            <w:vAlign w:val="center"/>
          </w:tcPr>
          <w:p>
            <w:r/>
            <w:r>
              <w:rPr>
                <w:b w:val="0"/>
                <w:sz w:val="14"/>
              </w:rPr>
              <w:t>Breach</w:t>
            </w:r>
          </w:p>
        </w:tc>
        <w:tc>
          <w:tcPr>
            <w:tcW w:type="dxa" w:w="5170"/>
            <w:vAlign w:val="center"/>
          </w:tcPr>
          <w:p>
            <w:r/>
            <w:r>
              <w:rPr>
                <w:b w:val="0"/>
                <w:sz w:val="14"/>
              </w:rPr>
              <w:t>Were failures identified, escalated and remediated?</w:t>
            </w:r>
          </w:p>
        </w:tc>
      </w:tr>
      <w:tr>
        <w:tc>
          <w:tcPr>
            <w:tcW w:type="dxa" w:w="5170"/>
            <w:vAlign w:val="center"/>
          </w:tcPr>
          <w:p>
            <w:r/>
            <w:r>
              <w:rPr>
                <w:b w:val="0"/>
                <w:sz w:val="14"/>
              </w:rPr>
              <w:t>Training</w:t>
            </w:r>
          </w:p>
        </w:tc>
        <w:tc>
          <w:tcPr>
            <w:tcW w:type="dxa" w:w="5170"/>
            <w:vAlign w:val="center"/>
          </w:tcPr>
          <w:p>
            <w:r/>
            <w:r>
              <w:rPr>
                <w:b w:val="0"/>
                <w:sz w:val="14"/>
              </w:rPr>
              <w:t>Were affected staff trained before implementation?</w:t>
            </w:r>
          </w:p>
        </w:tc>
      </w:tr>
    </w:tbl>
    <w:p/>
    <w:p>
      <w:r>
        <w:br w:type="page"/>
      </w:r>
    </w:p>
    <w:p>
      <w:pPr>
        <w:pStyle w:val="Heading1"/>
      </w:pPr>
      <w:r>
        <w:t>Appendix D — Transition Scenarios</w:t>
      </w:r>
    </w:p>
    <w:p>
      <w:r>
        <w:t>These examples illustrate controlled effective-date handling.</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Scenario</w:t>
            </w:r>
          </w:p>
        </w:tc>
        <w:tc>
          <w:tcPr>
            <w:tcW w:type="dxa" w:w="5170"/>
            <w:vAlign w:val="center"/>
            <w:shd w:fill="17365D"/>
          </w:tcPr>
          <w:p>
            <w:r/>
            <w:r>
              <w:rPr>
                <w:b/>
                <w:color w:val="FFFFFF"/>
                <w:sz w:val="15"/>
              </w:rPr>
              <w:t>Required Treatment</w:t>
            </w:r>
          </w:p>
        </w:tc>
      </w:tr>
      <w:tr>
        <w:tc>
          <w:tcPr>
            <w:tcW w:type="dxa" w:w="5170"/>
            <w:vAlign w:val="center"/>
          </w:tcPr>
          <w:p>
            <w:r/>
            <w:r>
              <w:rPr>
                <w:b w:val="0"/>
                <w:sz w:val="14"/>
              </w:rPr>
              <w:t>Policy update effective before workflow release</w:t>
            </w:r>
          </w:p>
        </w:tc>
        <w:tc>
          <w:tcPr>
            <w:tcW w:type="dxa" w:w="5170"/>
            <w:vAlign w:val="center"/>
          </w:tcPr>
          <w:p>
            <w:r/>
            <w:r>
              <w:rPr>
                <w:b w:val="0"/>
                <w:sz w:val="14"/>
              </w:rPr>
              <w:t>Issue approved interim control and migrate workflow on planned date.</w:t>
            </w:r>
          </w:p>
        </w:tc>
      </w:tr>
      <w:tr>
        <w:tc>
          <w:tcPr>
            <w:tcW w:type="dxa" w:w="5170"/>
            <w:vAlign w:val="center"/>
          </w:tcPr>
          <w:p>
            <w:r/>
            <w:r>
              <w:rPr>
                <w:b w:val="0"/>
                <w:sz w:val="14"/>
              </w:rPr>
              <w:t>External interpretation clarified after customer action</w:t>
            </w:r>
          </w:p>
        </w:tc>
        <w:tc>
          <w:tcPr>
            <w:tcW w:type="dxa" w:w="5170"/>
            <w:vAlign w:val="center"/>
          </w:tcPr>
          <w:p>
            <w:r/>
            <w:r>
              <w:rPr>
                <w:b w:val="0"/>
                <w:sz w:val="14"/>
              </w:rPr>
              <w:t>Preserve contemporaneous decision; assess need for remediation under current interpretation.</w:t>
            </w:r>
          </w:p>
        </w:tc>
      </w:tr>
      <w:tr>
        <w:tc>
          <w:tcPr>
            <w:tcW w:type="dxa" w:w="5170"/>
            <w:vAlign w:val="center"/>
          </w:tcPr>
          <w:p>
            <w:r/>
            <w:r>
              <w:rPr>
                <w:b w:val="0"/>
                <w:sz w:val="14"/>
              </w:rPr>
              <w:t>Vendor cannot meet new control by effective date</w:t>
            </w:r>
          </w:p>
        </w:tc>
        <w:tc>
          <w:tcPr>
            <w:tcW w:type="dxa" w:w="5170"/>
            <w:vAlign w:val="center"/>
          </w:tcPr>
          <w:p>
            <w:r/>
            <w:r>
              <w:rPr>
                <w:b w:val="0"/>
                <w:sz w:val="14"/>
              </w:rPr>
              <w:t>Escalate risk; restrict scope, implement compensating control or exit as appropriate.</w:t>
            </w:r>
          </w:p>
        </w:tc>
      </w:tr>
      <w:tr>
        <w:tc>
          <w:tcPr>
            <w:tcW w:type="dxa" w:w="5170"/>
            <w:vAlign w:val="center"/>
          </w:tcPr>
          <w:p>
            <w:r/>
            <w:r>
              <w:rPr>
                <w:b w:val="0"/>
                <w:sz w:val="14"/>
              </w:rPr>
              <w:t>Historical audit asks for old threshold</w:t>
            </w:r>
          </w:p>
        </w:tc>
        <w:tc>
          <w:tcPr>
            <w:tcW w:type="dxa" w:w="5170"/>
            <w:vAlign w:val="center"/>
          </w:tcPr>
          <w:p>
            <w:r/>
            <w:r>
              <w:rPr>
                <w:b w:val="0"/>
                <w:sz w:val="14"/>
              </w:rPr>
              <w:t>Provide version effective at the time, not current threshold.</w:t>
            </w:r>
          </w:p>
        </w:tc>
      </w:tr>
      <w:tr>
        <w:tc>
          <w:tcPr>
            <w:tcW w:type="dxa" w:w="5170"/>
            <w:vAlign w:val="center"/>
          </w:tcPr>
          <w:p>
            <w:r/>
            <w:r>
              <w:rPr>
                <w:b w:val="0"/>
                <w:sz w:val="14"/>
              </w:rPr>
              <w:t>Two departments map same obligation differently</w:t>
            </w:r>
          </w:p>
        </w:tc>
        <w:tc>
          <w:tcPr>
            <w:tcW w:type="dxa" w:w="5170"/>
            <w:vAlign w:val="center"/>
          </w:tcPr>
          <w:p>
            <w:r/>
            <w:r>
              <w:rPr>
                <w:b w:val="0"/>
                <w:sz w:val="14"/>
              </w:rPr>
              <w:t>Compliance coordinates resolution; preserve prior records rather than silently editing history.</w:t>
            </w:r>
          </w:p>
        </w:tc>
      </w:tr>
    </w:tbl>
    <w:p/>
    <w:p>
      <w:r>
        <w:br w:type="page"/>
      </w:r>
    </w:p>
    <w:p>
      <w:pPr>
        <w:pStyle w:val="Heading1"/>
      </w:pPr>
      <w:r>
        <w:t>Appendix E — Regulatory Reporting Maker-Checker Checklist</w:t>
      </w:r>
    </w:p>
    <w:p>
      <w:r>
        <w:t>Use for material internal regulatory reporting obligations.</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17365D"/>
          </w:tcPr>
          <w:p>
            <w:r/>
            <w:r>
              <w:rPr>
                <w:b/>
                <w:color w:val="FFFFFF"/>
                <w:sz w:val="15"/>
              </w:rPr>
              <w:t>Step</w:t>
            </w:r>
          </w:p>
        </w:tc>
        <w:tc>
          <w:tcPr>
            <w:tcW w:type="dxa" w:w="3447"/>
            <w:vAlign w:val="center"/>
            <w:shd w:fill="17365D"/>
          </w:tcPr>
          <w:p>
            <w:r/>
            <w:r>
              <w:rPr>
                <w:b/>
                <w:color w:val="FFFFFF"/>
                <w:sz w:val="15"/>
              </w:rPr>
              <w:t>Maker</w:t>
            </w:r>
          </w:p>
        </w:tc>
        <w:tc>
          <w:tcPr>
            <w:tcW w:type="dxa" w:w="3447"/>
            <w:vAlign w:val="center"/>
            <w:shd w:fill="17365D"/>
          </w:tcPr>
          <w:p>
            <w:r/>
            <w:r>
              <w:rPr>
                <w:b/>
                <w:color w:val="FFFFFF"/>
                <w:sz w:val="15"/>
              </w:rPr>
              <w:t>Checker</w:t>
            </w:r>
          </w:p>
        </w:tc>
      </w:tr>
      <w:tr>
        <w:tc>
          <w:tcPr>
            <w:tcW w:type="dxa" w:w="3447"/>
            <w:vAlign w:val="center"/>
          </w:tcPr>
          <w:p>
            <w:r/>
            <w:r>
              <w:rPr>
                <w:b w:val="0"/>
                <w:sz w:val="14"/>
              </w:rPr>
              <w:t>Population</w:t>
            </w:r>
          </w:p>
        </w:tc>
        <w:tc>
          <w:tcPr>
            <w:tcW w:type="dxa" w:w="3447"/>
            <w:vAlign w:val="center"/>
          </w:tcPr>
          <w:p>
            <w:r/>
            <w:r>
              <w:rPr>
                <w:b w:val="0"/>
                <w:sz w:val="14"/>
              </w:rPr>
              <w:t>Extract complete in-scope data</w:t>
            </w:r>
          </w:p>
        </w:tc>
        <w:tc>
          <w:tcPr>
            <w:tcW w:type="dxa" w:w="3447"/>
            <w:vAlign w:val="center"/>
          </w:tcPr>
          <w:p>
            <w:r/>
            <w:r>
              <w:rPr>
                <w:b w:val="0"/>
                <w:sz w:val="14"/>
              </w:rPr>
              <w:t>Confirm scope logic and period</w:t>
            </w:r>
          </w:p>
        </w:tc>
      </w:tr>
      <w:tr>
        <w:tc>
          <w:tcPr>
            <w:tcW w:type="dxa" w:w="3447"/>
            <w:vAlign w:val="center"/>
          </w:tcPr>
          <w:p>
            <w:r/>
            <w:r>
              <w:rPr>
                <w:b w:val="0"/>
                <w:sz w:val="14"/>
              </w:rPr>
              <w:t>Transform</w:t>
            </w:r>
          </w:p>
        </w:tc>
        <w:tc>
          <w:tcPr>
            <w:tcW w:type="dxa" w:w="3447"/>
            <w:vAlign w:val="center"/>
          </w:tcPr>
          <w:p>
            <w:r/>
            <w:r>
              <w:rPr>
                <w:b w:val="0"/>
                <w:sz w:val="14"/>
              </w:rPr>
              <w:t>Apply approved calculations</w:t>
            </w:r>
          </w:p>
        </w:tc>
        <w:tc>
          <w:tcPr>
            <w:tcW w:type="dxa" w:w="3447"/>
            <w:vAlign w:val="center"/>
          </w:tcPr>
          <w:p>
            <w:r/>
            <w:r>
              <w:rPr>
                <w:b w:val="0"/>
                <w:sz w:val="14"/>
              </w:rPr>
              <w:t>Reperform sample / reconcile totals</w:t>
            </w:r>
          </w:p>
        </w:tc>
      </w:tr>
      <w:tr>
        <w:tc>
          <w:tcPr>
            <w:tcW w:type="dxa" w:w="3447"/>
            <w:vAlign w:val="center"/>
          </w:tcPr>
          <w:p>
            <w:r/>
            <w:r>
              <w:rPr>
                <w:b w:val="0"/>
                <w:sz w:val="14"/>
              </w:rPr>
              <w:t>Exceptions</w:t>
            </w:r>
          </w:p>
        </w:tc>
        <w:tc>
          <w:tcPr>
            <w:tcW w:type="dxa" w:w="3447"/>
            <w:vAlign w:val="center"/>
          </w:tcPr>
          <w:p>
            <w:r/>
            <w:r>
              <w:rPr>
                <w:b w:val="0"/>
                <w:sz w:val="14"/>
              </w:rPr>
              <w:t>Document exclusions/overrides</w:t>
            </w:r>
          </w:p>
        </w:tc>
        <w:tc>
          <w:tcPr>
            <w:tcW w:type="dxa" w:w="3447"/>
            <w:vAlign w:val="center"/>
          </w:tcPr>
          <w:p>
            <w:r/>
            <w:r>
              <w:rPr>
                <w:b w:val="0"/>
                <w:sz w:val="14"/>
              </w:rPr>
              <w:t>Challenge basis and evidence</w:t>
            </w:r>
          </w:p>
        </w:tc>
      </w:tr>
      <w:tr>
        <w:tc>
          <w:tcPr>
            <w:tcW w:type="dxa" w:w="3447"/>
            <w:vAlign w:val="center"/>
          </w:tcPr>
          <w:p>
            <w:r/>
            <w:r>
              <w:rPr>
                <w:b w:val="0"/>
                <w:sz w:val="14"/>
              </w:rPr>
              <w:t>Approval</w:t>
            </w:r>
          </w:p>
        </w:tc>
        <w:tc>
          <w:tcPr>
            <w:tcW w:type="dxa" w:w="3447"/>
            <w:vAlign w:val="center"/>
          </w:tcPr>
          <w:p>
            <w:r/>
            <w:r>
              <w:rPr>
                <w:b w:val="0"/>
                <w:sz w:val="14"/>
              </w:rPr>
              <w:t>Prepare submission pack</w:t>
            </w:r>
          </w:p>
        </w:tc>
        <w:tc>
          <w:tcPr>
            <w:tcW w:type="dxa" w:w="3447"/>
            <w:vAlign w:val="center"/>
          </w:tcPr>
          <w:p>
            <w:r/>
            <w:r>
              <w:rPr>
                <w:b w:val="0"/>
                <w:sz w:val="14"/>
              </w:rPr>
              <w:t>Confirm sign-off authority</w:t>
            </w:r>
          </w:p>
        </w:tc>
      </w:tr>
      <w:tr>
        <w:tc>
          <w:tcPr>
            <w:tcW w:type="dxa" w:w="3447"/>
            <w:vAlign w:val="center"/>
          </w:tcPr>
          <w:p>
            <w:r/>
            <w:r>
              <w:rPr>
                <w:b w:val="0"/>
                <w:sz w:val="14"/>
              </w:rPr>
              <w:t>Submit</w:t>
            </w:r>
          </w:p>
        </w:tc>
        <w:tc>
          <w:tcPr>
            <w:tcW w:type="dxa" w:w="3447"/>
            <w:vAlign w:val="center"/>
          </w:tcPr>
          <w:p>
            <w:r/>
            <w:r>
              <w:rPr>
                <w:b w:val="0"/>
                <w:sz w:val="14"/>
              </w:rPr>
              <w:t>Use approved channel</w:t>
            </w:r>
          </w:p>
        </w:tc>
        <w:tc>
          <w:tcPr>
            <w:tcW w:type="dxa" w:w="3447"/>
            <w:vAlign w:val="center"/>
          </w:tcPr>
          <w:p>
            <w:r/>
            <w:r>
              <w:rPr>
                <w:b w:val="0"/>
                <w:sz w:val="14"/>
              </w:rPr>
              <w:t>Confirm receipt / archive evidence</w:t>
            </w:r>
          </w:p>
        </w:tc>
      </w:tr>
      <w:tr>
        <w:tc>
          <w:tcPr>
            <w:tcW w:type="dxa" w:w="3447"/>
            <w:vAlign w:val="center"/>
          </w:tcPr>
          <w:p>
            <w:r/>
            <w:r>
              <w:rPr>
                <w:b w:val="0"/>
                <w:sz w:val="14"/>
              </w:rPr>
              <w:t>Correct</w:t>
            </w:r>
          </w:p>
        </w:tc>
        <w:tc>
          <w:tcPr>
            <w:tcW w:type="dxa" w:w="3447"/>
            <w:vAlign w:val="center"/>
          </w:tcPr>
          <w:p>
            <w:r/>
            <w:r>
              <w:rPr>
                <w:b w:val="0"/>
                <w:sz w:val="14"/>
              </w:rPr>
              <w:t>Raise issue for errors</w:t>
            </w:r>
          </w:p>
        </w:tc>
        <w:tc>
          <w:tcPr>
            <w:tcW w:type="dxa" w:w="3447"/>
            <w:vAlign w:val="center"/>
          </w:tcPr>
          <w:p>
            <w:r/>
            <w:r>
              <w:rPr>
                <w:b w:val="0"/>
                <w:sz w:val="14"/>
              </w:rPr>
              <w:t>Assess breach/customer impact</w:t>
            </w:r>
          </w:p>
        </w:tc>
      </w:tr>
    </w:tbl>
    <w:p/>
    <w:sectPr w:rsidR="00FC693F" w:rsidRPr="0006063C" w:rsidSect="00034616">
      <w:headerReference w:type="default" r:id="rId9"/>
      <w:footerReference w:type="default" r:id="rId10"/>
      <w:pgSz w:w="12240" w:h="15840"/>
      <w:pgMar w:top="864" w:right="950" w:bottom="821"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2"/>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