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365D"/>
          <w:sz w:val="30"/>
        </w:rPr>
        <w:t>NORTHSTAR FINANCIAL</w:t>
      </w:r>
    </w:p>
    <w:p>
      <w:pPr>
        <w:jc w:val="center"/>
      </w:pPr>
      <w:r>
        <w:rPr>
          <w:b/>
          <w:color w:val="17365D"/>
          <w:sz w:val="42"/>
        </w:rPr>
        <w:t>Investment Delegation Schedule</w:t>
      </w:r>
    </w:p>
    <w:p>
      <w:pPr>
        <w:jc w:val="center"/>
      </w:pPr>
      <w:r>
        <w:rPr>
          <w:sz w:val="20"/>
        </w:rPr>
        <w:t>IDS-042  |  Version 1.1  |  Internal — Restricted</w:t>
      </w:r>
    </w:p>
    <w:p/>
    <w:tbl>
      <w:tblPr>
        <w:tblStyle w:val="TableGrid"/>
        <w:tblW w:type="auto" w:w="0"/>
        <w:jc w:val="center"/>
        <w:tblLook w:firstColumn="1" w:firstRow="1" w:lastColumn="0" w:lastRow="0" w:noHBand="0" w:noVBand="1" w:val="04A0"/>
      </w:tblPr>
      <w:tblGrid>
        <w:gridCol w:w="5155"/>
        <w:gridCol w:w="5155"/>
      </w:tblGrid>
      <w:tr>
        <w:trPr>
          <w:tblHeader w:val="true"/>
          <w:cantSplit/>
        </w:trPr>
        <w:tc>
          <w:tcPr>
            <w:tcW w:type="dxa" w:w="5155"/>
            <w:vAlign w:val="center"/>
            <w:shd w:fill="D9EAF7"/>
          </w:tcPr>
          <w:p>
            <w:r>
              <w:rPr>
                <w:sz w:val="16"/>
              </w:rPr>
            </w:r>
            <w:r>
              <w:rPr>
                <w:b/>
                <w:color w:val="17365D"/>
                <w:sz w:val="17"/>
              </w:rPr>
              <w:t>Document ID</w:t>
            </w:r>
          </w:p>
        </w:tc>
        <w:tc>
          <w:tcPr>
            <w:tcW w:type="dxa" w:w="5155"/>
            <w:vAlign w:val="center"/>
          </w:tcPr>
          <w:p>
            <w:r>
              <w:rPr>
                <w:sz w:val="16"/>
              </w:rPr>
            </w:r>
            <w:r>
              <w:rPr>
                <w:b w:val="0"/>
                <w:sz w:val="17"/>
              </w:rPr>
              <w:t>IDS-042</w:t>
            </w:r>
          </w:p>
        </w:tc>
      </w:tr>
      <w:tr>
        <w:trPr>
          <w:cantSplit/>
        </w:trPr>
        <w:tc>
          <w:tcPr>
            <w:tcW w:type="dxa" w:w="5155"/>
            <w:vAlign w:val="center"/>
            <w:shd w:fill="D9EAF7"/>
          </w:tcPr>
          <w:p>
            <w:r>
              <w:rPr>
                <w:sz w:val="16"/>
              </w:rPr>
            </w:r>
            <w:r>
              <w:rPr>
                <w:b/>
                <w:color w:val="17365D"/>
                <w:sz w:val="17"/>
              </w:rPr>
              <w:t>Document Title</w:t>
            </w:r>
          </w:p>
        </w:tc>
        <w:tc>
          <w:tcPr>
            <w:tcW w:type="dxa" w:w="5155"/>
            <w:vAlign w:val="center"/>
          </w:tcPr>
          <w:p>
            <w:r>
              <w:rPr>
                <w:sz w:val="16"/>
              </w:rPr>
            </w:r>
            <w:r>
              <w:rPr>
                <w:b w:val="0"/>
                <w:sz w:val="17"/>
              </w:rPr>
              <w:t>Investment Delegation Schedule</w:t>
            </w:r>
          </w:p>
        </w:tc>
      </w:tr>
      <w:tr>
        <w:trPr>
          <w:cantSplit/>
        </w:trPr>
        <w:tc>
          <w:tcPr>
            <w:tcW w:type="dxa" w:w="5155"/>
            <w:vAlign w:val="center"/>
            <w:shd w:fill="D9EAF7"/>
          </w:tcPr>
          <w:p>
            <w:r>
              <w:rPr>
                <w:sz w:val="16"/>
              </w:rPr>
            </w:r>
            <w:r>
              <w:rPr>
                <w:b/>
                <w:color w:val="17365D"/>
                <w:sz w:val="17"/>
              </w:rPr>
              <w:t>Version</w:t>
            </w:r>
          </w:p>
        </w:tc>
        <w:tc>
          <w:tcPr>
            <w:tcW w:type="dxa" w:w="5155"/>
            <w:vAlign w:val="center"/>
          </w:tcPr>
          <w:p>
            <w:r>
              <w:rPr>
                <w:sz w:val="16"/>
              </w:rPr>
            </w:r>
            <w:r>
              <w:rPr>
                <w:b w:val="0"/>
                <w:sz w:val="17"/>
              </w:rPr>
              <w:t>1.1</w:t>
            </w:r>
          </w:p>
        </w:tc>
      </w:tr>
      <w:tr>
        <w:trPr>
          <w:cantSplit/>
        </w:trPr>
        <w:tc>
          <w:tcPr>
            <w:tcW w:type="dxa" w:w="5155"/>
            <w:vAlign w:val="center"/>
            <w:shd w:fill="D9EAF7"/>
          </w:tcPr>
          <w:p>
            <w:r>
              <w:rPr>
                <w:sz w:val="16"/>
              </w:rPr>
            </w:r>
            <w:r>
              <w:rPr>
                <w:b/>
                <w:color w:val="17365D"/>
                <w:sz w:val="17"/>
              </w:rPr>
              <w:t>Policy Owner</w:t>
            </w:r>
          </w:p>
        </w:tc>
        <w:tc>
          <w:tcPr>
            <w:tcW w:type="dxa" w:w="5155"/>
            <w:vAlign w:val="center"/>
          </w:tcPr>
          <w:p>
            <w:r>
              <w:rPr>
                <w:sz w:val="16"/>
              </w:rPr>
            </w:r>
            <w:r>
              <w:rPr>
                <w:b w:val="0"/>
                <w:sz w:val="17"/>
              </w:rPr>
              <w:t>Priya Nair — Head of Investment Management</w:t>
            </w:r>
          </w:p>
        </w:tc>
      </w:tr>
      <w:tr>
        <w:trPr>
          <w:cantSplit/>
        </w:trPr>
        <w:tc>
          <w:tcPr>
            <w:tcW w:type="dxa" w:w="5155"/>
            <w:vAlign w:val="center"/>
            <w:shd w:fill="D9EAF7"/>
          </w:tcPr>
          <w:p>
            <w:r>
              <w:rPr>
                <w:sz w:val="16"/>
              </w:rPr>
            </w:r>
            <w:r>
              <w:rPr>
                <w:b/>
                <w:color w:val="17365D"/>
                <w:sz w:val="17"/>
              </w:rPr>
              <w:t>Business Unit</w:t>
            </w:r>
          </w:p>
        </w:tc>
        <w:tc>
          <w:tcPr>
            <w:tcW w:type="dxa" w:w="5155"/>
            <w:vAlign w:val="center"/>
          </w:tcPr>
          <w:p>
            <w:r>
              <w:rPr>
                <w:sz w:val="16"/>
              </w:rPr>
            </w:r>
            <w:r>
              <w:rPr>
                <w:b w:val="0"/>
                <w:sz w:val="17"/>
              </w:rPr>
              <w:t>Investment Management / Treasury</w:t>
            </w:r>
          </w:p>
        </w:tc>
      </w:tr>
      <w:tr>
        <w:trPr>
          <w:cantSplit/>
        </w:trPr>
        <w:tc>
          <w:tcPr>
            <w:tcW w:type="dxa" w:w="5155"/>
            <w:vAlign w:val="center"/>
            <w:shd w:fill="D9EAF7"/>
          </w:tcPr>
          <w:p>
            <w:r>
              <w:rPr>
                <w:sz w:val="16"/>
              </w:rPr>
            </w:r>
            <w:r>
              <w:rPr>
                <w:b/>
                <w:color w:val="17365D"/>
                <w:sz w:val="17"/>
              </w:rPr>
              <w:t>Approving Authority</w:t>
            </w:r>
          </w:p>
        </w:tc>
        <w:tc>
          <w:tcPr>
            <w:tcW w:type="dxa" w:w="5155"/>
            <w:vAlign w:val="center"/>
          </w:tcPr>
          <w:p>
            <w:r>
              <w:rPr>
                <w:sz w:val="16"/>
              </w:rPr>
            </w:r>
            <w:r>
              <w:rPr>
                <w:b w:val="0"/>
                <w:sz w:val="17"/>
              </w:rPr>
              <w:t>Chief Executive Officer and Board Risk Committee</w:t>
            </w:r>
          </w:p>
        </w:tc>
      </w:tr>
      <w:tr>
        <w:trPr>
          <w:cantSplit/>
        </w:trPr>
        <w:tc>
          <w:tcPr>
            <w:tcW w:type="dxa" w:w="5155"/>
            <w:vAlign w:val="center"/>
            <w:shd w:fill="D9EAF7"/>
          </w:tcPr>
          <w:p>
            <w:r>
              <w:rPr>
                <w:sz w:val="16"/>
              </w:rPr>
            </w:r>
            <w:r>
              <w:rPr>
                <w:b/>
                <w:color w:val="17365D"/>
                <w:sz w:val="17"/>
              </w:rPr>
              <w:t>Effective Date</w:t>
            </w:r>
          </w:p>
        </w:tc>
        <w:tc>
          <w:tcPr>
            <w:tcW w:type="dxa" w:w="5155"/>
            <w:vAlign w:val="center"/>
          </w:tcPr>
          <w:p>
            <w:r>
              <w:rPr>
                <w:sz w:val="16"/>
              </w:rPr>
            </w:r>
            <w:r>
              <w:rPr>
                <w:b w:val="0"/>
                <w:sz w:val="17"/>
              </w:rPr>
              <w:t>1 February 2026</w:t>
            </w:r>
          </w:p>
        </w:tc>
      </w:tr>
      <w:tr>
        <w:trPr>
          <w:cantSplit/>
        </w:trPr>
        <w:tc>
          <w:tcPr>
            <w:tcW w:type="dxa" w:w="5155"/>
            <w:vAlign w:val="center"/>
            <w:shd w:fill="D9EAF7"/>
          </w:tcPr>
          <w:p>
            <w:r>
              <w:rPr>
                <w:sz w:val="16"/>
              </w:rPr>
            </w:r>
            <w:r>
              <w:rPr>
                <w:b/>
                <w:color w:val="17365D"/>
                <w:sz w:val="17"/>
              </w:rPr>
              <w:t>Previous Version</w:t>
            </w:r>
          </w:p>
        </w:tc>
        <w:tc>
          <w:tcPr>
            <w:tcW w:type="dxa" w:w="5155"/>
            <w:vAlign w:val="center"/>
          </w:tcPr>
          <w:p>
            <w:r>
              <w:rPr>
                <w:sz w:val="16"/>
              </w:rPr>
            </w:r>
            <w:r>
              <w:rPr>
                <w:b w:val="0"/>
                <w:sz w:val="17"/>
              </w:rPr>
              <w:t>1.0</w:t>
            </w:r>
          </w:p>
        </w:tc>
      </w:tr>
      <w:tr>
        <w:trPr>
          <w:cantSplit/>
        </w:trPr>
        <w:tc>
          <w:tcPr>
            <w:tcW w:type="dxa" w:w="5155"/>
            <w:vAlign w:val="center"/>
            <w:shd w:fill="D9EAF7"/>
          </w:tcPr>
          <w:p>
            <w:r>
              <w:rPr>
                <w:sz w:val="16"/>
              </w:rPr>
            </w:r>
            <w:r>
              <w:rPr>
                <w:b/>
                <w:color w:val="17365D"/>
                <w:sz w:val="17"/>
              </w:rPr>
              <w:t>Review Frequency</w:t>
            </w:r>
          </w:p>
        </w:tc>
        <w:tc>
          <w:tcPr>
            <w:tcW w:type="dxa" w:w="5155"/>
            <w:vAlign w:val="center"/>
          </w:tcPr>
          <w:p>
            <w:r>
              <w:rPr>
                <w:sz w:val="16"/>
              </w:rPr>
            </w:r>
            <w:r>
              <w:rPr>
                <w:b w:val="0"/>
                <w:sz w:val="17"/>
              </w:rPr>
              <w:t>Annual</w:t>
            </w:r>
          </w:p>
        </w:tc>
      </w:tr>
      <w:tr>
        <w:trPr>
          <w:cantSplit/>
        </w:trPr>
        <w:tc>
          <w:tcPr>
            <w:tcW w:type="dxa" w:w="5155"/>
            <w:vAlign w:val="center"/>
            <w:shd w:fill="D9EAF7"/>
          </w:tcPr>
          <w:p>
            <w:r>
              <w:rPr>
                <w:sz w:val="16"/>
              </w:rPr>
            </w:r>
            <w:r>
              <w:rPr>
                <w:b/>
                <w:color w:val="17365D"/>
                <w:sz w:val="17"/>
              </w:rPr>
              <w:t>Classification</w:t>
            </w:r>
          </w:p>
        </w:tc>
        <w:tc>
          <w:tcPr>
            <w:tcW w:type="dxa" w:w="5155"/>
            <w:vAlign w:val="center"/>
          </w:tcPr>
          <w:p>
            <w:r>
              <w:rPr>
                <w:sz w:val="16"/>
              </w:rPr>
            </w:r>
            <w:r>
              <w:rPr>
                <w:b w:val="0"/>
                <w:sz w:val="17"/>
              </w:rPr>
              <w:t>Internal — Restricted</w:t>
            </w:r>
          </w:p>
        </w:tc>
      </w:tr>
      <w:tr>
        <w:trPr>
          <w:cantSplit/>
        </w:trPr>
        <w:tc>
          <w:tcPr>
            <w:tcW w:type="dxa" w:w="5155"/>
            <w:vAlign w:val="center"/>
            <w:shd w:fill="D9EAF7"/>
          </w:tcPr>
          <w:p>
            <w:r>
              <w:rPr>
                <w:sz w:val="16"/>
              </w:rPr>
            </w:r>
            <w:r>
              <w:rPr>
                <w:b/>
                <w:color w:val="17365D"/>
                <w:sz w:val="17"/>
              </w:rPr>
              <w:t>Status</w:t>
            </w:r>
          </w:p>
        </w:tc>
        <w:tc>
          <w:tcPr>
            <w:tcW w:type="dxa" w:w="5155"/>
            <w:vAlign w:val="center"/>
          </w:tcPr>
          <w:p>
            <w:r>
              <w:rPr>
                <w:sz w:val="16"/>
              </w:rPr>
            </w:r>
            <w:r>
              <w:rPr>
                <w:b w:val="0"/>
                <w:sz w:val="17"/>
              </w:rPr>
              <w:t>Approved</w:t>
            </w:r>
          </w:p>
        </w:tc>
      </w:tr>
      <w:tr>
        <w:trPr>
          <w:cantSplit/>
        </w:trPr>
        <w:tc>
          <w:tcPr>
            <w:tcW w:type="dxa" w:w="5155"/>
            <w:vAlign w:val="center"/>
            <w:shd w:fill="D9EAF7"/>
          </w:tcPr>
          <w:p>
            <w:r>
              <w:rPr>
                <w:sz w:val="16"/>
              </w:rPr>
            </w:r>
            <w:r>
              <w:rPr>
                <w:b/>
                <w:color w:val="17365D"/>
                <w:sz w:val="17"/>
              </w:rPr>
              <w:t>Supersedes</w:t>
            </w:r>
          </w:p>
        </w:tc>
        <w:tc>
          <w:tcPr>
            <w:tcW w:type="dxa" w:w="5155"/>
            <w:vAlign w:val="center"/>
          </w:tcPr>
          <w:p>
            <w:r>
              <w:rPr>
                <w:sz w:val="16"/>
              </w:rPr>
            </w:r>
            <w:r>
              <w:rPr>
                <w:b w:val="0"/>
                <w:sz w:val="17"/>
              </w:rPr>
              <w:t>IDS-042 v1.0</w:t>
            </w:r>
          </w:p>
        </w:tc>
      </w:tr>
      <w:tr>
        <w:trPr>
          <w:cantSplit/>
        </w:trPr>
        <w:tc>
          <w:tcPr>
            <w:tcW w:type="dxa" w:w="5155"/>
            <w:vAlign w:val="center"/>
            <w:shd w:fill="D9EAF7"/>
          </w:tcPr>
          <w:p>
            <w:r>
              <w:rPr>
                <w:sz w:val="16"/>
              </w:rPr>
            </w:r>
            <w:r>
              <w:rPr>
                <w:b/>
                <w:color w:val="17365D"/>
                <w:sz w:val="17"/>
              </w:rPr>
              <w:t>Related Documents</w:t>
            </w:r>
          </w:p>
        </w:tc>
        <w:tc>
          <w:tcPr>
            <w:tcW w:type="dxa" w:w="5155"/>
            <w:vAlign w:val="center"/>
          </w:tcPr>
          <w:p>
            <w:r>
              <w:rPr>
                <w:sz w:val="16"/>
              </w:rPr>
            </w:r>
            <w:r>
              <w:rPr>
                <w:b w:val="0"/>
                <w:sz w:val="17"/>
              </w:rPr>
              <w:t>INV-010; IMP-041; RMF-008; RAS-009; CDAS-007</w:t>
            </w:r>
          </w:p>
        </w:tc>
      </w:tr>
    </w:tbl>
    <w:p/>
    <w:p>
      <w:pPr>
        <w:jc w:val="center"/>
      </w:pPr>
      <w:r>
        <w:rPr>
          <w:i/>
          <w:sz w:val="16"/>
        </w:rPr>
        <w:t>Northstar Financial — Synthetic Internal Document. This document is fictional and created solely for educational and software-development purposes. It does not represent an actual financial institution, regulatory requirement, legal obligation, or financial advice.</w:t>
      </w:r>
    </w:p>
    <w:p>
      <w:r>
        <w:br w:type="page"/>
      </w:r>
    </w:p>
    <w:p>
      <w:pPr>
        <w:pStyle w:val="Heading1"/>
      </w:pPr>
      <w:r>
        <w:t>Document Control and Version History</w:t>
      </w:r>
    </w:p>
    <w:tbl>
      <w:tblPr>
        <w:tblStyle w:val="TableGrid"/>
        <w:tblW w:type="auto" w:w="0"/>
        <w:jc w:val="center"/>
        <w:tblLook w:firstColumn="1" w:firstRow="1" w:lastColumn="0" w:lastRow="0" w:noHBand="0" w:noVBand="1" w:val="04A0"/>
      </w:tblPr>
      <w:tblGrid>
        <w:gridCol w:w="2577"/>
        <w:gridCol w:w="2577"/>
        <w:gridCol w:w="2577"/>
        <w:gridCol w:w="2577"/>
      </w:tblGrid>
      <w:tr>
        <w:trPr>
          <w:tblHeader w:val="true"/>
          <w:cantSplit/>
        </w:trPr>
        <w:tc>
          <w:tcPr>
            <w:tcW w:type="dxa" w:w="2577"/>
            <w:vAlign w:val="center"/>
            <w:shd w:fill="17365D"/>
          </w:tcPr>
          <w:p>
            <w:r>
              <w:rPr>
                <w:sz w:val="16"/>
              </w:rPr>
            </w:r>
            <w:r>
              <w:rPr>
                <w:b/>
                <w:color w:val="FFFFFF"/>
                <w:sz w:val="16"/>
              </w:rPr>
              <w:t>Version</w:t>
            </w:r>
          </w:p>
        </w:tc>
        <w:tc>
          <w:tcPr>
            <w:tcW w:type="dxa" w:w="2577"/>
            <w:vAlign w:val="center"/>
            <w:shd w:fill="17365D"/>
          </w:tcPr>
          <w:p>
            <w:r>
              <w:rPr>
                <w:sz w:val="16"/>
              </w:rPr>
            </w:r>
            <w:r>
              <w:rPr>
                <w:b/>
                <w:color w:val="FFFFFF"/>
                <w:sz w:val="16"/>
              </w:rPr>
              <w:t>Effective Date</w:t>
            </w:r>
          </w:p>
        </w:tc>
        <w:tc>
          <w:tcPr>
            <w:tcW w:type="dxa" w:w="2577"/>
            <w:vAlign w:val="center"/>
            <w:shd w:fill="17365D"/>
          </w:tcPr>
          <w:p>
            <w:r>
              <w:rPr>
                <w:sz w:val="16"/>
              </w:rPr>
            </w:r>
            <w:r>
              <w:rPr>
                <w:b/>
                <w:color w:val="FFFFFF"/>
                <w:sz w:val="16"/>
              </w:rPr>
              <w:t>Change Summary</w:t>
            </w:r>
          </w:p>
        </w:tc>
        <w:tc>
          <w:tcPr>
            <w:tcW w:type="dxa" w:w="2577"/>
            <w:vAlign w:val="center"/>
            <w:shd w:fill="17365D"/>
          </w:tcPr>
          <w:p>
            <w:r>
              <w:rPr>
                <w:sz w:val="16"/>
              </w:rPr>
            </w:r>
            <w:r>
              <w:rPr>
                <w:b/>
                <w:color w:val="FFFFFF"/>
                <w:sz w:val="16"/>
              </w:rPr>
              <w:t>Approving Authority</w:t>
            </w:r>
          </w:p>
        </w:tc>
      </w:tr>
      <w:tr>
        <w:trPr>
          <w:cantSplit/>
        </w:trPr>
        <w:tc>
          <w:tcPr>
            <w:tcW w:type="dxa" w:w="2577"/>
            <w:vAlign w:val="center"/>
          </w:tcPr>
          <w:p>
            <w:r>
              <w:rPr>
                <w:sz w:val="16"/>
              </w:rPr>
            </w:r>
            <w:r>
              <w:rPr>
                <w:b w:val="0"/>
                <w:sz w:val="16"/>
              </w:rPr>
              <w:t>1.0</w:t>
            </w:r>
          </w:p>
        </w:tc>
        <w:tc>
          <w:tcPr>
            <w:tcW w:type="dxa" w:w="2577"/>
            <w:vAlign w:val="center"/>
          </w:tcPr>
          <w:p>
            <w:r>
              <w:rPr>
                <w:sz w:val="16"/>
              </w:rPr>
            </w:r>
            <w:r>
              <w:rPr>
                <w:b w:val="0"/>
                <w:sz w:val="16"/>
              </w:rPr>
              <w:t>1 Apr 2025</w:t>
            </w:r>
          </w:p>
        </w:tc>
        <w:tc>
          <w:tcPr>
            <w:tcW w:type="dxa" w:w="2577"/>
            <w:vAlign w:val="center"/>
          </w:tcPr>
          <w:p>
            <w:r>
              <w:rPr>
                <w:sz w:val="16"/>
              </w:rPr>
            </w:r>
            <w:r>
              <w:rPr>
                <w:b w:val="0"/>
                <w:sz w:val="16"/>
              </w:rPr>
              <w:t>Established investment decision levels and committee reserved matters.</w:t>
            </w:r>
          </w:p>
        </w:tc>
        <w:tc>
          <w:tcPr>
            <w:tcW w:type="dxa" w:w="2577"/>
            <w:vAlign w:val="center"/>
          </w:tcPr>
          <w:p>
            <w:r>
              <w:rPr>
                <w:sz w:val="16"/>
              </w:rPr>
            </w:r>
            <w:r>
              <w:rPr>
                <w:b w:val="0"/>
                <w:sz w:val="16"/>
              </w:rPr>
              <w:t>CEO and Board Risk Committee</w:t>
            </w:r>
          </w:p>
        </w:tc>
      </w:tr>
      <w:tr>
        <w:trPr>
          <w:cantSplit/>
        </w:trPr>
        <w:tc>
          <w:tcPr>
            <w:tcW w:type="dxa" w:w="2577"/>
            <w:vAlign w:val="center"/>
          </w:tcPr>
          <w:p>
            <w:r>
              <w:rPr>
                <w:sz w:val="16"/>
              </w:rPr>
            </w:r>
            <w:r>
              <w:rPr>
                <w:b w:val="0"/>
                <w:sz w:val="16"/>
              </w:rPr>
              <w:t>1.1</w:t>
            </w:r>
          </w:p>
        </w:tc>
        <w:tc>
          <w:tcPr>
            <w:tcW w:type="dxa" w:w="2577"/>
            <w:vAlign w:val="center"/>
          </w:tcPr>
          <w:p>
            <w:r>
              <w:rPr>
                <w:sz w:val="16"/>
              </w:rPr>
            </w:r>
            <w:r>
              <w:rPr>
                <w:b w:val="0"/>
                <w:sz w:val="16"/>
              </w:rPr>
              <w:t>1 Feb 2026</w:t>
            </w:r>
          </w:p>
        </w:tc>
        <w:tc>
          <w:tcPr>
            <w:tcW w:type="dxa" w:w="2577"/>
            <w:vAlign w:val="center"/>
          </w:tcPr>
          <w:p>
            <w:r>
              <w:rPr>
                <w:sz w:val="16"/>
              </w:rPr>
            </w:r>
            <w:r>
              <w:rPr>
                <w:b w:val="0"/>
                <w:sz w:val="16"/>
              </w:rPr>
              <w:t>Reduced selected single-trade authorities and aligned exceptions to INV-010 v2.0.</w:t>
            </w:r>
          </w:p>
        </w:tc>
        <w:tc>
          <w:tcPr>
            <w:tcW w:type="dxa" w:w="2577"/>
            <w:vAlign w:val="center"/>
          </w:tcPr>
          <w:p>
            <w:r>
              <w:rPr>
                <w:sz w:val="16"/>
              </w:rPr>
            </w:r>
            <w:r>
              <w:rPr>
                <w:b w:val="0"/>
                <w:sz w:val="16"/>
              </w:rPr>
              <w:t>CEO and Board Risk Committee</w:t>
            </w:r>
          </w:p>
        </w:tc>
      </w:tr>
    </w:tbl>
    <w:p/>
    <w:p>
      <w:r>
        <w:t>Controlled copy status. The version recorded in Northstar Financial’s controlled document library is authoritative. Printed or locally saved copies may be outdated and shall not be relied upon for current decisions without confirming version and effective date.</w:t>
      </w:r>
    </w:p>
    <w:p>
      <w:r>
        <w:t>Hierarchy. Board-approved policies and risk appetite statements prevail over frameworks, standards, procedures, departmental manuals, schedules and forms. A lower-level document may impose a stricter control within its scope. Where a conflict cannot be resolved from scope, effective date or hierarchy, the matter shall be escalated to the document owner before action is taken.</w:t>
      </w:r>
    </w:p>
    <w:p>
      <w:pPr>
        <w:pStyle w:val="Heading1"/>
      </w:pPr>
      <w:r>
        <w:t>1. Purpose</w:t>
      </w:r>
    </w:p>
    <w:p>
      <w:r>
        <w:t>This Schedule assigns monetary and non-monetary authority for investment decisions. It is a controlled authority document. System permissions, prior dealing history, title or verbal direction do not create authority.</w:t>
      </w:r>
    </w:p>
    <w:p>
      <w:pPr>
        <w:pStyle w:val="Heading1"/>
      </w:pPr>
      <w:r>
        <w:t>2. Authority Principles</w:t>
      </w:r>
    </w:p>
    <w:p>
      <w:r>
        <w:t>All conditions below are cumulative.</w:t>
      </w:r>
    </w:p>
    <w:p>
      <w:pPr>
        <w:pStyle w:val="ListBullet"/>
      </w:pPr>
      <w:r>
        <w:t>The instrument and issuer must be eligible under INV-010.</w:t>
      </w:r>
    </w:p>
    <w:p>
      <w:pPr>
        <w:pStyle w:val="ListBullet"/>
      </w:pPr>
      <w:r>
        <w:t>Portfolio and issuer limits must have headroom or a valid pre-approved exception.</w:t>
      </w:r>
    </w:p>
    <w:p>
      <w:pPr>
        <w:pStyle w:val="ListBullet"/>
      </w:pPr>
      <w:r>
        <w:t>The approving individual must hold current delegated authority at the time of decision.</w:t>
      </w:r>
    </w:p>
    <w:p>
      <w:pPr>
        <w:pStyle w:val="ListBullet"/>
      </w:pPr>
      <w:r>
        <w:t>A person may not split transactions to remain within a lower authority level.</w:t>
      </w:r>
    </w:p>
    <w:p>
      <w:pPr>
        <w:pStyle w:val="ListBullet"/>
      </w:pPr>
      <w:r>
        <w:t>Where multiple conditions apply, the highest required authority controls.</w:t>
      </w:r>
    </w:p>
    <w:p>
      <w:pPr>
        <w:pStyle w:val="Heading1"/>
      </w:pPr>
      <w:r>
        <w:t>3. Investment Decision Levels</w:t>
      </w:r>
    </w:p>
    <w:p>
      <w:r>
        <w:t>Decision levels are designated IA1 through IA5.</w:t>
      </w:r>
    </w:p>
    <w:tbl>
      <w:tblPr>
        <w:tblStyle w:val="TableGrid"/>
        <w:tblW w:type="auto" w:w="0"/>
        <w:jc w:val="center"/>
        <w:tblLook w:firstColumn="1" w:firstRow="1" w:lastColumn="0" w:lastRow="0" w:noHBand="0" w:noVBand="1" w:val="04A0"/>
      </w:tblPr>
      <w:tblGrid>
        <w:gridCol w:w="2577"/>
        <w:gridCol w:w="2577"/>
        <w:gridCol w:w="2577"/>
        <w:gridCol w:w="2577"/>
      </w:tblGrid>
      <w:tr>
        <w:trPr>
          <w:tblHeader w:val="true"/>
          <w:cantSplit/>
        </w:trPr>
        <w:tc>
          <w:tcPr>
            <w:tcW w:type="dxa" w:w="2577"/>
            <w:vAlign w:val="center"/>
            <w:shd w:fill="17365D"/>
          </w:tcPr>
          <w:p>
            <w:r>
              <w:rPr>
                <w:sz w:val="16"/>
              </w:rPr>
            </w:r>
            <w:r>
              <w:rPr>
                <w:b/>
                <w:color w:val="FFFFFF"/>
                <w:sz w:val="16"/>
              </w:rPr>
              <w:t>Level</w:t>
            </w:r>
          </w:p>
        </w:tc>
        <w:tc>
          <w:tcPr>
            <w:tcW w:type="dxa" w:w="2577"/>
            <w:vAlign w:val="center"/>
            <w:shd w:fill="17365D"/>
          </w:tcPr>
          <w:p>
            <w:r>
              <w:rPr>
                <w:sz w:val="16"/>
              </w:rPr>
            </w:r>
            <w:r>
              <w:rPr>
                <w:b/>
                <w:color w:val="FFFFFF"/>
                <w:sz w:val="16"/>
              </w:rPr>
              <w:t>Typical Role</w:t>
            </w:r>
          </w:p>
        </w:tc>
        <w:tc>
          <w:tcPr>
            <w:tcW w:type="dxa" w:w="2577"/>
            <w:vAlign w:val="center"/>
            <w:shd w:fill="17365D"/>
          </w:tcPr>
          <w:p>
            <w:r>
              <w:rPr>
                <w:sz w:val="16"/>
              </w:rPr>
            </w:r>
            <w:r>
              <w:rPr>
                <w:b/>
                <w:color w:val="FFFFFF"/>
                <w:sz w:val="16"/>
              </w:rPr>
              <w:t>Single Transaction Authority</w:t>
            </w:r>
          </w:p>
        </w:tc>
        <w:tc>
          <w:tcPr>
            <w:tcW w:type="dxa" w:w="2577"/>
            <w:vAlign w:val="center"/>
            <w:shd w:fill="17365D"/>
          </w:tcPr>
          <w:p>
            <w:r>
              <w:rPr>
                <w:sz w:val="16"/>
              </w:rPr>
            </w:r>
            <w:r>
              <w:rPr>
                <w:b/>
                <w:color w:val="FFFFFF"/>
                <w:sz w:val="16"/>
              </w:rPr>
              <w:t>Additional Conditions</w:t>
            </w:r>
          </w:p>
        </w:tc>
      </w:tr>
      <w:tr>
        <w:trPr>
          <w:cantSplit/>
        </w:trPr>
        <w:tc>
          <w:tcPr>
            <w:tcW w:type="dxa" w:w="2577"/>
            <w:vAlign w:val="center"/>
          </w:tcPr>
          <w:p>
            <w:r>
              <w:rPr>
                <w:sz w:val="16"/>
              </w:rPr>
            </w:r>
            <w:r>
              <w:rPr>
                <w:b w:val="0"/>
                <w:sz w:val="16"/>
              </w:rPr>
              <w:t>IA1</w:t>
            </w:r>
          </w:p>
        </w:tc>
        <w:tc>
          <w:tcPr>
            <w:tcW w:type="dxa" w:w="2577"/>
            <w:vAlign w:val="center"/>
          </w:tcPr>
          <w:p>
            <w:r>
              <w:rPr>
                <w:sz w:val="16"/>
              </w:rPr>
            </w:r>
            <w:r>
              <w:rPr>
                <w:b w:val="0"/>
                <w:sz w:val="16"/>
              </w:rPr>
              <w:t>Investment Manager</w:t>
            </w:r>
          </w:p>
        </w:tc>
        <w:tc>
          <w:tcPr>
            <w:tcW w:type="dxa" w:w="2577"/>
            <w:vAlign w:val="center"/>
          </w:tcPr>
          <w:p>
            <w:r>
              <w:rPr>
                <w:sz w:val="16"/>
              </w:rPr>
            </w:r>
            <w:r>
              <w:rPr>
                <w:b w:val="0"/>
                <w:sz w:val="16"/>
              </w:rPr>
              <w:t>Up to ₹10 crore</w:t>
            </w:r>
          </w:p>
        </w:tc>
        <w:tc>
          <w:tcPr>
            <w:tcW w:type="dxa" w:w="2577"/>
            <w:vAlign w:val="center"/>
          </w:tcPr>
          <w:p>
            <w:r>
              <w:rPr>
                <w:sz w:val="16"/>
              </w:rPr>
            </w:r>
            <w:r>
              <w:rPr>
                <w:b w:val="0"/>
                <w:sz w:val="16"/>
              </w:rPr>
              <w:t>IG1–IG2 only; tenor ≤1 year; no exception.</w:t>
            </w:r>
          </w:p>
        </w:tc>
      </w:tr>
      <w:tr>
        <w:trPr>
          <w:cantSplit/>
        </w:trPr>
        <w:tc>
          <w:tcPr>
            <w:tcW w:type="dxa" w:w="2577"/>
            <w:vAlign w:val="center"/>
          </w:tcPr>
          <w:p>
            <w:r>
              <w:rPr>
                <w:sz w:val="16"/>
              </w:rPr>
            </w:r>
            <w:r>
              <w:rPr>
                <w:b w:val="0"/>
                <w:sz w:val="16"/>
              </w:rPr>
              <w:t>IA2</w:t>
            </w:r>
          </w:p>
        </w:tc>
        <w:tc>
          <w:tcPr>
            <w:tcW w:type="dxa" w:w="2577"/>
            <w:vAlign w:val="center"/>
          </w:tcPr>
          <w:p>
            <w:r>
              <w:rPr>
                <w:sz w:val="16"/>
              </w:rPr>
            </w:r>
            <w:r>
              <w:rPr>
                <w:b w:val="0"/>
                <w:sz w:val="16"/>
              </w:rPr>
              <w:t>Senior Investment Manager</w:t>
            </w:r>
          </w:p>
        </w:tc>
        <w:tc>
          <w:tcPr>
            <w:tcW w:type="dxa" w:w="2577"/>
            <w:vAlign w:val="center"/>
          </w:tcPr>
          <w:p>
            <w:r>
              <w:rPr>
                <w:sz w:val="16"/>
              </w:rPr>
            </w:r>
            <w:r>
              <w:rPr>
                <w:b w:val="0"/>
                <w:sz w:val="16"/>
              </w:rPr>
              <w:t>Up to ₹25 crore</w:t>
            </w:r>
          </w:p>
        </w:tc>
        <w:tc>
          <w:tcPr>
            <w:tcW w:type="dxa" w:w="2577"/>
            <w:vAlign w:val="center"/>
          </w:tcPr>
          <w:p>
            <w:r>
              <w:rPr>
                <w:sz w:val="16"/>
              </w:rPr>
            </w:r>
            <w:r>
              <w:rPr>
                <w:b w:val="0"/>
                <w:sz w:val="16"/>
              </w:rPr>
              <w:t>Eligible instruments; IG3 ≤₹10 crore.</w:t>
            </w:r>
          </w:p>
        </w:tc>
      </w:tr>
      <w:tr>
        <w:trPr>
          <w:cantSplit/>
        </w:trPr>
        <w:tc>
          <w:tcPr>
            <w:tcW w:type="dxa" w:w="2577"/>
            <w:vAlign w:val="center"/>
          </w:tcPr>
          <w:p>
            <w:r>
              <w:rPr>
                <w:sz w:val="16"/>
              </w:rPr>
            </w:r>
            <w:r>
              <w:rPr>
                <w:b w:val="0"/>
                <w:sz w:val="16"/>
              </w:rPr>
              <w:t>IA3</w:t>
            </w:r>
          </w:p>
        </w:tc>
        <w:tc>
          <w:tcPr>
            <w:tcW w:type="dxa" w:w="2577"/>
            <w:vAlign w:val="center"/>
          </w:tcPr>
          <w:p>
            <w:r>
              <w:rPr>
                <w:sz w:val="16"/>
              </w:rPr>
            </w:r>
            <w:r>
              <w:rPr>
                <w:b w:val="0"/>
                <w:sz w:val="16"/>
              </w:rPr>
              <w:t>Head of Investment Management / Treasurer</w:t>
            </w:r>
          </w:p>
        </w:tc>
        <w:tc>
          <w:tcPr>
            <w:tcW w:type="dxa" w:w="2577"/>
            <w:vAlign w:val="center"/>
          </w:tcPr>
          <w:p>
            <w:r>
              <w:rPr>
                <w:sz w:val="16"/>
              </w:rPr>
            </w:r>
            <w:r>
              <w:rPr>
                <w:b w:val="0"/>
                <w:sz w:val="16"/>
              </w:rPr>
              <w:t>Up to ₹50 crore</w:t>
            </w:r>
          </w:p>
        </w:tc>
        <w:tc>
          <w:tcPr>
            <w:tcW w:type="dxa" w:w="2577"/>
            <w:vAlign w:val="center"/>
          </w:tcPr>
          <w:p>
            <w:r>
              <w:rPr>
                <w:sz w:val="16"/>
              </w:rPr>
            </w:r>
            <w:r>
              <w:rPr>
                <w:b w:val="0"/>
                <w:sz w:val="16"/>
              </w:rPr>
              <w:t>Within all policy limits; IG3 ≤₹20 crore.</w:t>
            </w:r>
          </w:p>
        </w:tc>
      </w:tr>
      <w:tr>
        <w:trPr>
          <w:cantSplit/>
        </w:trPr>
        <w:tc>
          <w:tcPr>
            <w:tcW w:type="dxa" w:w="2577"/>
            <w:vAlign w:val="center"/>
          </w:tcPr>
          <w:p>
            <w:r>
              <w:rPr>
                <w:sz w:val="16"/>
              </w:rPr>
            </w:r>
            <w:r>
              <w:rPr>
                <w:b w:val="0"/>
                <w:sz w:val="16"/>
              </w:rPr>
              <w:t>IA4</w:t>
            </w:r>
          </w:p>
        </w:tc>
        <w:tc>
          <w:tcPr>
            <w:tcW w:type="dxa" w:w="2577"/>
            <w:vAlign w:val="center"/>
          </w:tcPr>
          <w:p>
            <w:r>
              <w:rPr>
                <w:sz w:val="16"/>
              </w:rPr>
            </w:r>
            <w:r>
              <w:rPr>
                <w:b w:val="0"/>
                <w:sz w:val="16"/>
              </w:rPr>
              <w:t>Investment &amp; Treasury Committee</w:t>
            </w:r>
          </w:p>
        </w:tc>
        <w:tc>
          <w:tcPr>
            <w:tcW w:type="dxa" w:w="2577"/>
            <w:vAlign w:val="center"/>
          </w:tcPr>
          <w:p>
            <w:r>
              <w:rPr>
                <w:sz w:val="16"/>
              </w:rPr>
            </w:r>
            <w:r>
              <w:rPr>
                <w:b w:val="0"/>
                <w:sz w:val="16"/>
              </w:rPr>
              <w:t>Up to ₹150 crore</w:t>
            </w:r>
          </w:p>
        </w:tc>
        <w:tc>
          <w:tcPr>
            <w:tcW w:type="dxa" w:w="2577"/>
            <w:vAlign w:val="center"/>
          </w:tcPr>
          <w:p>
            <w:r>
              <w:rPr>
                <w:sz w:val="16"/>
              </w:rPr>
            </w:r>
            <w:r>
              <w:rPr>
                <w:b w:val="0"/>
                <w:sz w:val="16"/>
              </w:rPr>
              <w:t>May approve defined policy exceptions except Board-reserved matters.</w:t>
            </w:r>
          </w:p>
        </w:tc>
      </w:tr>
      <w:tr>
        <w:trPr>
          <w:cantSplit/>
        </w:trPr>
        <w:tc>
          <w:tcPr>
            <w:tcW w:type="dxa" w:w="2577"/>
            <w:vAlign w:val="center"/>
          </w:tcPr>
          <w:p>
            <w:r>
              <w:rPr>
                <w:sz w:val="16"/>
              </w:rPr>
            </w:r>
            <w:r>
              <w:rPr>
                <w:b w:val="0"/>
                <w:sz w:val="16"/>
              </w:rPr>
              <w:t>IA5</w:t>
            </w:r>
          </w:p>
        </w:tc>
        <w:tc>
          <w:tcPr>
            <w:tcW w:type="dxa" w:w="2577"/>
            <w:vAlign w:val="center"/>
          </w:tcPr>
          <w:p>
            <w:r>
              <w:rPr>
                <w:sz w:val="16"/>
              </w:rPr>
            </w:r>
            <w:r>
              <w:rPr>
                <w:b w:val="0"/>
                <w:sz w:val="16"/>
              </w:rPr>
              <w:t>Board Risk Committee / Board</w:t>
            </w:r>
          </w:p>
        </w:tc>
        <w:tc>
          <w:tcPr>
            <w:tcW w:type="dxa" w:w="2577"/>
            <w:vAlign w:val="center"/>
          </w:tcPr>
          <w:p>
            <w:r>
              <w:rPr>
                <w:sz w:val="16"/>
              </w:rPr>
            </w:r>
            <w:r>
              <w:rPr>
                <w:b w:val="0"/>
                <w:sz w:val="16"/>
              </w:rPr>
              <w:t>Above ₹150 crore or reserved matters</w:t>
            </w:r>
          </w:p>
        </w:tc>
        <w:tc>
          <w:tcPr>
            <w:tcW w:type="dxa" w:w="2577"/>
            <w:vAlign w:val="center"/>
          </w:tcPr>
          <w:p>
            <w:r>
              <w:rPr>
                <w:sz w:val="16"/>
              </w:rPr>
            </w:r>
            <w:r>
              <w:rPr>
                <w:b w:val="0"/>
                <w:sz w:val="16"/>
              </w:rPr>
              <w:t>Subject to Board-approved mandate and RAS-009.</w:t>
            </w:r>
          </w:p>
        </w:tc>
      </w:tr>
    </w:tbl>
    <w:p/>
    <w:p>
      <w:pPr>
        <w:pStyle w:val="Heading1"/>
      </w:pPr>
      <w:r>
        <w:t>4. Product-Specific Authorities</w:t>
      </w:r>
    </w:p>
    <w:p>
      <w:r>
        <w:t>Certain instruments have more restrictive authority regardless of generic transaction size.</w:t>
      </w:r>
    </w:p>
    <w:tbl>
      <w:tblPr>
        <w:tblStyle w:val="TableGrid"/>
        <w:tblW w:type="auto" w:w="0"/>
        <w:jc w:val="center"/>
        <w:tblLook w:firstColumn="1" w:firstRow="1" w:lastColumn="0" w:lastRow="0" w:noHBand="0" w:noVBand="1" w:val="04A0"/>
      </w:tblPr>
      <w:tblGrid>
        <w:gridCol w:w="5155"/>
        <w:gridCol w:w="5155"/>
      </w:tblGrid>
      <w:tr>
        <w:trPr>
          <w:tblHeader w:val="true"/>
          <w:cantSplit/>
        </w:trPr>
        <w:tc>
          <w:tcPr>
            <w:tcW w:type="dxa" w:w="5155"/>
            <w:vAlign w:val="center"/>
            <w:shd w:fill="17365D"/>
          </w:tcPr>
          <w:p>
            <w:r>
              <w:rPr>
                <w:sz w:val="16"/>
              </w:rPr>
            </w:r>
            <w:r>
              <w:rPr>
                <w:b/>
                <w:color w:val="FFFFFF"/>
                <w:sz w:val="16"/>
              </w:rPr>
              <w:t>Instrument / Decision</w:t>
            </w:r>
          </w:p>
        </w:tc>
        <w:tc>
          <w:tcPr>
            <w:tcW w:type="dxa" w:w="5155"/>
            <w:vAlign w:val="center"/>
            <w:shd w:fill="17365D"/>
          </w:tcPr>
          <w:p>
            <w:r>
              <w:rPr>
                <w:sz w:val="16"/>
              </w:rPr>
            </w:r>
            <w:r>
              <w:rPr>
                <w:b/>
                <w:color w:val="FFFFFF"/>
                <w:sz w:val="16"/>
              </w:rPr>
              <w:t>Minimum Authority</w:t>
            </w:r>
          </w:p>
        </w:tc>
      </w:tr>
      <w:tr>
        <w:trPr>
          <w:cantSplit/>
        </w:trPr>
        <w:tc>
          <w:tcPr>
            <w:tcW w:type="dxa" w:w="5155"/>
            <w:vAlign w:val="center"/>
          </w:tcPr>
          <w:p>
            <w:r>
              <w:rPr>
                <w:sz w:val="16"/>
              </w:rPr>
            </w:r>
            <w:r>
              <w:rPr>
                <w:b w:val="0"/>
                <w:sz w:val="16"/>
              </w:rPr>
              <w:t>Government security ≤3-year maturity, within limits</w:t>
            </w:r>
          </w:p>
        </w:tc>
        <w:tc>
          <w:tcPr>
            <w:tcW w:type="dxa" w:w="5155"/>
            <w:vAlign w:val="center"/>
          </w:tcPr>
          <w:p>
            <w:r>
              <w:rPr>
                <w:sz w:val="16"/>
              </w:rPr>
            </w:r>
            <w:r>
              <w:rPr>
                <w:b w:val="0"/>
                <w:sz w:val="16"/>
              </w:rPr>
              <w:t>IA1 subject to value cap</w:t>
            </w:r>
          </w:p>
        </w:tc>
      </w:tr>
      <w:tr>
        <w:trPr>
          <w:cantSplit/>
        </w:trPr>
        <w:tc>
          <w:tcPr>
            <w:tcW w:type="dxa" w:w="5155"/>
            <w:vAlign w:val="center"/>
          </w:tcPr>
          <w:p>
            <w:r>
              <w:rPr>
                <w:sz w:val="16"/>
              </w:rPr>
            </w:r>
            <w:r>
              <w:rPr>
                <w:b w:val="0"/>
                <w:sz w:val="16"/>
              </w:rPr>
              <w:t>Government security &gt;3 years</w:t>
            </w:r>
          </w:p>
        </w:tc>
        <w:tc>
          <w:tcPr>
            <w:tcW w:type="dxa" w:w="5155"/>
            <w:vAlign w:val="center"/>
          </w:tcPr>
          <w:p>
            <w:r>
              <w:rPr>
                <w:sz w:val="16"/>
              </w:rPr>
            </w:r>
            <w:r>
              <w:rPr>
                <w:b w:val="0"/>
                <w:sz w:val="16"/>
              </w:rPr>
              <w:t>IA2</w:t>
            </w:r>
          </w:p>
        </w:tc>
      </w:tr>
      <w:tr>
        <w:trPr>
          <w:cantSplit/>
        </w:trPr>
        <w:tc>
          <w:tcPr>
            <w:tcW w:type="dxa" w:w="5155"/>
            <w:vAlign w:val="center"/>
          </w:tcPr>
          <w:p>
            <w:r>
              <w:rPr>
                <w:sz w:val="16"/>
              </w:rPr>
            </w:r>
            <w:r>
              <w:rPr>
                <w:b w:val="0"/>
                <w:sz w:val="16"/>
              </w:rPr>
              <w:t>Corporate debt IG1–IG2</w:t>
            </w:r>
          </w:p>
        </w:tc>
        <w:tc>
          <w:tcPr>
            <w:tcW w:type="dxa" w:w="5155"/>
            <w:vAlign w:val="center"/>
          </w:tcPr>
          <w:p>
            <w:r>
              <w:rPr>
                <w:sz w:val="16"/>
              </w:rPr>
            </w:r>
            <w:r>
              <w:rPr>
                <w:b w:val="0"/>
                <w:sz w:val="16"/>
              </w:rPr>
              <w:t>IA2</w:t>
            </w:r>
          </w:p>
        </w:tc>
      </w:tr>
      <w:tr>
        <w:trPr>
          <w:cantSplit/>
        </w:trPr>
        <w:tc>
          <w:tcPr>
            <w:tcW w:type="dxa" w:w="5155"/>
            <w:vAlign w:val="center"/>
          </w:tcPr>
          <w:p>
            <w:r>
              <w:rPr>
                <w:sz w:val="16"/>
              </w:rPr>
            </w:r>
            <w:r>
              <w:rPr>
                <w:b w:val="0"/>
                <w:sz w:val="16"/>
              </w:rPr>
              <w:t>Corporate debt IG3</w:t>
            </w:r>
          </w:p>
        </w:tc>
        <w:tc>
          <w:tcPr>
            <w:tcW w:type="dxa" w:w="5155"/>
            <w:vAlign w:val="center"/>
          </w:tcPr>
          <w:p>
            <w:r>
              <w:rPr>
                <w:sz w:val="16"/>
              </w:rPr>
            </w:r>
            <w:r>
              <w:rPr>
                <w:b w:val="0"/>
                <w:sz w:val="16"/>
              </w:rPr>
              <w:t>IA3</w:t>
            </w:r>
          </w:p>
        </w:tc>
      </w:tr>
      <w:tr>
        <w:trPr>
          <w:cantSplit/>
        </w:trPr>
        <w:tc>
          <w:tcPr>
            <w:tcW w:type="dxa" w:w="5155"/>
            <w:vAlign w:val="center"/>
          </w:tcPr>
          <w:p>
            <w:r>
              <w:rPr>
                <w:sz w:val="16"/>
              </w:rPr>
            </w:r>
            <w:r>
              <w:rPr>
                <w:b w:val="0"/>
                <w:sz w:val="16"/>
              </w:rPr>
              <w:t>Bank deposit ≤90 days</w:t>
            </w:r>
          </w:p>
        </w:tc>
        <w:tc>
          <w:tcPr>
            <w:tcW w:type="dxa" w:w="5155"/>
            <w:vAlign w:val="center"/>
          </w:tcPr>
          <w:p>
            <w:r>
              <w:rPr>
                <w:sz w:val="16"/>
              </w:rPr>
            </w:r>
            <w:r>
              <w:rPr>
                <w:b w:val="0"/>
                <w:sz w:val="16"/>
              </w:rPr>
              <w:t>IA1 within bank counterparty cap</w:t>
            </w:r>
          </w:p>
        </w:tc>
      </w:tr>
      <w:tr>
        <w:trPr>
          <w:cantSplit/>
        </w:trPr>
        <w:tc>
          <w:tcPr>
            <w:tcW w:type="dxa" w:w="5155"/>
            <w:vAlign w:val="center"/>
          </w:tcPr>
          <w:p>
            <w:r>
              <w:rPr>
                <w:sz w:val="16"/>
              </w:rPr>
            </w:r>
            <w:r>
              <w:rPr>
                <w:b w:val="0"/>
                <w:sz w:val="16"/>
              </w:rPr>
              <w:t>Money-market instrument</w:t>
            </w:r>
          </w:p>
        </w:tc>
        <w:tc>
          <w:tcPr>
            <w:tcW w:type="dxa" w:w="5155"/>
            <w:vAlign w:val="center"/>
          </w:tcPr>
          <w:p>
            <w:r>
              <w:rPr>
                <w:sz w:val="16"/>
              </w:rPr>
            </w:r>
            <w:r>
              <w:rPr>
                <w:b w:val="0"/>
                <w:sz w:val="16"/>
              </w:rPr>
              <w:t>IA2 unless pre-approved short-term program applies</w:t>
            </w:r>
          </w:p>
        </w:tc>
      </w:tr>
      <w:tr>
        <w:trPr>
          <w:cantSplit/>
        </w:trPr>
        <w:tc>
          <w:tcPr>
            <w:tcW w:type="dxa" w:w="5155"/>
            <w:vAlign w:val="center"/>
          </w:tcPr>
          <w:p>
            <w:r>
              <w:rPr>
                <w:sz w:val="16"/>
              </w:rPr>
            </w:r>
            <w:r>
              <w:rPr>
                <w:b w:val="0"/>
                <w:sz w:val="16"/>
              </w:rPr>
              <w:t>Restricted structured credit</w:t>
            </w:r>
          </w:p>
        </w:tc>
        <w:tc>
          <w:tcPr>
            <w:tcW w:type="dxa" w:w="5155"/>
            <w:vAlign w:val="center"/>
          </w:tcPr>
          <w:p>
            <w:r>
              <w:rPr>
                <w:sz w:val="16"/>
              </w:rPr>
            </w:r>
            <w:r>
              <w:rPr>
                <w:b w:val="0"/>
                <w:sz w:val="16"/>
              </w:rPr>
              <w:t>IA5</w:t>
            </w:r>
          </w:p>
        </w:tc>
      </w:tr>
      <w:tr>
        <w:trPr>
          <w:cantSplit/>
        </w:trPr>
        <w:tc>
          <w:tcPr>
            <w:tcW w:type="dxa" w:w="5155"/>
            <w:vAlign w:val="center"/>
          </w:tcPr>
          <w:p>
            <w:r>
              <w:rPr>
                <w:sz w:val="16"/>
              </w:rPr>
            </w:r>
            <w:r>
              <w:rPr>
                <w:b w:val="0"/>
                <w:sz w:val="16"/>
              </w:rPr>
              <w:t>Foreign-currency investment / new hedge mandate</w:t>
            </w:r>
          </w:p>
        </w:tc>
        <w:tc>
          <w:tcPr>
            <w:tcW w:type="dxa" w:w="5155"/>
            <w:vAlign w:val="center"/>
          </w:tcPr>
          <w:p>
            <w:r>
              <w:rPr>
                <w:sz w:val="16"/>
              </w:rPr>
            </w:r>
            <w:r>
              <w:rPr>
                <w:b w:val="0"/>
                <w:sz w:val="16"/>
              </w:rPr>
              <w:t>IA5</w:t>
            </w:r>
          </w:p>
        </w:tc>
      </w:tr>
      <w:tr>
        <w:trPr>
          <w:cantSplit/>
        </w:trPr>
        <w:tc>
          <w:tcPr>
            <w:tcW w:type="dxa" w:w="5155"/>
            <w:vAlign w:val="center"/>
          </w:tcPr>
          <w:p>
            <w:r>
              <w:rPr>
                <w:sz w:val="16"/>
              </w:rPr>
            </w:r>
            <w:r>
              <w:rPr>
                <w:b w:val="0"/>
                <w:sz w:val="16"/>
              </w:rPr>
              <w:t>Re-entry of suspended issuer</w:t>
            </w:r>
          </w:p>
        </w:tc>
        <w:tc>
          <w:tcPr>
            <w:tcW w:type="dxa" w:w="5155"/>
            <w:vAlign w:val="center"/>
          </w:tcPr>
          <w:p>
            <w:r>
              <w:rPr>
                <w:sz w:val="16"/>
              </w:rPr>
            </w:r>
            <w:r>
              <w:rPr>
                <w:b w:val="0"/>
                <w:sz w:val="16"/>
              </w:rPr>
              <w:t>IA4 + Risk concurrence</w:t>
            </w:r>
          </w:p>
        </w:tc>
      </w:tr>
    </w:tbl>
    <w:p/>
    <w:p>
      <w:pPr>
        <w:pStyle w:val="Heading1"/>
      </w:pPr>
      <w:r>
        <w:t>5. Historical Change from v1.0</w:t>
      </w:r>
    </w:p>
    <w:p>
      <w:r>
        <w:t>IDS-042 v1.0 permitted IA2 single-transaction authority up to ₹30 crore. Version 1.1 reduces IA2 authority to ₹25 crore from 1 February 2026. Transactions approved before the effective date remain historical decisions under v1.0; unexecuted approvals above ₹25 crore require re-approval under current authority.</w:t>
      </w:r>
    </w:p>
    <w:p>
      <w:pPr>
        <w:pStyle w:val="Heading1"/>
      </w:pPr>
      <w:r>
        <w:t>6. Issuer and Group Limit Exceptions</w:t>
      </w:r>
    </w:p>
    <w:p>
      <w:r>
        <w:t>An authority level that can approve a transaction does not automatically have authority to approve a concentration exception.</w:t>
      </w:r>
    </w:p>
    <w:tbl>
      <w:tblPr>
        <w:tblStyle w:val="TableGrid"/>
        <w:tblW w:type="auto" w:w="0"/>
        <w:jc w:val="center"/>
        <w:tblLook w:firstColumn="1" w:firstRow="1" w:lastColumn="0" w:lastRow="0" w:noHBand="0" w:noVBand="1" w:val="04A0"/>
      </w:tblPr>
      <w:tblGrid>
        <w:gridCol w:w="5155"/>
        <w:gridCol w:w="5155"/>
      </w:tblGrid>
      <w:tr>
        <w:trPr>
          <w:tblHeader w:val="true"/>
          <w:cantSplit/>
        </w:trPr>
        <w:tc>
          <w:tcPr>
            <w:tcW w:type="dxa" w:w="5155"/>
            <w:vAlign w:val="center"/>
            <w:shd w:fill="17365D"/>
          </w:tcPr>
          <w:p>
            <w:r>
              <w:rPr>
                <w:sz w:val="16"/>
              </w:rPr>
            </w:r>
            <w:r>
              <w:rPr>
                <w:b/>
                <w:color w:val="FFFFFF"/>
                <w:sz w:val="16"/>
              </w:rPr>
              <w:t>Exception</w:t>
            </w:r>
          </w:p>
        </w:tc>
        <w:tc>
          <w:tcPr>
            <w:tcW w:type="dxa" w:w="5155"/>
            <w:vAlign w:val="center"/>
            <w:shd w:fill="17365D"/>
          </w:tcPr>
          <w:p>
            <w:r>
              <w:rPr>
                <w:sz w:val="16"/>
              </w:rPr>
            </w:r>
            <w:r>
              <w:rPr>
                <w:b/>
                <w:color w:val="FFFFFF"/>
                <w:sz w:val="16"/>
              </w:rPr>
              <w:t>Minimum Authority</w:t>
            </w:r>
          </w:p>
        </w:tc>
      </w:tr>
      <w:tr>
        <w:trPr>
          <w:cantSplit/>
        </w:trPr>
        <w:tc>
          <w:tcPr>
            <w:tcW w:type="dxa" w:w="5155"/>
            <w:vAlign w:val="center"/>
          </w:tcPr>
          <w:p>
            <w:r>
              <w:rPr>
                <w:sz w:val="16"/>
              </w:rPr>
            </w:r>
            <w:r>
              <w:rPr>
                <w:b w:val="0"/>
                <w:sz w:val="16"/>
              </w:rPr>
              <w:t>Single issuer &gt;7.5% up to 8.5% for ≤30 days</w:t>
            </w:r>
          </w:p>
        </w:tc>
        <w:tc>
          <w:tcPr>
            <w:tcW w:type="dxa" w:w="5155"/>
            <w:vAlign w:val="center"/>
          </w:tcPr>
          <w:p>
            <w:r>
              <w:rPr>
                <w:sz w:val="16"/>
              </w:rPr>
            </w:r>
            <w:r>
              <w:rPr>
                <w:b w:val="0"/>
                <w:sz w:val="16"/>
              </w:rPr>
              <w:t>IA4 + Enterprise Risk concurrence</w:t>
            </w:r>
          </w:p>
        </w:tc>
      </w:tr>
      <w:tr>
        <w:trPr>
          <w:cantSplit/>
        </w:trPr>
        <w:tc>
          <w:tcPr>
            <w:tcW w:type="dxa" w:w="5155"/>
            <w:vAlign w:val="center"/>
          </w:tcPr>
          <w:p>
            <w:r>
              <w:rPr>
                <w:sz w:val="16"/>
              </w:rPr>
            </w:r>
            <w:r>
              <w:rPr>
                <w:b w:val="0"/>
                <w:sz w:val="16"/>
              </w:rPr>
              <w:t>Connected group &gt;12.5% up to 14% for ≤30 days</w:t>
            </w:r>
          </w:p>
        </w:tc>
        <w:tc>
          <w:tcPr>
            <w:tcW w:type="dxa" w:w="5155"/>
            <w:vAlign w:val="center"/>
          </w:tcPr>
          <w:p>
            <w:r>
              <w:rPr>
                <w:sz w:val="16"/>
              </w:rPr>
            </w:r>
            <w:r>
              <w:rPr>
                <w:b w:val="0"/>
                <w:sz w:val="16"/>
              </w:rPr>
              <w:t>IA4 + CRO concurrence</w:t>
            </w:r>
          </w:p>
        </w:tc>
      </w:tr>
      <w:tr>
        <w:trPr>
          <w:cantSplit/>
        </w:trPr>
        <w:tc>
          <w:tcPr>
            <w:tcW w:type="dxa" w:w="5155"/>
            <w:vAlign w:val="center"/>
          </w:tcPr>
          <w:p>
            <w:r>
              <w:rPr>
                <w:sz w:val="16"/>
              </w:rPr>
            </w:r>
            <w:r>
              <w:rPr>
                <w:b w:val="0"/>
                <w:sz w:val="16"/>
              </w:rPr>
              <w:t>Any concentration above those temporary bands</w:t>
            </w:r>
          </w:p>
        </w:tc>
        <w:tc>
          <w:tcPr>
            <w:tcW w:type="dxa" w:w="5155"/>
            <w:vAlign w:val="center"/>
          </w:tcPr>
          <w:p>
            <w:r>
              <w:rPr>
                <w:sz w:val="16"/>
              </w:rPr>
            </w:r>
            <w:r>
              <w:rPr>
                <w:b w:val="0"/>
                <w:sz w:val="16"/>
              </w:rPr>
              <w:t>IA5</w:t>
            </w:r>
          </w:p>
        </w:tc>
      </w:tr>
      <w:tr>
        <w:trPr>
          <w:cantSplit/>
        </w:trPr>
        <w:tc>
          <w:tcPr>
            <w:tcW w:type="dxa" w:w="5155"/>
            <w:vAlign w:val="center"/>
          </w:tcPr>
          <w:p>
            <w:r>
              <w:rPr>
                <w:sz w:val="16"/>
              </w:rPr>
            </w:r>
            <w:r>
              <w:rPr>
                <w:b w:val="0"/>
                <w:sz w:val="16"/>
              </w:rPr>
              <w:t>IG3 aggregate &gt;15%</w:t>
            </w:r>
          </w:p>
        </w:tc>
        <w:tc>
          <w:tcPr>
            <w:tcW w:type="dxa" w:w="5155"/>
            <w:vAlign w:val="center"/>
          </w:tcPr>
          <w:p>
            <w:r>
              <w:rPr>
                <w:sz w:val="16"/>
              </w:rPr>
            </w:r>
            <w:r>
              <w:rPr>
                <w:b w:val="0"/>
                <w:sz w:val="16"/>
              </w:rPr>
              <w:t>IA5</w:t>
            </w:r>
          </w:p>
        </w:tc>
      </w:tr>
      <w:tr>
        <w:trPr>
          <w:cantSplit/>
        </w:trPr>
        <w:tc>
          <w:tcPr>
            <w:tcW w:type="dxa" w:w="5155"/>
            <w:vAlign w:val="center"/>
          </w:tcPr>
          <w:p>
            <w:r>
              <w:rPr>
                <w:sz w:val="16"/>
              </w:rPr>
            </w:r>
            <w:r>
              <w:rPr>
                <w:b w:val="0"/>
                <w:sz w:val="16"/>
              </w:rPr>
              <w:t>30-day liquidity below 20%</w:t>
            </w:r>
          </w:p>
        </w:tc>
        <w:tc>
          <w:tcPr>
            <w:tcW w:type="dxa" w:w="5155"/>
            <w:vAlign w:val="center"/>
          </w:tcPr>
          <w:p>
            <w:r>
              <w:rPr>
                <w:sz w:val="16"/>
              </w:rPr>
            </w:r>
            <w:r>
              <w:rPr>
                <w:b w:val="0"/>
                <w:sz w:val="16"/>
              </w:rPr>
              <w:t>IA5 unless passive breach remediation approved under RAS governance</w:t>
            </w:r>
          </w:p>
        </w:tc>
      </w:tr>
      <w:tr>
        <w:trPr>
          <w:cantSplit/>
        </w:trPr>
        <w:tc>
          <w:tcPr>
            <w:tcW w:type="dxa" w:w="5155"/>
            <w:vAlign w:val="center"/>
          </w:tcPr>
          <w:p>
            <w:r>
              <w:rPr>
                <w:sz w:val="16"/>
              </w:rPr>
            </w:r>
            <w:r>
              <w:rPr>
                <w:b w:val="0"/>
                <w:sz w:val="16"/>
              </w:rPr>
              <w:t>Duration above 3.5 years</w:t>
            </w:r>
          </w:p>
        </w:tc>
        <w:tc>
          <w:tcPr>
            <w:tcW w:type="dxa" w:w="5155"/>
            <w:vAlign w:val="center"/>
          </w:tcPr>
          <w:p>
            <w:r>
              <w:rPr>
                <w:sz w:val="16"/>
              </w:rPr>
            </w:r>
            <w:r>
              <w:rPr>
                <w:b w:val="0"/>
                <w:sz w:val="16"/>
              </w:rPr>
              <w:t>IA4 for temporary passive excess; IA5 for new risk-increasing trade</w:t>
            </w:r>
          </w:p>
        </w:tc>
      </w:tr>
    </w:tbl>
    <w:p/>
    <w:p>
      <w:pPr>
        <w:pStyle w:val="Heading1"/>
      </w:pPr>
      <w:r>
        <w:t>7. Credit Grade and Watchlist Authority</w:t>
      </w:r>
    </w:p>
    <w:p>
      <w:r>
        <w:t>New purchases in IG4/IG5 are prohibited and cannot be authorized through ordinary delegation. Existing holdings may be retained temporarily only under committee-approved remediation or workout strategy.</w:t>
      </w:r>
    </w:p>
    <w:p>
      <w:pPr>
        <w:pStyle w:val="Heading1"/>
      </w:pPr>
      <w:r>
        <w:t>8. New Issuer Approval</w:t>
      </w:r>
    </w:p>
    <w:p>
      <w:r>
        <w:t>New issuer approval requires documented investment credit assessment.</w:t>
      </w:r>
    </w:p>
    <w:tbl>
      <w:tblPr>
        <w:tblStyle w:val="TableGrid"/>
        <w:tblW w:type="auto" w:w="0"/>
        <w:jc w:val="center"/>
        <w:tblLook w:firstColumn="1" w:firstRow="1" w:lastColumn="0" w:lastRow="0" w:noHBand="0" w:noVBand="1" w:val="04A0"/>
      </w:tblPr>
      <w:tblGrid>
        <w:gridCol w:w="5155"/>
        <w:gridCol w:w="5155"/>
      </w:tblGrid>
      <w:tr>
        <w:trPr>
          <w:tblHeader w:val="true"/>
          <w:cantSplit/>
        </w:trPr>
        <w:tc>
          <w:tcPr>
            <w:tcW w:type="dxa" w:w="5155"/>
            <w:vAlign w:val="center"/>
            <w:shd w:fill="17365D"/>
          </w:tcPr>
          <w:p>
            <w:r>
              <w:rPr>
                <w:sz w:val="16"/>
              </w:rPr>
            </w:r>
            <w:r>
              <w:rPr>
                <w:b/>
                <w:color w:val="FFFFFF"/>
                <w:sz w:val="16"/>
              </w:rPr>
              <w:t>Issuer Type</w:t>
            </w:r>
          </w:p>
        </w:tc>
        <w:tc>
          <w:tcPr>
            <w:tcW w:type="dxa" w:w="5155"/>
            <w:vAlign w:val="center"/>
            <w:shd w:fill="17365D"/>
          </w:tcPr>
          <w:p>
            <w:r>
              <w:rPr>
                <w:sz w:val="16"/>
              </w:rPr>
            </w:r>
            <w:r>
              <w:rPr>
                <w:b/>
                <w:color w:val="FFFFFF"/>
                <w:sz w:val="16"/>
              </w:rPr>
              <w:t>Approval</w:t>
            </w:r>
          </w:p>
        </w:tc>
      </w:tr>
      <w:tr>
        <w:trPr>
          <w:cantSplit/>
        </w:trPr>
        <w:tc>
          <w:tcPr>
            <w:tcW w:type="dxa" w:w="5155"/>
            <w:vAlign w:val="center"/>
          </w:tcPr>
          <w:p>
            <w:r>
              <w:rPr>
                <w:sz w:val="16"/>
              </w:rPr>
            </w:r>
            <w:r>
              <w:rPr>
                <w:b w:val="0"/>
                <w:sz w:val="16"/>
              </w:rPr>
              <w:t>Approved bank counterparty with standard product</w:t>
            </w:r>
          </w:p>
        </w:tc>
        <w:tc>
          <w:tcPr>
            <w:tcW w:type="dxa" w:w="5155"/>
            <w:vAlign w:val="center"/>
          </w:tcPr>
          <w:p>
            <w:r>
              <w:rPr>
                <w:sz w:val="16"/>
              </w:rPr>
            </w:r>
            <w:r>
              <w:rPr>
                <w:b w:val="0"/>
                <w:sz w:val="16"/>
              </w:rPr>
              <w:t>IA3 + Risk concurrence</w:t>
            </w:r>
          </w:p>
        </w:tc>
      </w:tr>
      <w:tr>
        <w:trPr>
          <w:cantSplit/>
        </w:trPr>
        <w:tc>
          <w:tcPr>
            <w:tcW w:type="dxa" w:w="5155"/>
            <w:vAlign w:val="center"/>
          </w:tcPr>
          <w:p>
            <w:r>
              <w:rPr>
                <w:sz w:val="16"/>
              </w:rPr>
            </w:r>
            <w:r>
              <w:rPr>
                <w:b w:val="0"/>
                <w:sz w:val="16"/>
              </w:rPr>
              <w:t>Corporate issuer IG1–IG2</w:t>
            </w:r>
          </w:p>
        </w:tc>
        <w:tc>
          <w:tcPr>
            <w:tcW w:type="dxa" w:w="5155"/>
            <w:vAlign w:val="center"/>
          </w:tcPr>
          <w:p>
            <w:r>
              <w:rPr>
                <w:sz w:val="16"/>
              </w:rPr>
            </w:r>
            <w:r>
              <w:rPr>
                <w:b w:val="0"/>
                <w:sz w:val="16"/>
              </w:rPr>
              <w:t>IA4 or Investment Credit Committee under charter</w:t>
            </w:r>
          </w:p>
        </w:tc>
      </w:tr>
      <w:tr>
        <w:trPr>
          <w:cantSplit/>
        </w:trPr>
        <w:tc>
          <w:tcPr>
            <w:tcW w:type="dxa" w:w="5155"/>
            <w:vAlign w:val="center"/>
          </w:tcPr>
          <w:p>
            <w:r>
              <w:rPr>
                <w:sz w:val="16"/>
              </w:rPr>
            </w:r>
            <w:r>
              <w:rPr>
                <w:b w:val="0"/>
                <w:sz w:val="16"/>
              </w:rPr>
              <w:t>Corporate issuer IG3</w:t>
            </w:r>
          </w:p>
        </w:tc>
        <w:tc>
          <w:tcPr>
            <w:tcW w:type="dxa" w:w="5155"/>
            <w:vAlign w:val="center"/>
          </w:tcPr>
          <w:p>
            <w:r>
              <w:rPr>
                <w:sz w:val="16"/>
              </w:rPr>
            </w:r>
            <w:r>
              <w:rPr>
                <w:b w:val="0"/>
                <w:sz w:val="16"/>
              </w:rPr>
              <w:t>IA4 + CRO or delegate concurrence</w:t>
            </w:r>
          </w:p>
        </w:tc>
      </w:tr>
      <w:tr>
        <w:trPr>
          <w:cantSplit/>
        </w:trPr>
        <w:tc>
          <w:tcPr>
            <w:tcW w:type="dxa" w:w="5155"/>
            <w:vAlign w:val="center"/>
          </w:tcPr>
          <w:p>
            <w:r>
              <w:rPr>
                <w:sz w:val="16"/>
              </w:rPr>
            </w:r>
            <w:r>
              <w:rPr>
                <w:b w:val="0"/>
                <w:sz w:val="16"/>
              </w:rPr>
              <w:t>Issuer with material unresolved compliance concern</w:t>
            </w:r>
          </w:p>
        </w:tc>
        <w:tc>
          <w:tcPr>
            <w:tcW w:type="dxa" w:w="5155"/>
            <w:vAlign w:val="center"/>
          </w:tcPr>
          <w:p>
            <w:r>
              <w:rPr>
                <w:sz w:val="16"/>
              </w:rPr>
            </w:r>
            <w:r>
              <w:rPr>
                <w:b w:val="0"/>
                <w:sz w:val="16"/>
              </w:rPr>
              <w:t>No approval until specialist clearance</w:t>
            </w:r>
          </w:p>
        </w:tc>
      </w:tr>
      <w:tr>
        <w:trPr>
          <w:cantSplit/>
        </w:trPr>
        <w:tc>
          <w:tcPr>
            <w:tcW w:type="dxa" w:w="5155"/>
            <w:vAlign w:val="center"/>
          </w:tcPr>
          <w:p>
            <w:r>
              <w:rPr>
                <w:sz w:val="16"/>
              </w:rPr>
            </w:r>
            <w:r>
              <w:rPr>
                <w:b w:val="0"/>
                <w:sz w:val="16"/>
              </w:rPr>
              <w:t>Previously suspended issuer</w:t>
            </w:r>
          </w:p>
        </w:tc>
        <w:tc>
          <w:tcPr>
            <w:tcW w:type="dxa" w:w="5155"/>
            <w:vAlign w:val="center"/>
          </w:tcPr>
          <w:p>
            <w:r>
              <w:rPr>
                <w:sz w:val="16"/>
              </w:rPr>
            </w:r>
            <w:r>
              <w:rPr>
                <w:b w:val="0"/>
                <w:sz w:val="16"/>
              </w:rPr>
              <w:t>IA4 + Risk concurrence</w:t>
            </w:r>
          </w:p>
        </w:tc>
      </w:tr>
    </w:tbl>
    <w:p/>
    <w:p>
      <w:pPr>
        <w:pStyle w:val="Heading1"/>
      </w:pPr>
      <w:r>
        <w:t>9. New Instrument Approval</w:t>
      </w:r>
    </w:p>
    <w:p>
      <w:r>
        <w:t>A new instrument or structure shall not be treated as a routine transaction merely because it resembles an existing asset. Product approval must address legal form, valuation, liquidity, accounting, operations, technology and risk measurement.</w:t>
      </w:r>
    </w:p>
    <w:p>
      <w:pPr>
        <w:pStyle w:val="Heading1"/>
      </w:pPr>
      <w:r>
        <w:t>10. Pre-Trade Exception Authority</w:t>
      </w:r>
    </w:p>
    <w:p>
      <w:r>
        <w:t>Prospective exceptions must identify the rule, amount, duration, rationale, mitigants and exit plan. Retroactive approval does not erase an unauthorized trade or control breach.</w:t>
      </w:r>
    </w:p>
    <w:p>
      <w:pPr>
        <w:pStyle w:val="Heading1"/>
      </w:pPr>
      <w:r>
        <w:t>11. Dual Approval and Conflict Controls</w:t>
      </w:r>
    </w:p>
    <w:p>
      <w:r>
        <w:t>Where a decision both exceeds a transaction limit and requires a policy exception, the higher authority shall approve both or separate approvals shall be documented. The deal maker shall not be sole approver of their own transaction.</w:t>
      </w:r>
    </w:p>
    <w:p>
      <w:pPr>
        <w:pStyle w:val="Heading1"/>
      </w:pPr>
      <w:r>
        <w:t>12. Committee Reserved Matters</w:t>
      </w:r>
    </w:p>
    <w:p>
      <w:r>
        <w:t>The following matters are reserved to IA4 or IA5 as stated.</w:t>
      </w:r>
    </w:p>
    <w:p>
      <w:pPr>
        <w:pStyle w:val="ListBullet"/>
      </w:pPr>
      <w:r>
        <w:t>Material investment policy exceptions.</w:t>
      </w:r>
    </w:p>
    <w:p>
      <w:pPr>
        <w:pStyle w:val="ListBullet"/>
      </w:pPr>
      <w:r>
        <w:t>New structured or complex instrument classes.</w:t>
      </w:r>
    </w:p>
    <w:p>
      <w:pPr>
        <w:pStyle w:val="ListBullet"/>
      </w:pPr>
      <w:r>
        <w:t>Large concentrations or temporary breaches outside management bands.</w:t>
      </w:r>
    </w:p>
    <w:p>
      <w:pPr>
        <w:pStyle w:val="ListBullet"/>
      </w:pPr>
      <w:r>
        <w:t>Re-entry of suspended issuers.</w:t>
      </w:r>
    </w:p>
    <w:p>
      <w:pPr>
        <w:pStyle w:val="ListBullet"/>
      </w:pPr>
      <w:r>
        <w:t>Material write-down, impairment or exit strategy for distressed investments.</w:t>
      </w:r>
    </w:p>
    <w:p>
      <w:pPr>
        <w:pStyle w:val="ListBullet"/>
      </w:pPr>
      <w:r>
        <w:t>Any investment activity specifically reserved by RAS-009 or Board mandate.</w:t>
      </w:r>
    </w:p>
    <w:p>
      <w:pPr>
        <w:pStyle w:val="Heading1"/>
      </w:pPr>
      <w:r>
        <w:t>13. Emergency Decisions</w:t>
      </w:r>
    </w:p>
    <w:p>
      <w:r>
        <w:t>In a genuine market or liquidity emergency, the CEO and CRO may jointly authorize a temporary action within powers delegated by the Board. The decision, reason, exposure, duration and subsequent committee ratification shall be documented. Emergency treatment cannot be used for convenience or to bypass normal planning.</w:t>
      </w:r>
    </w:p>
    <w:p>
      <w:pPr>
        <w:pStyle w:val="Heading1"/>
      </w:pPr>
      <w:r>
        <w:t>14. Delegation Absence and Acting Arrangements</w:t>
      </w:r>
    </w:p>
    <w:p>
      <w:r>
        <w:t>Delegations attach to designated positions and named holders as recorded in the controlled authority register. Acting authority must be formally documented with start/end dates and scope.</w:t>
      </w:r>
    </w:p>
    <w:p>
      <w:pPr>
        <w:pStyle w:val="Heading1"/>
      </w:pPr>
      <w:r>
        <w:t>15. System Entitlements</w:t>
      </w:r>
    </w:p>
    <w:p>
      <w:r>
        <w:t>Technology access shall be configured to support the Schedule but is not the source of authority. A stale or excessive system entitlement is an access-control issue and any resulting decision shall be judged against this Schedule.</w:t>
      </w:r>
    </w:p>
    <w:p>
      <w:pPr>
        <w:pStyle w:val="Heading1"/>
      </w:pPr>
      <w:r>
        <w:t>16. Appendix A — Consolidated Authority Matrix</w:t>
      </w:r>
    </w:p>
    <w:p>
      <w:r>
        <w:t>This matrix is an operational summary; the detailed provisions of this Schedule prevail.</w:t>
      </w:r>
    </w:p>
    <w:tbl>
      <w:tblPr>
        <w:tblStyle w:val="TableGrid"/>
        <w:tblW w:type="auto" w:w="0"/>
        <w:jc w:val="center"/>
        <w:tblLook w:firstColumn="1" w:firstRow="1" w:lastColumn="0" w:lastRow="0" w:noHBand="0" w:noVBand="1" w:val="04A0"/>
      </w:tblPr>
      <w:tblGrid>
        <w:gridCol w:w="1718"/>
        <w:gridCol w:w="1718"/>
        <w:gridCol w:w="1718"/>
        <w:gridCol w:w="1718"/>
        <w:gridCol w:w="1718"/>
        <w:gridCol w:w="1718"/>
      </w:tblGrid>
      <w:tr>
        <w:trPr>
          <w:tblHeader w:val="true"/>
          <w:cantSplit/>
        </w:trPr>
        <w:tc>
          <w:tcPr>
            <w:tcW w:type="dxa" w:w="1718"/>
            <w:vAlign w:val="center"/>
            <w:shd w:fill="17365D"/>
          </w:tcPr>
          <w:p>
            <w:r>
              <w:rPr>
                <w:sz w:val="16"/>
              </w:rPr>
            </w:r>
            <w:r>
              <w:rPr>
                <w:b/>
                <w:color w:val="FFFFFF"/>
                <w:sz w:val="16"/>
              </w:rPr>
              <w:t>Decision</w:t>
            </w:r>
          </w:p>
        </w:tc>
        <w:tc>
          <w:tcPr>
            <w:tcW w:type="dxa" w:w="1718"/>
            <w:vAlign w:val="center"/>
            <w:shd w:fill="17365D"/>
          </w:tcPr>
          <w:p>
            <w:r>
              <w:rPr>
                <w:sz w:val="16"/>
              </w:rPr>
            </w:r>
            <w:r>
              <w:rPr>
                <w:b/>
                <w:color w:val="FFFFFF"/>
                <w:sz w:val="16"/>
              </w:rPr>
              <w:t>IA1</w:t>
            </w:r>
          </w:p>
        </w:tc>
        <w:tc>
          <w:tcPr>
            <w:tcW w:type="dxa" w:w="1718"/>
            <w:vAlign w:val="center"/>
            <w:shd w:fill="17365D"/>
          </w:tcPr>
          <w:p>
            <w:r>
              <w:rPr>
                <w:sz w:val="16"/>
              </w:rPr>
            </w:r>
            <w:r>
              <w:rPr>
                <w:b/>
                <w:color w:val="FFFFFF"/>
                <w:sz w:val="16"/>
              </w:rPr>
              <w:t>IA2</w:t>
            </w:r>
          </w:p>
        </w:tc>
        <w:tc>
          <w:tcPr>
            <w:tcW w:type="dxa" w:w="1718"/>
            <w:vAlign w:val="center"/>
            <w:shd w:fill="17365D"/>
          </w:tcPr>
          <w:p>
            <w:r>
              <w:rPr>
                <w:sz w:val="16"/>
              </w:rPr>
            </w:r>
            <w:r>
              <w:rPr>
                <w:b/>
                <w:color w:val="FFFFFF"/>
                <w:sz w:val="16"/>
              </w:rPr>
              <w:t>IA3</w:t>
            </w:r>
          </w:p>
        </w:tc>
        <w:tc>
          <w:tcPr>
            <w:tcW w:type="dxa" w:w="1718"/>
            <w:vAlign w:val="center"/>
            <w:shd w:fill="17365D"/>
          </w:tcPr>
          <w:p>
            <w:r>
              <w:rPr>
                <w:sz w:val="16"/>
              </w:rPr>
            </w:r>
            <w:r>
              <w:rPr>
                <w:b/>
                <w:color w:val="FFFFFF"/>
                <w:sz w:val="16"/>
              </w:rPr>
              <w:t>IA4</w:t>
            </w:r>
          </w:p>
        </w:tc>
        <w:tc>
          <w:tcPr>
            <w:tcW w:type="dxa" w:w="1718"/>
            <w:vAlign w:val="center"/>
            <w:shd w:fill="17365D"/>
          </w:tcPr>
          <w:p>
            <w:r>
              <w:rPr>
                <w:sz w:val="16"/>
              </w:rPr>
            </w:r>
            <w:r>
              <w:rPr>
                <w:b/>
                <w:color w:val="FFFFFF"/>
                <w:sz w:val="16"/>
              </w:rPr>
              <w:t>IA5</w:t>
            </w:r>
          </w:p>
        </w:tc>
      </w:tr>
      <w:tr>
        <w:trPr>
          <w:cantSplit/>
        </w:trPr>
        <w:tc>
          <w:tcPr>
            <w:tcW w:type="dxa" w:w="1718"/>
            <w:vAlign w:val="center"/>
          </w:tcPr>
          <w:p>
            <w:r>
              <w:rPr>
                <w:sz w:val="16"/>
              </w:rPr>
            </w:r>
            <w:r>
              <w:rPr>
                <w:b w:val="0"/>
                <w:sz w:val="16"/>
              </w:rPr>
              <w:t>Government securities</w:t>
            </w:r>
          </w:p>
        </w:tc>
        <w:tc>
          <w:tcPr>
            <w:tcW w:type="dxa" w:w="1718"/>
            <w:vAlign w:val="center"/>
          </w:tcPr>
          <w:p>
            <w:r>
              <w:rPr>
                <w:sz w:val="16"/>
              </w:rPr>
            </w:r>
            <w:r>
              <w:rPr>
                <w:b w:val="0"/>
                <w:sz w:val="16"/>
              </w:rPr>
              <w:t>≤₹10cr, ≤3y</w:t>
            </w:r>
          </w:p>
        </w:tc>
        <w:tc>
          <w:tcPr>
            <w:tcW w:type="dxa" w:w="1718"/>
            <w:vAlign w:val="center"/>
          </w:tcPr>
          <w:p>
            <w:r>
              <w:rPr>
                <w:sz w:val="16"/>
              </w:rPr>
            </w:r>
            <w:r>
              <w:rPr>
                <w:b w:val="0"/>
                <w:sz w:val="16"/>
              </w:rPr>
              <w:t>≤₹25cr</w:t>
            </w:r>
          </w:p>
        </w:tc>
        <w:tc>
          <w:tcPr>
            <w:tcW w:type="dxa" w:w="1718"/>
            <w:vAlign w:val="center"/>
          </w:tcPr>
          <w:p>
            <w:r>
              <w:rPr>
                <w:sz w:val="16"/>
              </w:rPr>
            </w:r>
            <w:r>
              <w:rPr>
                <w:b w:val="0"/>
                <w:sz w:val="16"/>
              </w:rPr>
              <w:t>≤₹50cr</w:t>
            </w:r>
          </w:p>
        </w:tc>
        <w:tc>
          <w:tcPr>
            <w:tcW w:type="dxa" w:w="1718"/>
            <w:vAlign w:val="center"/>
          </w:tcPr>
          <w:p>
            <w:r>
              <w:rPr>
                <w:sz w:val="16"/>
              </w:rPr>
            </w:r>
            <w:r>
              <w:rPr>
                <w:b w:val="0"/>
                <w:sz w:val="16"/>
              </w:rPr>
              <w:t>≤₹150cr</w:t>
            </w:r>
          </w:p>
        </w:tc>
        <w:tc>
          <w:tcPr>
            <w:tcW w:type="dxa" w:w="1718"/>
            <w:vAlign w:val="center"/>
          </w:tcPr>
          <w:p>
            <w:r>
              <w:rPr>
                <w:sz w:val="16"/>
              </w:rPr>
            </w:r>
            <w:r>
              <w:rPr>
                <w:b w:val="0"/>
                <w:sz w:val="16"/>
              </w:rPr>
              <w:t>&gt;₹150cr/reserved</w:t>
            </w:r>
          </w:p>
        </w:tc>
      </w:tr>
      <w:tr>
        <w:trPr>
          <w:cantSplit/>
        </w:trPr>
        <w:tc>
          <w:tcPr>
            <w:tcW w:type="dxa" w:w="1718"/>
            <w:vAlign w:val="center"/>
          </w:tcPr>
          <w:p>
            <w:r>
              <w:rPr>
                <w:sz w:val="16"/>
              </w:rPr>
            </w:r>
            <w:r>
              <w:rPr>
                <w:b w:val="0"/>
                <w:sz w:val="16"/>
              </w:rPr>
              <w:t>Corporate debt IG1–IG2</w:t>
            </w:r>
          </w:p>
        </w:tc>
        <w:tc>
          <w:tcPr>
            <w:tcW w:type="dxa" w:w="1718"/>
            <w:vAlign w:val="center"/>
          </w:tcPr>
          <w:p>
            <w:r>
              <w:rPr>
                <w:sz w:val="16"/>
              </w:rPr>
            </w:r>
            <w:r>
              <w:rPr>
                <w:b w:val="0"/>
                <w:sz w:val="16"/>
              </w:rPr>
              <w:t>No</w:t>
            </w:r>
          </w:p>
        </w:tc>
        <w:tc>
          <w:tcPr>
            <w:tcW w:type="dxa" w:w="1718"/>
            <w:vAlign w:val="center"/>
          </w:tcPr>
          <w:p>
            <w:r>
              <w:rPr>
                <w:sz w:val="16"/>
              </w:rPr>
            </w:r>
            <w:r>
              <w:rPr>
                <w:b w:val="0"/>
                <w:sz w:val="16"/>
              </w:rPr>
              <w:t>≤₹25cr</w:t>
            </w:r>
          </w:p>
        </w:tc>
        <w:tc>
          <w:tcPr>
            <w:tcW w:type="dxa" w:w="1718"/>
            <w:vAlign w:val="center"/>
          </w:tcPr>
          <w:p>
            <w:r>
              <w:rPr>
                <w:sz w:val="16"/>
              </w:rPr>
            </w:r>
            <w:r>
              <w:rPr>
                <w:b w:val="0"/>
                <w:sz w:val="16"/>
              </w:rPr>
              <w:t>≤₹50cr</w:t>
            </w:r>
          </w:p>
        </w:tc>
        <w:tc>
          <w:tcPr>
            <w:tcW w:type="dxa" w:w="1718"/>
            <w:vAlign w:val="center"/>
          </w:tcPr>
          <w:p>
            <w:r>
              <w:rPr>
                <w:sz w:val="16"/>
              </w:rPr>
            </w:r>
            <w:r>
              <w:rPr>
                <w:b w:val="0"/>
                <w:sz w:val="16"/>
              </w:rPr>
              <w:t>≤₹150cr</w:t>
            </w:r>
          </w:p>
        </w:tc>
        <w:tc>
          <w:tcPr>
            <w:tcW w:type="dxa" w:w="1718"/>
            <w:vAlign w:val="center"/>
          </w:tcPr>
          <w:p>
            <w:r>
              <w:rPr>
                <w:sz w:val="16"/>
              </w:rPr>
            </w:r>
            <w:r>
              <w:rPr>
                <w:b w:val="0"/>
                <w:sz w:val="16"/>
              </w:rPr>
              <w:t>&gt;₹150cr</w:t>
            </w:r>
          </w:p>
        </w:tc>
      </w:tr>
      <w:tr>
        <w:trPr>
          <w:cantSplit/>
        </w:trPr>
        <w:tc>
          <w:tcPr>
            <w:tcW w:type="dxa" w:w="1718"/>
            <w:vAlign w:val="center"/>
          </w:tcPr>
          <w:p>
            <w:r>
              <w:rPr>
                <w:sz w:val="16"/>
              </w:rPr>
            </w:r>
            <w:r>
              <w:rPr>
                <w:b w:val="0"/>
                <w:sz w:val="16"/>
              </w:rPr>
              <w:t>Corporate debt IG3</w:t>
            </w:r>
          </w:p>
        </w:tc>
        <w:tc>
          <w:tcPr>
            <w:tcW w:type="dxa" w:w="1718"/>
            <w:vAlign w:val="center"/>
          </w:tcPr>
          <w:p>
            <w:r>
              <w:rPr>
                <w:sz w:val="16"/>
              </w:rPr>
            </w:r>
            <w:r>
              <w:rPr>
                <w:b w:val="0"/>
                <w:sz w:val="16"/>
              </w:rPr>
              <w:t>No</w:t>
            </w:r>
          </w:p>
        </w:tc>
        <w:tc>
          <w:tcPr>
            <w:tcW w:type="dxa" w:w="1718"/>
            <w:vAlign w:val="center"/>
          </w:tcPr>
          <w:p>
            <w:r>
              <w:rPr>
                <w:sz w:val="16"/>
              </w:rPr>
            </w:r>
            <w:r>
              <w:rPr>
                <w:b w:val="0"/>
                <w:sz w:val="16"/>
              </w:rPr>
              <w:t>≤₹10cr</w:t>
            </w:r>
          </w:p>
        </w:tc>
        <w:tc>
          <w:tcPr>
            <w:tcW w:type="dxa" w:w="1718"/>
            <w:vAlign w:val="center"/>
          </w:tcPr>
          <w:p>
            <w:r>
              <w:rPr>
                <w:sz w:val="16"/>
              </w:rPr>
            </w:r>
            <w:r>
              <w:rPr>
                <w:b w:val="0"/>
                <w:sz w:val="16"/>
              </w:rPr>
              <w:t>≤₹20cr</w:t>
            </w:r>
          </w:p>
        </w:tc>
        <w:tc>
          <w:tcPr>
            <w:tcW w:type="dxa" w:w="1718"/>
            <w:vAlign w:val="center"/>
          </w:tcPr>
          <w:p>
            <w:r>
              <w:rPr>
                <w:sz w:val="16"/>
              </w:rPr>
            </w:r>
            <w:r>
              <w:rPr>
                <w:b w:val="0"/>
                <w:sz w:val="16"/>
              </w:rPr>
              <w:t>≤₹75cr</w:t>
            </w:r>
          </w:p>
        </w:tc>
        <w:tc>
          <w:tcPr>
            <w:tcW w:type="dxa" w:w="1718"/>
            <w:vAlign w:val="center"/>
          </w:tcPr>
          <w:p>
            <w:r>
              <w:rPr>
                <w:sz w:val="16"/>
              </w:rPr>
            </w:r>
            <w:r>
              <w:rPr>
                <w:b w:val="0"/>
                <w:sz w:val="16"/>
              </w:rPr>
              <w:t>&gt;₹75cr</w:t>
            </w:r>
          </w:p>
        </w:tc>
      </w:tr>
      <w:tr>
        <w:trPr>
          <w:cantSplit/>
        </w:trPr>
        <w:tc>
          <w:tcPr>
            <w:tcW w:type="dxa" w:w="1718"/>
            <w:vAlign w:val="center"/>
          </w:tcPr>
          <w:p>
            <w:r>
              <w:rPr>
                <w:sz w:val="16"/>
              </w:rPr>
            </w:r>
            <w:r>
              <w:rPr>
                <w:b w:val="0"/>
                <w:sz w:val="16"/>
              </w:rPr>
              <w:t>Bank deposit ≤90d</w:t>
            </w:r>
          </w:p>
        </w:tc>
        <w:tc>
          <w:tcPr>
            <w:tcW w:type="dxa" w:w="1718"/>
            <w:vAlign w:val="center"/>
          </w:tcPr>
          <w:p>
            <w:r>
              <w:rPr>
                <w:sz w:val="16"/>
              </w:rPr>
            </w:r>
            <w:r>
              <w:rPr>
                <w:b w:val="0"/>
                <w:sz w:val="16"/>
              </w:rPr>
              <w:t>≤₹10cr</w:t>
            </w:r>
          </w:p>
        </w:tc>
        <w:tc>
          <w:tcPr>
            <w:tcW w:type="dxa" w:w="1718"/>
            <w:vAlign w:val="center"/>
          </w:tcPr>
          <w:p>
            <w:r>
              <w:rPr>
                <w:sz w:val="16"/>
              </w:rPr>
            </w:r>
            <w:r>
              <w:rPr>
                <w:b w:val="0"/>
                <w:sz w:val="16"/>
              </w:rPr>
              <w:t>≤₹25cr</w:t>
            </w:r>
          </w:p>
        </w:tc>
        <w:tc>
          <w:tcPr>
            <w:tcW w:type="dxa" w:w="1718"/>
            <w:vAlign w:val="center"/>
          </w:tcPr>
          <w:p>
            <w:r>
              <w:rPr>
                <w:sz w:val="16"/>
              </w:rPr>
            </w:r>
            <w:r>
              <w:rPr>
                <w:b w:val="0"/>
                <w:sz w:val="16"/>
              </w:rPr>
              <w:t>≤₹50cr</w:t>
            </w:r>
          </w:p>
        </w:tc>
        <w:tc>
          <w:tcPr>
            <w:tcW w:type="dxa" w:w="1718"/>
            <w:vAlign w:val="center"/>
          </w:tcPr>
          <w:p>
            <w:r>
              <w:rPr>
                <w:sz w:val="16"/>
              </w:rPr>
            </w:r>
            <w:r>
              <w:rPr>
                <w:b w:val="0"/>
                <w:sz w:val="16"/>
              </w:rPr>
              <w:t>≤₹150cr</w:t>
            </w:r>
          </w:p>
        </w:tc>
        <w:tc>
          <w:tcPr>
            <w:tcW w:type="dxa" w:w="1718"/>
            <w:vAlign w:val="center"/>
          </w:tcPr>
          <w:p>
            <w:r>
              <w:rPr>
                <w:sz w:val="16"/>
              </w:rPr>
            </w:r>
            <w:r>
              <w:rPr>
                <w:b w:val="0"/>
                <w:sz w:val="16"/>
              </w:rPr>
              <w:t>&gt;₹150cr</w:t>
            </w:r>
          </w:p>
        </w:tc>
      </w:tr>
      <w:tr>
        <w:trPr>
          <w:cantSplit/>
        </w:trPr>
        <w:tc>
          <w:tcPr>
            <w:tcW w:type="dxa" w:w="1718"/>
            <w:vAlign w:val="center"/>
          </w:tcPr>
          <w:p>
            <w:r>
              <w:rPr>
                <w:sz w:val="16"/>
              </w:rPr>
            </w:r>
            <w:r>
              <w:rPr>
                <w:b w:val="0"/>
                <w:sz w:val="16"/>
              </w:rPr>
              <w:t>Policy exception</w:t>
            </w:r>
          </w:p>
        </w:tc>
        <w:tc>
          <w:tcPr>
            <w:tcW w:type="dxa" w:w="1718"/>
            <w:vAlign w:val="center"/>
          </w:tcPr>
          <w:p>
            <w:r>
              <w:rPr>
                <w:sz w:val="16"/>
              </w:rPr>
            </w:r>
            <w:r>
              <w:rPr>
                <w:b w:val="0"/>
                <w:sz w:val="16"/>
              </w:rPr>
              <w:t>No</w:t>
            </w:r>
          </w:p>
        </w:tc>
        <w:tc>
          <w:tcPr>
            <w:tcW w:type="dxa" w:w="1718"/>
            <w:vAlign w:val="center"/>
          </w:tcPr>
          <w:p>
            <w:r>
              <w:rPr>
                <w:sz w:val="16"/>
              </w:rPr>
            </w:r>
            <w:r>
              <w:rPr>
                <w:b w:val="0"/>
                <w:sz w:val="16"/>
              </w:rPr>
              <w:t>No</w:t>
            </w:r>
          </w:p>
        </w:tc>
        <w:tc>
          <w:tcPr>
            <w:tcW w:type="dxa" w:w="1718"/>
            <w:vAlign w:val="center"/>
          </w:tcPr>
          <w:p>
            <w:r>
              <w:rPr>
                <w:sz w:val="16"/>
              </w:rPr>
            </w:r>
            <w:r>
              <w:rPr>
                <w:b w:val="0"/>
                <w:sz w:val="16"/>
              </w:rPr>
              <w:t>Limited administrative only</w:t>
            </w:r>
          </w:p>
        </w:tc>
        <w:tc>
          <w:tcPr>
            <w:tcW w:type="dxa" w:w="1718"/>
            <w:vAlign w:val="center"/>
          </w:tcPr>
          <w:p>
            <w:r>
              <w:rPr>
                <w:sz w:val="16"/>
              </w:rPr>
            </w:r>
            <w:r>
              <w:rPr>
                <w:b w:val="0"/>
                <w:sz w:val="16"/>
              </w:rPr>
              <w:t>Defined temporary bands</w:t>
            </w:r>
          </w:p>
        </w:tc>
        <w:tc>
          <w:tcPr>
            <w:tcW w:type="dxa" w:w="1718"/>
            <w:vAlign w:val="center"/>
          </w:tcPr>
          <w:p>
            <w:r>
              <w:rPr>
                <w:sz w:val="16"/>
              </w:rPr>
            </w:r>
            <w:r>
              <w:rPr>
                <w:b w:val="0"/>
                <w:sz w:val="16"/>
              </w:rPr>
              <w:t>Material / Board-reserved</w:t>
            </w:r>
          </w:p>
        </w:tc>
      </w:tr>
    </w:tbl>
    <w:p/>
    <w:p>
      <w:pPr>
        <w:pStyle w:val="Heading1"/>
      </w:pPr>
      <w:r>
        <w:t>17. Appendix B — Authority Scenarios</w:t>
      </w:r>
    </w:p>
    <w:p>
      <w:r>
        <w:t>Examples do not expand authority.</w:t>
      </w:r>
    </w:p>
    <w:tbl>
      <w:tblPr>
        <w:tblStyle w:val="TableGrid"/>
        <w:tblW w:type="auto" w:w="0"/>
        <w:jc w:val="center"/>
        <w:tblLook w:firstColumn="1" w:firstRow="1" w:lastColumn="0" w:lastRow="0" w:noHBand="0" w:noVBand="1" w:val="04A0"/>
      </w:tblPr>
      <w:tblGrid>
        <w:gridCol w:w="5155"/>
        <w:gridCol w:w="5155"/>
      </w:tblGrid>
      <w:tr>
        <w:trPr>
          <w:tblHeader w:val="true"/>
          <w:cantSplit/>
        </w:trPr>
        <w:tc>
          <w:tcPr>
            <w:tcW w:type="dxa" w:w="5155"/>
            <w:vAlign w:val="center"/>
            <w:shd w:fill="17365D"/>
          </w:tcPr>
          <w:p>
            <w:r>
              <w:rPr>
                <w:sz w:val="16"/>
              </w:rPr>
            </w:r>
            <w:r>
              <w:rPr>
                <w:b/>
                <w:color w:val="FFFFFF"/>
                <w:sz w:val="16"/>
              </w:rPr>
              <w:t>Scenario</w:t>
            </w:r>
          </w:p>
        </w:tc>
        <w:tc>
          <w:tcPr>
            <w:tcW w:type="dxa" w:w="5155"/>
            <w:vAlign w:val="center"/>
            <w:shd w:fill="17365D"/>
          </w:tcPr>
          <w:p>
            <w:r>
              <w:rPr>
                <w:sz w:val="16"/>
              </w:rPr>
            </w:r>
            <w:r>
              <w:rPr>
                <w:b/>
                <w:color w:val="FFFFFF"/>
                <w:sz w:val="16"/>
              </w:rPr>
              <w:t>Required Authority</w:t>
            </w:r>
          </w:p>
        </w:tc>
      </w:tr>
      <w:tr>
        <w:trPr>
          <w:cantSplit/>
        </w:trPr>
        <w:tc>
          <w:tcPr>
            <w:tcW w:type="dxa" w:w="5155"/>
            <w:vAlign w:val="center"/>
          </w:tcPr>
          <w:p>
            <w:r>
              <w:rPr>
                <w:sz w:val="16"/>
              </w:rPr>
            </w:r>
            <w:r>
              <w:rPr>
                <w:b w:val="0"/>
                <w:sz w:val="16"/>
              </w:rPr>
              <w:t>₹22cr IG2 corporate bond within limits</w:t>
            </w:r>
          </w:p>
        </w:tc>
        <w:tc>
          <w:tcPr>
            <w:tcW w:type="dxa" w:w="5155"/>
            <w:vAlign w:val="center"/>
          </w:tcPr>
          <w:p>
            <w:r>
              <w:rPr>
                <w:sz w:val="16"/>
              </w:rPr>
            </w:r>
            <w:r>
              <w:rPr>
                <w:b w:val="0"/>
                <w:sz w:val="16"/>
              </w:rPr>
              <w:t>IA2 or higher</w:t>
            </w:r>
          </w:p>
        </w:tc>
      </w:tr>
      <w:tr>
        <w:trPr>
          <w:cantSplit/>
        </w:trPr>
        <w:tc>
          <w:tcPr>
            <w:tcW w:type="dxa" w:w="5155"/>
            <w:vAlign w:val="center"/>
          </w:tcPr>
          <w:p>
            <w:r>
              <w:rPr>
                <w:sz w:val="16"/>
              </w:rPr>
            </w:r>
            <w:r>
              <w:rPr>
                <w:b w:val="0"/>
                <w:sz w:val="16"/>
              </w:rPr>
              <w:t>₹28cr government security 2-year maturity</w:t>
            </w:r>
          </w:p>
        </w:tc>
        <w:tc>
          <w:tcPr>
            <w:tcW w:type="dxa" w:w="5155"/>
            <w:vAlign w:val="center"/>
          </w:tcPr>
          <w:p>
            <w:r>
              <w:rPr>
                <w:sz w:val="16"/>
              </w:rPr>
            </w:r>
            <w:r>
              <w:rPr>
                <w:b w:val="0"/>
                <w:sz w:val="16"/>
              </w:rPr>
              <w:t>IA3 or higher because IA2 current cap is ₹25cr</w:t>
            </w:r>
          </w:p>
        </w:tc>
      </w:tr>
      <w:tr>
        <w:trPr>
          <w:cantSplit/>
        </w:trPr>
        <w:tc>
          <w:tcPr>
            <w:tcW w:type="dxa" w:w="5155"/>
            <w:vAlign w:val="center"/>
          </w:tcPr>
          <w:p>
            <w:r>
              <w:rPr>
                <w:sz w:val="16"/>
              </w:rPr>
            </w:r>
            <w:r>
              <w:rPr>
                <w:b w:val="0"/>
                <w:sz w:val="16"/>
              </w:rPr>
              <w:t>₹8cr IG3 corporate bond</w:t>
            </w:r>
          </w:p>
        </w:tc>
        <w:tc>
          <w:tcPr>
            <w:tcW w:type="dxa" w:w="5155"/>
            <w:vAlign w:val="center"/>
          </w:tcPr>
          <w:p>
            <w:r>
              <w:rPr>
                <w:sz w:val="16"/>
              </w:rPr>
            </w:r>
            <w:r>
              <w:rPr>
                <w:b w:val="0"/>
                <w:sz w:val="16"/>
              </w:rPr>
              <w:t>IA2 may approve if all other conditions met</w:t>
            </w:r>
          </w:p>
        </w:tc>
      </w:tr>
      <w:tr>
        <w:trPr>
          <w:cantSplit/>
        </w:trPr>
        <w:tc>
          <w:tcPr>
            <w:tcW w:type="dxa" w:w="5155"/>
            <w:vAlign w:val="center"/>
          </w:tcPr>
          <w:p>
            <w:r>
              <w:rPr>
                <w:sz w:val="16"/>
              </w:rPr>
            </w:r>
            <w:r>
              <w:rPr>
                <w:b w:val="0"/>
                <w:sz w:val="16"/>
              </w:rPr>
              <w:t>₹18cr IG3 corporate bond</w:t>
            </w:r>
          </w:p>
        </w:tc>
        <w:tc>
          <w:tcPr>
            <w:tcW w:type="dxa" w:w="5155"/>
            <w:vAlign w:val="center"/>
          </w:tcPr>
          <w:p>
            <w:r>
              <w:rPr>
                <w:sz w:val="16"/>
              </w:rPr>
            </w:r>
            <w:r>
              <w:rPr>
                <w:b w:val="0"/>
                <w:sz w:val="16"/>
              </w:rPr>
              <w:t>IA3</w:t>
            </w:r>
          </w:p>
        </w:tc>
      </w:tr>
      <w:tr>
        <w:trPr>
          <w:cantSplit/>
        </w:trPr>
        <w:tc>
          <w:tcPr>
            <w:tcW w:type="dxa" w:w="5155"/>
            <w:vAlign w:val="center"/>
          </w:tcPr>
          <w:p>
            <w:r>
              <w:rPr>
                <w:sz w:val="16"/>
              </w:rPr>
            </w:r>
            <w:r>
              <w:rPr>
                <w:b w:val="0"/>
                <w:sz w:val="16"/>
              </w:rPr>
              <w:t>₹40cr trade taking issuer to 8.0%</w:t>
            </w:r>
          </w:p>
        </w:tc>
        <w:tc>
          <w:tcPr>
            <w:tcW w:type="dxa" w:w="5155"/>
            <w:vAlign w:val="center"/>
          </w:tcPr>
          <w:p>
            <w:r>
              <w:rPr>
                <w:sz w:val="16"/>
              </w:rPr>
            </w:r>
            <w:r>
              <w:rPr>
                <w:b w:val="0"/>
                <w:sz w:val="16"/>
              </w:rPr>
              <w:t>IA4 + Risk concurrence for transaction and issuer-limit exception</w:t>
            </w:r>
          </w:p>
        </w:tc>
      </w:tr>
      <w:tr>
        <w:trPr>
          <w:cantSplit/>
        </w:trPr>
        <w:tc>
          <w:tcPr>
            <w:tcW w:type="dxa" w:w="5155"/>
            <w:vAlign w:val="center"/>
          </w:tcPr>
          <w:p>
            <w:r>
              <w:rPr>
                <w:sz w:val="16"/>
              </w:rPr>
            </w:r>
            <w:r>
              <w:rPr>
                <w:b w:val="0"/>
                <w:sz w:val="16"/>
              </w:rPr>
              <w:t>₹160cr government security</w:t>
            </w:r>
          </w:p>
        </w:tc>
        <w:tc>
          <w:tcPr>
            <w:tcW w:type="dxa" w:w="5155"/>
            <w:vAlign w:val="center"/>
          </w:tcPr>
          <w:p>
            <w:r>
              <w:rPr>
                <w:sz w:val="16"/>
              </w:rPr>
            </w:r>
            <w:r>
              <w:rPr>
                <w:b w:val="0"/>
                <w:sz w:val="16"/>
              </w:rPr>
              <w:t>IA5 due value even if otherwise low risk</w:t>
            </w:r>
          </w:p>
        </w:tc>
      </w:tr>
    </w:tbl>
    <w:p/>
    <w:p>
      <w:r>
        <w:br w:type="page"/>
      </w:r>
    </w:p>
    <w:p>
      <w:pPr>
        <w:pStyle w:val="Heading1"/>
      </w:pPr>
      <w:r>
        <w:t>Appendix C — Delegated Authority Conditions by Level</w:t>
      </w:r>
    </w:p>
    <w:p>
      <w:pPr>
        <w:spacing w:after="100"/>
      </w:pPr>
      <w:r>
        <w:t>Authority levels are not interchangeable. The conditions below apply in addition to monetary limits and instrument eligibility.</w:t>
      </w:r>
    </w:p>
    <w:tbl>
      <w:tblPr>
        <w:tblStyle w:val="TableGrid"/>
        <w:tblW w:type="auto" w:w="0"/>
        <w:jc w:val="center"/>
        <w:tblLook w:firstColumn="1" w:firstRow="1" w:lastColumn="0" w:lastRow="0" w:noHBand="0" w:noVBand="1" w:val="04A0"/>
      </w:tblPr>
      <w:tblGrid>
        <w:gridCol w:w="1685"/>
        <w:gridCol w:w="1685"/>
        <w:gridCol w:w="1685"/>
        <w:gridCol w:w="1685"/>
        <w:gridCol w:w="1685"/>
        <w:gridCol w:w="1685"/>
      </w:tblGrid>
      <w:tr>
        <w:trPr>
          <w:tblHeader w:val="true"/>
          <w:cantSplit/>
        </w:trPr>
        <w:tc>
          <w:tcPr>
            <w:tcW w:type="dxa" w:w="1685"/>
            <w:vAlign w:val="center"/>
            <w:shd w:fill="17365D"/>
          </w:tcPr>
          <w:p>
            <w:r/>
            <w:r>
              <w:rPr>
                <w:b/>
                <w:color w:val="FFFFFF"/>
                <w:sz w:val="16"/>
              </w:rPr>
              <w:t>Condition</w:t>
            </w:r>
          </w:p>
        </w:tc>
        <w:tc>
          <w:tcPr>
            <w:tcW w:type="dxa" w:w="1685"/>
            <w:vAlign w:val="center"/>
            <w:shd w:fill="17365D"/>
          </w:tcPr>
          <w:p>
            <w:r/>
            <w:r>
              <w:rPr>
                <w:b/>
                <w:color w:val="FFFFFF"/>
                <w:sz w:val="16"/>
              </w:rPr>
              <w:t>IA1</w:t>
            </w:r>
          </w:p>
        </w:tc>
        <w:tc>
          <w:tcPr>
            <w:tcW w:type="dxa" w:w="1685"/>
            <w:vAlign w:val="center"/>
            <w:shd w:fill="17365D"/>
          </w:tcPr>
          <w:p>
            <w:r/>
            <w:r>
              <w:rPr>
                <w:b/>
                <w:color w:val="FFFFFF"/>
                <w:sz w:val="16"/>
              </w:rPr>
              <w:t>IA2</w:t>
            </w:r>
          </w:p>
        </w:tc>
        <w:tc>
          <w:tcPr>
            <w:tcW w:type="dxa" w:w="1685"/>
            <w:vAlign w:val="center"/>
            <w:shd w:fill="17365D"/>
          </w:tcPr>
          <w:p>
            <w:r/>
            <w:r>
              <w:rPr>
                <w:b/>
                <w:color w:val="FFFFFF"/>
                <w:sz w:val="16"/>
              </w:rPr>
              <w:t>IA3</w:t>
            </w:r>
          </w:p>
        </w:tc>
        <w:tc>
          <w:tcPr>
            <w:tcW w:type="dxa" w:w="1685"/>
            <w:vAlign w:val="center"/>
            <w:shd w:fill="17365D"/>
          </w:tcPr>
          <w:p>
            <w:r/>
            <w:r>
              <w:rPr>
                <w:b/>
                <w:color w:val="FFFFFF"/>
                <w:sz w:val="16"/>
              </w:rPr>
              <w:t>IA4</w:t>
            </w:r>
          </w:p>
        </w:tc>
        <w:tc>
          <w:tcPr>
            <w:tcW w:type="dxa" w:w="1685"/>
            <w:vAlign w:val="center"/>
            <w:shd w:fill="17365D"/>
          </w:tcPr>
          <w:p>
            <w:r/>
            <w:r>
              <w:rPr>
                <w:b/>
                <w:color w:val="FFFFFF"/>
                <w:sz w:val="16"/>
              </w:rPr>
              <w:t>IA5</w:t>
            </w:r>
          </w:p>
        </w:tc>
      </w:tr>
      <w:tr>
        <w:trPr>
          <w:cantSplit/>
        </w:trPr>
        <w:tc>
          <w:tcPr>
            <w:tcW w:type="dxa" w:w="1685"/>
            <w:vAlign w:val="center"/>
          </w:tcPr>
          <w:p>
            <w:r/>
            <w:r>
              <w:rPr>
                <w:b w:val="0"/>
                <w:sz w:val="16"/>
              </w:rPr>
              <w:t>May approve policy exception</w:t>
            </w:r>
          </w:p>
        </w:tc>
        <w:tc>
          <w:tcPr>
            <w:tcW w:type="dxa" w:w="1685"/>
            <w:vAlign w:val="center"/>
          </w:tcPr>
          <w:p>
            <w:r/>
            <w:r>
              <w:rPr>
                <w:b w:val="0"/>
                <w:sz w:val="16"/>
              </w:rPr>
              <w:t>No</w:t>
            </w:r>
          </w:p>
        </w:tc>
        <w:tc>
          <w:tcPr>
            <w:tcW w:type="dxa" w:w="1685"/>
            <w:vAlign w:val="center"/>
          </w:tcPr>
          <w:p>
            <w:r/>
            <w:r>
              <w:rPr>
                <w:b w:val="0"/>
                <w:sz w:val="16"/>
              </w:rPr>
              <w:t>No</w:t>
            </w:r>
          </w:p>
        </w:tc>
        <w:tc>
          <w:tcPr>
            <w:tcW w:type="dxa" w:w="1685"/>
            <w:vAlign w:val="center"/>
          </w:tcPr>
          <w:p>
            <w:r/>
            <w:r>
              <w:rPr>
                <w:b w:val="0"/>
                <w:sz w:val="16"/>
              </w:rPr>
              <w:t>Administrative only where expressly stated</w:t>
            </w:r>
          </w:p>
        </w:tc>
        <w:tc>
          <w:tcPr>
            <w:tcW w:type="dxa" w:w="1685"/>
            <w:vAlign w:val="center"/>
          </w:tcPr>
          <w:p>
            <w:r/>
            <w:r>
              <w:rPr>
                <w:b w:val="0"/>
                <w:sz w:val="16"/>
              </w:rPr>
              <w:t>Defined temporary exceptions</w:t>
            </w:r>
          </w:p>
        </w:tc>
        <w:tc>
          <w:tcPr>
            <w:tcW w:type="dxa" w:w="1685"/>
            <w:vAlign w:val="center"/>
          </w:tcPr>
          <w:p>
            <w:r/>
            <w:r>
              <w:rPr>
                <w:b w:val="0"/>
                <w:sz w:val="16"/>
              </w:rPr>
              <w:t>Material/reserved exceptions</w:t>
            </w:r>
          </w:p>
        </w:tc>
      </w:tr>
      <w:tr>
        <w:trPr>
          <w:cantSplit/>
        </w:trPr>
        <w:tc>
          <w:tcPr>
            <w:tcW w:type="dxa" w:w="1685"/>
            <w:vAlign w:val="center"/>
          </w:tcPr>
          <w:p>
            <w:r/>
            <w:r>
              <w:rPr>
                <w:b w:val="0"/>
                <w:sz w:val="16"/>
              </w:rPr>
              <w:t>May approve new issuer</w:t>
            </w:r>
          </w:p>
        </w:tc>
        <w:tc>
          <w:tcPr>
            <w:tcW w:type="dxa" w:w="1685"/>
            <w:vAlign w:val="center"/>
          </w:tcPr>
          <w:p>
            <w:r/>
            <w:r>
              <w:rPr>
                <w:b w:val="0"/>
                <w:sz w:val="16"/>
              </w:rPr>
              <w:t>No</w:t>
            </w:r>
          </w:p>
        </w:tc>
        <w:tc>
          <w:tcPr>
            <w:tcW w:type="dxa" w:w="1685"/>
            <w:vAlign w:val="center"/>
          </w:tcPr>
          <w:p>
            <w:r/>
            <w:r>
              <w:rPr>
                <w:b w:val="0"/>
                <w:sz w:val="16"/>
              </w:rPr>
              <w:t>No</w:t>
            </w:r>
          </w:p>
        </w:tc>
        <w:tc>
          <w:tcPr>
            <w:tcW w:type="dxa" w:w="1685"/>
            <w:vAlign w:val="center"/>
          </w:tcPr>
          <w:p>
            <w:r/>
            <w:r>
              <w:rPr>
                <w:b w:val="0"/>
                <w:sz w:val="16"/>
              </w:rPr>
              <w:t>Bank counterparty with Risk concurrence</w:t>
            </w:r>
          </w:p>
        </w:tc>
        <w:tc>
          <w:tcPr>
            <w:tcW w:type="dxa" w:w="1685"/>
            <w:vAlign w:val="center"/>
          </w:tcPr>
          <w:p>
            <w:r/>
            <w:r>
              <w:rPr>
                <w:b w:val="0"/>
                <w:sz w:val="16"/>
              </w:rPr>
              <w:t>Corporate issuer / suspended re-entry</w:t>
            </w:r>
          </w:p>
        </w:tc>
        <w:tc>
          <w:tcPr>
            <w:tcW w:type="dxa" w:w="1685"/>
            <w:vAlign w:val="center"/>
          </w:tcPr>
          <w:p>
            <w:r/>
            <w:r>
              <w:rPr>
                <w:b w:val="0"/>
                <w:sz w:val="16"/>
              </w:rPr>
              <w:t>Board-reserved / complex</w:t>
            </w:r>
          </w:p>
        </w:tc>
      </w:tr>
      <w:tr>
        <w:trPr>
          <w:cantSplit/>
        </w:trPr>
        <w:tc>
          <w:tcPr>
            <w:tcW w:type="dxa" w:w="1685"/>
            <w:vAlign w:val="center"/>
          </w:tcPr>
          <w:p>
            <w:r/>
            <w:r>
              <w:rPr>
                <w:b w:val="0"/>
                <w:sz w:val="16"/>
              </w:rPr>
              <w:t>May approve IG3 purchase</w:t>
            </w:r>
          </w:p>
        </w:tc>
        <w:tc>
          <w:tcPr>
            <w:tcW w:type="dxa" w:w="1685"/>
            <w:vAlign w:val="center"/>
          </w:tcPr>
          <w:p>
            <w:r/>
            <w:r>
              <w:rPr>
                <w:b w:val="0"/>
                <w:sz w:val="16"/>
              </w:rPr>
              <w:t>No</w:t>
            </w:r>
          </w:p>
        </w:tc>
        <w:tc>
          <w:tcPr>
            <w:tcW w:type="dxa" w:w="1685"/>
            <w:vAlign w:val="center"/>
          </w:tcPr>
          <w:p>
            <w:r/>
            <w:r>
              <w:rPr>
                <w:b w:val="0"/>
                <w:sz w:val="16"/>
              </w:rPr>
              <w:t>≤₹10cr</w:t>
            </w:r>
          </w:p>
        </w:tc>
        <w:tc>
          <w:tcPr>
            <w:tcW w:type="dxa" w:w="1685"/>
            <w:vAlign w:val="center"/>
          </w:tcPr>
          <w:p>
            <w:r/>
            <w:r>
              <w:rPr>
                <w:b w:val="0"/>
                <w:sz w:val="16"/>
              </w:rPr>
              <w:t>≤₹20cr</w:t>
            </w:r>
          </w:p>
        </w:tc>
        <w:tc>
          <w:tcPr>
            <w:tcW w:type="dxa" w:w="1685"/>
            <w:vAlign w:val="center"/>
          </w:tcPr>
          <w:p>
            <w:r/>
            <w:r>
              <w:rPr>
                <w:b w:val="0"/>
                <w:sz w:val="16"/>
              </w:rPr>
              <w:t>≤₹75cr</w:t>
            </w:r>
          </w:p>
        </w:tc>
        <w:tc>
          <w:tcPr>
            <w:tcW w:type="dxa" w:w="1685"/>
            <w:vAlign w:val="center"/>
          </w:tcPr>
          <w:p>
            <w:r/>
            <w:r>
              <w:rPr>
                <w:b w:val="0"/>
                <w:sz w:val="16"/>
              </w:rPr>
              <w:t>Above IA4 or reserved</w:t>
            </w:r>
          </w:p>
        </w:tc>
      </w:tr>
      <w:tr>
        <w:trPr>
          <w:cantSplit/>
        </w:trPr>
        <w:tc>
          <w:tcPr>
            <w:tcW w:type="dxa" w:w="1685"/>
            <w:vAlign w:val="center"/>
          </w:tcPr>
          <w:p>
            <w:r/>
            <w:r>
              <w:rPr>
                <w:b w:val="0"/>
                <w:sz w:val="16"/>
              </w:rPr>
              <w:t>May approve new instrument class</w:t>
            </w:r>
          </w:p>
        </w:tc>
        <w:tc>
          <w:tcPr>
            <w:tcW w:type="dxa" w:w="1685"/>
            <w:vAlign w:val="center"/>
          </w:tcPr>
          <w:p>
            <w:r/>
            <w:r>
              <w:rPr>
                <w:b w:val="0"/>
                <w:sz w:val="16"/>
              </w:rPr>
              <w:t>No</w:t>
            </w:r>
          </w:p>
        </w:tc>
        <w:tc>
          <w:tcPr>
            <w:tcW w:type="dxa" w:w="1685"/>
            <w:vAlign w:val="center"/>
          </w:tcPr>
          <w:p>
            <w:r/>
            <w:r>
              <w:rPr>
                <w:b w:val="0"/>
                <w:sz w:val="16"/>
              </w:rPr>
              <w:t>No</w:t>
            </w:r>
          </w:p>
        </w:tc>
        <w:tc>
          <w:tcPr>
            <w:tcW w:type="dxa" w:w="1685"/>
            <w:vAlign w:val="center"/>
          </w:tcPr>
          <w:p>
            <w:r/>
            <w:r>
              <w:rPr>
                <w:b w:val="0"/>
                <w:sz w:val="16"/>
              </w:rPr>
              <w:t>No</w:t>
            </w:r>
          </w:p>
        </w:tc>
        <w:tc>
          <w:tcPr>
            <w:tcW w:type="dxa" w:w="1685"/>
            <w:vAlign w:val="center"/>
          </w:tcPr>
          <w:p>
            <w:r/>
            <w:r>
              <w:rPr>
                <w:b w:val="0"/>
                <w:sz w:val="16"/>
              </w:rPr>
              <w:t>Only if not Board-reserved and policy permits</w:t>
            </w:r>
          </w:p>
        </w:tc>
        <w:tc>
          <w:tcPr>
            <w:tcW w:type="dxa" w:w="1685"/>
            <w:vAlign w:val="center"/>
          </w:tcPr>
          <w:p>
            <w:r/>
            <w:r>
              <w:rPr>
                <w:b w:val="0"/>
                <w:sz w:val="16"/>
              </w:rPr>
              <w:t>Yes within Board mandate</w:t>
            </w:r>
          </w:p>
        </w:tc>
      </w:tr>
      <w:tr>
        <w:trPr>
          <w:cantSplit/>
        </w:trPr>
        <w:tc>
          <w:tcPr>
            <w:tcW w:type="dxa" w:w="1685"/>
            <w:vAlign w:val="center"/>
          </w:tcPr>
          <w:p>
            <w:r/>
            <w:r>
              <w:rPr>
                <w:b w:val="0"/>
                <w:sz w:val="16"/>
              </w:rPr>
              <w:t>May approve temporary passive duration excess</w:t>
            </w:r>
          </w:p>
        </w:tc>
        <w:tc>
          <w:tcPr>
            <w:tcW w:type="dxa" w:w="1685"/>
            <w:vAlign w:val="center"/>
          </w:tcPr>
          <w:p>
            <w:r/>
            <w:r>
              <w:rPr>
                <w:b w:val="0"/>
                <w:sz w:val="16"/>
              </w:rPr>
              <w:t>No</w:t>
            </w:r>
          </w:p>
        </w:tc>
        <w:tc>
          <w:tcPr>
            <w:tcW w:type="dxa" w:w="1685"/>
            <w:vAlign w:val="center"/>
          </w:tcPr>
          <w:p>
            <w:r/>
            <w:r>
              <w:rPr>
                <w:b w:val="0"/>
                <w:sz w:val="16"/>
              </w:rPr>
              <w:t>No</w:t>
            </w:r>
          </w:p>
        </w:tc>
        <w:tc>
          <w:tcPr>
            <w:tcW w:type="dxa" w:w="1685"/>
            <w:vAlign w:val="center"/>
          </w:tcPr>
          <w:p>
            <w:r/>
            <w:r>
              <w:rPr>
                <w:b w:val="0"/>
                <w:sz w:val="16"/>
              </w:rPr>
              <w:t>No</w:t>
            </w:r>
          </w:p>
        </w:tc>
        <w:tc>
          <w:tcPr>
            <w:tcW w:type="dxa" w:w="1685"/>
            <w:vAlign w:val="center"/>
          </w:tcPr>
          <w:p>
            <w:r/>
            <w:r>
              <w:rPr>
                <w:b w:val="0"/>
                <w:sz w:val="16"/>
              </w:rPr>
              <w:t>Yes with time-bound plan</w:t>
            </w:r>
          </w:p>
        </w:tc>
        <w:tc>
          <w:tcPr>
            <w:tcW w:type="dxa" w:w="1685"/>
            <w:vAlign w:val="center"/>
          </w:tcPr>
          <w:p>
            <w:r/>
            <w:r>
              <w:rPr>
                <w:b w:val="0"/>
                <w:sz w:val="16"/>
              </w:rPr>
              <w:t>Yes</w:t>
            </w:r>
          </w:p>
        </w:tc>
      </w:tr>
    </w:tbl>
    <w:p/>
    <w:p>
      <w:r>
        <w:br w:type="page"/>
      </w:r>
    </w:p>
    <w:p>
      <w:pPr>
        <w:pStyle w:val="Heading1"/>
      </w:pPr>
      <w:r>
        <w:t>Appendix D — Acting Authority Register Template</w:t>
      </w:r>
    </w:p>
    <w:p>
      <w:pPr>
        <w:spacing w:after="100"/>
      </w:pPr>
      <w:r>
        <w:t>Temporary acting authority shall be explicit and time-bound. A manager being absent does not automatically pass their authority to the next person in the team.</w:t>
      </w:r>
    </w:p>
    <w:tbl>
      <w:tblPr>
        <w:tblStyle w:val="TableGrid"/>
        <w:tblW w:type="auto" w:w="0"/>
        <w:jc w:val="center"/>
        <w:tblLook w:firstColumn="1" w:firstRow="1" w:lastColumn="0" w:lastRow="0" w:noHBand="0" w:noVBand="1" w:val="04A0"/>
      </w:tblPr>
      <w:tblGrid>
        <w:gridCol w:w="5054"/>
        <w:gridCol w:w="5054"/>
      </w:tblGrid>
      <w:tr>
        <w:trPr>
          <w:tblHeader w:val="true"/>
          <w:cantSplit/>
        </w:trPr>
        <w:tc>
          <w:tcPr>
            <w:tcW w:type="dxa" w:w="5054"/>
            <w:vAlign w:val="center"/>
            <w:shd w:fill="17365D"/>
          </w:tcPr>
          <w:p>
            <w:r/>
            <w:r>
              <w:rPr>
                <w:b/>
                <w:color w:val="FFFFFF"/>
                <w:sz w:val="16"/>
              </w:rPr>
              <w:t>Field</w:t>
            </w:r>
          </w:p>
        </w:tc>
        <w:tc>
          <w:tcPr>
            <w:tcW w:type="dxa" w:w="5054"/>
            <w:vAlign w:val="center"/>
            <w:shd w:fill="17365D"/>
          </w:tcPr>
          <w:p>
            <w:r/>
            <w:r>
              <w:rPr>
                <w:b/>
                <w:color w:val="FFFFFF"/>
                <w:sz w:val="16"/>
              </w:rPr>
              <w:t>Requirement</w:t>
            </w:r>
          </w:p>
        </w:tc>
      </w:tr>
      <w:tr>
        <w:trPr>
          <w:cantSplit/>
        </w:trPr>
        <w:tc>
          <w:tcPr>
            <w:tcW w:type="dxa" w:w="5054"/>
            <w:vAlign w:val="center"/>
          </w:tcPr>
          <w:p>
            <w:r/>
            <w:r>
              <w:rPr>
                <w:b w:val="0"/>
                <w:sz w:val="16"/>
              </w:rPr>
              <w:t>Acting holder</w:t>
            </w:r>
          </w:p>
        </w:tc>
        <w:tc>
          <w:tcPr>
            <w:tcW w:type="dxa" w:w="5054"/>
            <w:vAlign w:val="center"/>
          </w:tcPr>
          <w:p>
            <w:r/>
            <w:r>
              <w:rPr>
                <w:b w:val="0"/>
                <w:sz w:val="16"/>
              </w:rPr>
              <w:t>Named employee and role</w:t>
            </w:r>
          </w:p>
        </w:tc>
      </w:tr>
      <w:tr>
        <w:trPr>
          <w:cantSplit/>
        </w:trPr>
        <w:tc>
          <w:tcPr>
            <w:tcW w:type="dxa" w:w="5054"/>
            <w:vAlign w:val="center"/>
          </w:tcPr>
          <w:p>
            <w:r/>
            <w:r>
              <w:rPr>
                <w:b w:val="0"/>
                <w:sz w:val="16"/>
              </w:rPr>
              <w:t>Source role</w:t>
            </w:r>
          </w:p>
        </w:tc>
        <w:tc>
          <w:tcPr>
            <w:tcW w:type="dxa" w:w="5054"/>
            <w:vAlign w:val="center"/>
          </w:tcPr>
          <w:p>
            <w:r/>
            <w:r>
              <w:rPr>
                <w:b w:val="0"/>
                <w:sz w:val="16"/>
              </w:rPr>
              <w:t>Authority being temporarily covered</w:t>
            </w:r>
          </w:p>
        </w:tc>
      </w:tr>
      <w:tr>
        <w:trPr>
          <w:cantSplit/>
        </w:trPr>
        <w:tc>
          <w:tcPr>
            <w:tcW w:type="dxa" w:w="5054"/>
            <w:vAlign w:val="center"/>
          </w:tcPr>
          <w:p>
            <w:r/>
            <w:r>
              <w:rPr>
                <w:b w:val="0"/>
                <w:sz w:val="16"/>
              </w:rPr>
              <w:t>Scope</w:t>
            </w:r>
          </w:p>
        </w:tc>
        <w:tc>
          <w:tcPr>
            <w:tcW w:type="dxa" w:w="5054"/>
            <w:vAlign w:val="center"/>
          </w:tcPr>
          <w:p>
            <w:r/>
            <w:r>
              <w:rPr>
                <w:b w:val="0"/>
                <w:sz w:val="16"/>
              </w:rPr>
              <w:t>Products, instruments, limits and exclusions</w:t>
            </w:r>
          </w:p>
        </w:tc>
      </w:tr>
      <w:tr>
        <w:trPr>
          <w:cantSplit/>
        </w:trPr>
        <w:tc>
          <w:tcPr>
            <w:tcW w:type="dxa" w:w="5054"/>
            <w:vAlign w:val="center"/>
          </w:tcPr>
          <w:p>
            <w:r/>
            <w:r>
              <w:rPr>
                <w:b w:val="0"/>
                <w:sz w:val="16"/>
              </w:rPr>
              <w:t>Start / end</w:t>
            </w:r>
          </w:p>
        </w:tc>
        <w:tc>
          <w:tcPr>
            <w:tcW w:type="dxa" w:w="5054"/>
            <w:vAlign w:val="center"/>
          </w:tcPr>
          <w:p>
            <w:r/>
            <w:r>
              <w:rPr>
                <w:b w:val="0"/>
                <w:sz w:val="16"/>
              </w:rPr>
              <w:t>Exact effective period</w:t>
            </w:r>
          </w:p>
        </w:tc>
      </w:tr>
      <w:tr>
        <w:trPr>
          <w:cantSplit/>
        </w:trPr>
        <w:tc>
          <w:tcPr>
            <w:tcW w:type="dxa" w:w="5054"/>
            <w:vAlign w:val="center"/>
          </w:tcPr>
          <w:p>
            <w:r/>
            <w:r>
              <w:rPr>
                <w:b w:val="0"/>
                <w:sz w:val="16"/>
              </w:rPr>
              <w:t>Approver</w:t>
            </w:r>
          </w:p>
        </w:tc>
        <w:tc>
          <w:tcPr>
            <w:tcW w:type="dxa" w:w="5054"/>
            <w:vAlign w:val="center"/>
          </w:tcPr>
          <w:p>
            <w:r/>
            <w:r>
              <w:rPr>
                <w:b w:val="0"/>
                <w:sz w:val="16"/>
              </w:rPr>
              <w:t>Authority permitted to appoint acting holder</w:t>
            </w:r>
          </w:p>
        </w:tc>
      </w:tr>
      <w:tr>
        <w:trPr>
          <w:cantSplit/>
        </w:trPr>
        <w:tc>
          <w:tcPr>
            <w:tcW w:type="dxa" w:w="5054"/>
            <w:vAlign w:val="center"/>
          </w:tcPr>
          <w:p>
            <w:r/>
            <w:r>
              <w:rPr>
                <w:b w:val="0"/>
                <w:sz w:val="16"/>
              </w:rPr>
              <w:t>System access</w:t>
            </w:r>
          </w:p>
        </w:tc>
        <w:tc>
          <w:tcPr>
            <w:tcW w:type="dxa" w:w="5054"/>
            <w:vAlign w:val="center"/>
          </w:tcPr>
          <w:p>
            <w:r/>
            <w:r>
              <w:rPr>
                <w:b w:val="0"/>
                <w:sz w:val="16"/>
              </w:rPr>
              <w:t>Required entitlement changes, if any</w:t>
            </w:r>
          </w:p>
        </w:tc>
      </w:tr>
      <w:tr>
        <w:trPr>
          <w:cantSplit/>
        </w:trPr>
        <w:tc>
          <w:tcPr>
            <w:tcW w:type="dxa" w:w="5054"/>
            <w:vAlign w:val="center"/>
          </w:tcPr>
          <w:p>
            <w:r/>
            <w:r>
              <w:rPr>
                <w:b w:val="0"/>
                <w:sz w:val="16"/>
              </w:rPr>
              <w:t>Certification</w:t>
            </w:r>
          </w:p>
        </w:tc>
        <w:tc>
          <w:tcPr>
            <w:tcW w:type="dxa" w:w="5054"/>
            <w:vAlign w:val="center"/>
          </w:tcPr>
          <w:p>
            <w:r/>
            <w:r>
              <w:rPr>
                <w:b w:val="0"/>
                <w:sz w:val="16"/>
              </w:rPr>
              <w:t>Holder acknowledges limits and conflict requirements</w:t>
            </w:r>
          </w:p>
        </w:tc>
      </w:tr>
      <w:tr>
        <w:trPr>
          <w:cantSplit/>
        </w:trPr>
        <w:tc>
          <w:tcPr>
            <w:tcW w:type="dxa" w:w="5054"/>
            <w:vAlign w:val="center"/>
          </w:tcPr>
          <w:p>
            <w:r/>
            <w:r>
              <w:rPr>
                <w:b w:val="0"/>
                <w:sz w:val="16"/>
              </w:rPr>
              <w:t>Closure</w:t>
            </w:r>
          </w:p>
        </w:tc>
        <w:tc>
          <w:tcPr>
            <w:tcW w:type="dxa" w:w="5054"/>
            <w:vAlign w:val="center"/>
          </w:tcPr>
          <w:p>
            <w:r/>
            <w:r>
              <w:rPr>
                <w:b w:val="0"/>
                <w:sz w:val="16"/>
              </w:rPr>
              <w:t>Access and acting status removed at end date</w:t>
            </w:r>
          </w:p>
        </w:tc>
      </w:tr>
    </w:tbl>
    <w:p/>
    <w:p>
      <w:r>
        <w:br w:type="page"/>
      </w:r>
    </w:p>
    <w:p>
      <w:pPr>
        <w:pStyle w:val="Heading1"/>
      </w:pPr>
      <w:r>
        <w:t>Appendix E — Transaction Aggregation Rules</w:t>
      </w:r>
    </w:p>
    <w:p>
      <w:pPr>
        <w:spacing w:after="100"/>
      </w:pPr>
      <w:r>
        <w:t>Transactions shall not be fragmented to avoid a higher authority level.</w:t>
      </w:r>
    </w:p>
    <w:p>
      <w:pPr>
        <w:pStyle w:val="Heading2"/>
      </w:pPr>
      <w:r>
        <w:t>E.1 Same investment decision</w:t>
      </w:r>
    </w:p>
    <w:p>
      <w:pPr>
        <w:spacing w:after="100"/>
      </w:pPr>
      <w:r>
        <w:t>Trades executed as part of one investment decision, order or allocation are aggregated even if split across counterparties or settlement dates.</w:t>
      </w:r>
    </w:p>
    <w:p>
      <w:pPr>
        <w:pStyle w:val="Heading2"/>
      </w:pPr>
      <w:r>
        <w:t>E.2 Closely timed additions</w:t>
      </w:r>
    </w:p>
    <w:p>
      <w:pPr>
        <w:spacing w:after="100"/>
      </w:pPr>
      <w:r>
        <w:t>Multiple purchases of the same issuer/instrument within a short period may be aggregated where they implement a single planned increase.</w:t>
      </w:r>
    </w:p>
    <w:p>
      <w:pPr>
        <w:pStyle w:val="Heading2"/>
      </w:pPr>
      <w:r>
        <w:t>E.3 Rollovers</w:t>
      </w:r>
    </w:p>
    <w:p>
      <w:pPr>
        <w:spacing w:after="100"/>
      </w:pPr>
      <w:r>
        <w:t>A deposit rollover is a new decision for authority purposes unless a controlled automatic-renewal mandate expressly applies.</w:t>
      </w:r>
    </w:p>
    <w:p>
      <w:pPr>
        <w:pStyle w:val="Heading2"/>
      </w:pPr>
      <w:r>
        <w:t>E.4 Amendments</w:t>
      </w:r>
    </w:p>
    <w:p>
      <w:pPr>
        <w:spacing w:after="100"/>
      </w:pPr>
      <w:r>
        <w:t>A material increase in amount, tenor or risk after approval requires fresh authority at the revised exposure level.</w:t>
      </w:r>
    </w:p>
    <w:p>
      <w:r>
        <w:br w:type="page"/>
      </w:r>
    </w:p>
    <w:p>
      <w:pPr>
        <w:pStyle w:val="Heading1"/>
      </w:pPr>
      <w:r>
        <w:t>Appendix F — Annual Authority Certification</w:t>
      </w:r>
    </w:p>
    <w:p>
      <w:pPr>
        <w:spacing w:after="100"/>
      </w:pPr>
      <w:r>
        <w:t>At least annually, Investment Management, Risk and Operations shall reconcile the Schedule to system entitlements and the named authority register.</w:t>
      </w:r>
    </w:p>
    <w:tbl>
      <w:tblPr>
        <w:tblStyle w:val="TableGrid"/>
        <w:tblW w:type="auto" w:w="0"/>
        <w:jc w:val="center"/>
        <w:tblLook w:firstColumn="1" w:firstRow="1" w:lastColumn="0" w:lastRow="0" w:noHBand="0" w:noVBand="1" w:val="04A0"/>
      </w:tblPr>
      <w:tblGrid>
        <w:gridCol w:w="5054"/>
        <w:gridCol w:w="5054"/>
      </w:tblGrid>
      <w:tr>
        <w:trPr>
          <w:tblHeader w:val="true"/>
          <w:cantSplit/>
        </w:trPr>
        <w:tc>
          <w:tcPr>
            <w:tcW w:type="dxa" w:w="5054"/>
            <w:vAlign w:val="center"/>
            <w:shd w:fill="17365D"/>
          </w:tcPr>
          <w:p>
            <w:r/>
            <w:r>
              <w:rPr>
                <w:b/>
                <w:color w:val="FFFFFF"/>
                <w:sz w:val="16"/>
              </w:rPr>
              <w:t>Certification Step</w:t>
            </w:r>
          </w:p>
        </w:tc>
        <w:tc>
          <w:tcPr>
            <w:tcW w:type="dxa" w:w="5054"/>
            <w:vAlign w:val="center"/>
            <w:shd w:fill="17365D"/>
          </w:tcPr>
          <w:p>
            <w:r/>
            <w:r>
              <w:rPr>
                <w:b/>
                <w:color w:val="FFFFFF"/>
                <w:sz w:val="16"/>
              </w:rPr>
              <w:t>Owner</w:t>
            </w:r>
          </w:p>
        </w:tc>
      </w:tr>
      <w:tr>
        <w:trPr>
          <w:cantSplit/>
        </w:trPr>
        <w:tc>
          <w:tcPr>
            <w:tcW w:type="dxa" w:w="5054"/>
            <w:vAlign w:val="center"/>
          </w:tcPr>
          <w:p>
            <w:r/>
            <w:r>
              <w:rPr>
                <w:b w:val="0"/>
                <w:sz w:val="16"/>
              </w:rPr>
              <w:t>Confirm current role holders and acting appointments</w:t>
            </w:r>
          </w:p>
        </w:tc>
        <w:tc>
          <w:tcPr>
            <w:tcW w:type="dxa" w:w="5054"/>
            <w:vAlign w:val="center"/>
          </w:tcPr>
          <w:p>
            <w:r/>
            <w:r>
              <w:rPr>
                <w:b w:val="0"/>
                <w:sz w:val="16"/>
              </w:rPr>
              <w:t>Investment Management / HR</w:t>
            </w:r>
          </w:p>
        </w:tc>
      </w:tr>
      <w:tr>
        <w:trPr>
          <w:cantSplit/>
        </w:trPr>
        <w:tc>
          <w:tcPr>
            <w:tcW w:type="dxa" w:w="5054"/>
            <w:vAlign w:val="center"/>
          </w:tcPr>
          <w:p>
            <w:r/>
            <w:r>
              <w:rPr>
                <w:b w:val="0"/>
                <w:sz w:val="16"/>
              </w:rPr>
              <w:t>Reconcile monetary and product authorities</w:t>
            </w:r>
          </w:p>
        </w:tc>
        <w:tc>
          <w:tcPr>
            <w:tcW w:type="dxa" w:w="5054"/>
            <w:vAlign w:val="center"/>
          </w:tcPr>
          <w:p>
            <w:r/>
            <w:r>
              <w:rPr>
                <w:b w:val="0"/>
                <w:sz w:val="16"/>
              </w:rPr>
              <w:t>Investment Risk</w:t>
            </w:r>
          </w:p>
        </w:tc>
      </w:tr>
      <w:tr>
        <w:trPr>
          <w:cantSplit/>
        </w:trPr>
        <w:tc>
          <w:tcPr>
            <w:tcW w:type="dxa" w:w="5054"/>
            <w:vAlign w:val="center"/>
          </w:tcPr>
          <w:p>
            <w:r/>
            <w:r>
              <w:rPr>
                <w:b w:val="0"/>
                <w:sz w:val="16"/>
              </w:rPr>
              <w:t>Compare trading/approval system entitlements</w:t>
            </w:r>
          </w:p>
        </w:tc>
        <w:tc>
          <w:tcPr>
            <w:tcW w:type="dxa" w:w="5054"/>
            <w:vAlign w:val="center"/>
          </w:tcPr>
          <w:p>
            <w:r/>
            <w:r>
              <w:rPr>
                <w:b w:val="0"/>
                <w:sz w:val="16"/>
              </w:rPr>
              <w:t>Technology Access Control</w:t>
            </w:r>
          </w:p>
        </w:tc>
      </w:tr>
      <w:tr>
        <w:trPr>
          <w:cantSplit/>
        </w:trPr>
        <w:tc>
          <w:tcPr>
            <w:tcW w:type="dxa" w:w="5054"/>
            <w:vAlign w:val="center"/>
          </w:tcPr>
          <w:p>
            <w:r/>
            <w:r>
              <w:rPr>
                <w:b w:val="0"/>
                <w:sz w:val="16"/>
              </w:rPr>
              <w:t>Identify excess or stale access</w:t>
            </w:r>
          </w:p>
        </w:tc>
        <w:tc>
          <w:tcPr>
            <w:tcW w:type="dxa" w:w="5054"/>
            <w:vAlign w:val="center"/>
          </w:tcPr>
          <w:p>
            <w:r/>
            <w:r>
              <w:rPr>
                <w:b w:val="0"/>
                <w:sz w:val="16"/>
              </w:rPr>
              <w:t>Operations / Information Security when issued</w:t>
            </w:r>
          </w:p>
        </w:tc>
      </w:tr>
      <w:tr>
        <w:trPr>
          <w:cantSplit/>
        </w:trPr>
        <w:tc>
          <w:tcPr>
            <w:tcW w:type="dxa" w:w="5054"/>
            <w:vAlign w:val="center"/>
          </w:tcPr>
          <w:p>
            <w:r/>
            <w:r>
              <w:rPr>
                <w:b w:val="0"/>
                <w:sz w:val="16"/>
              </w:rPr>
              <w:t>Sample decisions against current authority</w:t>
            </w:r>
          </w:p>
        </w:tc>
        <w:tc>
          <w:tcPr>
            <w:tcW w:type="dxa" w:w="5054"/>
            <w:vAlign w:val="center"/>
          </w:tcPr>
          <w:p>
            <w:r/>
            <w:r>
              <w:rPr>
                <w:b w:val="0"/>
                <w:sz w:val="16"/>
              </w:rPr>
              <w:t>Compliance / Risk</w:t>
            </w:r>
          </w:p>
        </w:tc>
      </w:tr>
      <w:tr>
        <w:trPr>
          <w:cantSplit/>
        </w:trPr>
        <w:tc>
          <w:tcPr>
            <w:tcW w:type="dxa" w:w="5054"/>
            <w:vAlign w:val="center"/>
          </w:tcPr>
          <w:p>
            <w:r/>
            <w:r>
              <w:rPr>
                <w:b w:val="0"/>
                <w:sz w:val="16"/>
              </w:rPr>
              <w:t>Document remediation and sign-off</w:t>
            </w:r>
          </w:p>
        </w:tc>
        <w:tc>
          <w:tcPr>
            <w:tcW w:type="dxa" w:w="5054"/>
            <w:vAlign w:val="center"/>
          </w:tcPr>
          <w:p>
            <w:r/>
            <w:r>
              <w:rPr>
                <w:b w:val="0"/>
                <w:sz w:val="16"/>
              </w:rPr>
              <w:t>Head Investment Management + CRO delegate</w:t>
            </w:r>
          </w:p>
        </w:tc>
      </w:tr>
    </w:tbl>
    <w:p/>
    <w:p>
      <w:r>
        <w:br w:type="page"/>
      </w:r>
    </w:p>
    <w:p>
      <w:pPr>
        <w:pStyle w:val="Heading1"/>
      </w:pPr>
      <w:r>
        <w:t>Appendix G — Reserved-Matter Decision Record</w:t>
      </w:r>
    </w:p>
    <w:p>
      <w:pPr>
        <w:spacing w:after="100"/>
      </w:pPr>
      <w:r>
        <w:t>IA4/IA5 decisions should record the reason higher governance is involved and any conditions imposed.</w:t>
      </w:r>
    </w:p>
    <w:tbl>
      <w:tblPr>
        <w:tblStyle w:val="TableGrid"/>
        <w:tblW w:type="auto" w:w="0"/>
        <w:jc w:val="center"/>
        <w:tblLook w:firstColumn="1" w:firstRow="1" w:lastColumn="0" w:lastRow="0" w:noHBand="0" w:noVBand="1" w:val="04A0"/>
      </w:tblPr>
      <w:tblGrid>
        <w:gridCol w:w="5054"/>
        <w:gridCol w:w="5054"/>
      </w:tblGrid>
      <w:tr>
        <w:trPr>
          <w:tblHeader w:val="true"/>
          <w:cantSplit/>
        </w:trPr>
        <w:tc>
          <w:tcPr>
            <w:tcW w:type="dxa" w:w="5054"/>
            <w:vAlign w:val="center"/>
            <w:shd w:fill="17365D"/>
          </w:tcPr>
          <w:p>
            <w:r/>
            <w:r>
              <w:rPr>
                <w:b/>
                <w:color w:val="FFFFFF"/>
                <w:sz w:val="16"/>
              </w:rPr>
              <w:t>Field</w:t>
            </w:r>
          </w:p>
        </w:tc>
        <w:tc>
          <w:tcPr>
            <w:tcW w:type="dxa" w:w="5054"/>
            <w:vAlign w:val="center"/>
            <w:shd w:fill="17365D"/>
          </w:tcPr>
          <w:p>
            <w:r/>
            <w:r>
              <w:rPr>
                <w:b/>
                <w:color w:val="FFFFFF"/>
                <w:sz w:val="16"/>
              </w:rPr>
              <w:t>Example</w:t>
            </w:r>
          </w:p>
        </w:tc>
      </w:tr>
      <w:tr>
        <w:trPr>
          <w:cantSplit/>
        </w:trPr>
        <w:tc>
          <w:tcPr>
            <w:tcW w:type="dxa" w:w="5054"/>
            <w:vAlign w:val="center"/>
          </w:tcPr>
          <w:p>
            <w:r/>
            <w:r>
              <w:rPr>
                <w:b w:val="0"/>
                <w:sz w:val="16"/>
              </w:rPr>
              <w:t>Reserved matter</w:t>
            </w:r>
          </w:p>
        </w:tc>
        <w:tc>
          <w:tcPr>
            <w:tcW w:type="dxa" w:w="5054"/>
            <w:vAlign w:val="center"/>
          </w:tcPr>
          <w:p>
            <w:r/>
            <w:r>
              <w:rPr>
                <w:b w:val="0"/>
                <w:sz w:val="16"/>
              </w:rPr>
              <w:t>Temporary connected-group concentration &gt;12.5%</w:t>
            </w:r>
          </w:p>
        </w:tc>
      </w:tr>
      <w:tr>
        <w:trPr>
          <w:cantSplit/>
        </w:trPr>
        <w:tc>
          <w:tcPr>
            <w:tcW w:type="dxa" w:w="5054"/>
            <w:vAlign w:val="center"/>
          </w:tcPr>
          <w:p>
            <w:r/>
            <w:r>
              <w:rPr>
                <w:b w:val="0"/>
                <w:sz w:val="16"/>
              </w:rPr>
              <w:t>Requested exposure</w:t>
            </w:r>
          </w:p>
        </w:tc>
        <w:tc>
          <w:tcPr>
            <w:tcW w:type="dxa" w:w="5054"/>
            <w:vAlign w:val="center"/>
          </w:tcPr>
          <w:p>
            <w:r/>
            <w:r>
              <w:rPr>
                <w:b w:val="0"/>
                <w:sz w:val="16"/>
              </w:rPr>
              <w:t>13.3% for 20 calendar days</w:t>
            </w:r>
          </w:p>
        </w:tc>
      </w:tr>
      <w:tr>
        <w:trPr>
          <w:cantSplit/>
        </w:trPr>
        <w:tc>
          <w:tcPr>
            <w:tcW w:type="dxa" w:w="5054"/>
            <w:vAlign w:val="center"/>
          </w:tcPr>
          <w:p>
            <w:r/>
            <w:r>
              <w:rPr>
                <w:b w:val="0"/>
                <w:sz w:val="16"/>
              </w:rPr>
              <w:t>Rationale</w:t>
            </w:r>
          </w:p>
        </w:tc>
        <w:tc>
          <w:tcPr>
            <w:tcW w:type="dxa" w:w="5054"/>
            <w:vAlign w:val="center"/>
          </w:tcPr>
          <w:p>
            <w:r/>
            <w:r>
              <w:rPr>
                <w:b w:val="0"/>
                <w:sz w:val="16"/>
              </w:rPr>
              <w:t>Settlement timing causes temporary overlap during portfolio transition</w:t>
            </w:r>
          </w:p>
        </w:tc>
      </w:tr>
      <w:tr>
        <w:trPr>
          <w:cantSplit/>
        </w:trPr>
        <w:tc>
          <w:tcPr>
            <w:tcW w:type="dxa" w:w="5054"/>
            <w:vAlign w:val="center"/>
          </w:tcPr>
          <w:p>
            <w:r/>
            <w:r>
              <w:rPr>
                <w:b w:val="0"/>
                <w:sz w:val="16"/>
              </w:rPr>
              <w:t>Mitigants</w:t>
            </w:r>
          </w:p>
        </w:tc>
        <w:tc>
          <w:tcPr>
            <w:tcW w:type="dxa" w:w="5054"/>
            <w:vAlign w:val="center"/>
          </w:tcPr>
          <w:p>
            <w:r/>
            <w:r>
              <w:rPr>
                <w:b w:val="0"/>
                <w:sz w:val="16"/>
              </w:rPr>
              <w:t>No further group purchases; committed maturity receipts; daily reporting</w:t>
            </w:r>
          </w:p>
        </w:tc>
      </w:tr>
      <w:tr>
        <w:trPr>
          <w:cantSplit/>
        </w:trPr>
        <w:tc>
          <w:tcPr>
            <w:tcW w:type="dxa" w:w="5054"/>
            <w:vAlign w:val="center"/>
          </w:tcPr>
          <w:p>
            <w:r/>
            <w:r>
              <w:rPr>
                <w:b w:val="0"/>
                <w:sz w:val="16"/>
              </w:rPr>
              <w:t>Authority</w:t>
            </w:r>
          </w:p>
        </w:tc>
        <w:tc>
          <w:tcPr>
            <w:tcW w:type="dxa" w:w="5054"/>
            <w:vAlign w:val="center"/>
          </w:tcPr>
          <w:p>
            <w:r/>
            <w:r>
              <w:rPr>
                <w:b w:val="0"/>
                <w:sz w:val="16"/>
              </w:rPr>
              <w:t>IA4 + CRO concurrence</w:t>
            </w:r>
          </w:p>
        </w:tc>
      </w:tr>
      <w:tr>
        <w:trPr>
          <w:cantSplit/>
        </w:trPr>
        <w:tc>
          <w:tcPr>
            <w:tcW w:type="dxa" w:w="5054"/>
            <w:vAlign w:val="center"/>
          </w:tcPr>
          <w:p>
            <w:r/>
            <w:r>
              <w:rPr>
                <w:b w:val="0"/>
                <w:sz w:val="16"/>
              </w:rPr>
              <w:t>Expiry</w:t>
            </w:r>
          </w:p>
        </w:tc>
        <w:tc>
          <w:tcPr>
            <w:tcW w:type="dxa" w:w="5054"/>
            <w:vAlign w:val="center"/>
          </w:tcPr>
          <w:p>
            <w:r/>
            <w:r>
              <w:rPr>
                <w:b w:val="0"/>
                <w:sz w:val="16"/>
              </w:rPr>
              <w:t>20 days; automatic stop at expiry</w:t>
            </w:r>
          </w:p>
        </w:tc>
      </w:tr>
      <w:tr>
        <w:trPr>
          <w:cantSplit/>
        </w:trPr>
        <w:tc>
          <w:tcPr>
            <w:tcW w:type="dxa" w:w="5054"/>
            <w:vAlign w:val="center"/>
          </w:tcPr>
          <w:p>
            <w:r/>
            <w:r>
              <w:rPr>
                <w:b w:val="0"/>
                <w:sz w:val="16"/>
              </w:rPr>
              <w:t>Exit / closure evidence</w:t>
            </w:r>
          </w:p>
        </w:tc>
        <w:tc>
          <w:tcPr>
            <w:tcW w:type="dxa" w:w="5054"/>
            <w:vAlign w:val="center"/>
          </w:tcPr>
          <w:p>
            <w:r/>
            <w:r>
              <w:rPr>
                <w:b w:val="0"/>
                <w:sz w:val="16"/>
              </w:rPr>
              <w:t>Exposure reduced to 11.9% and exception closed</w:t>
            </w:r>
          </w:p>
        </w:tc>
      </w:tr>
    </w:tbl>
    <w:p/>
    <w:sectPr w:rsidR="00FC693F" w:rsidRPr="0006063C" w:rsidSect="00034616">
      <w:headerReference w:type="default" r:id="rId9"/>
      <w:footerReference w:type="default" r:id="rId10"/>
      <w:pgSz w:w="12240" w:h="15840"/>
      <w:pgMar w:top="1037" w:right="1066" w:bottom="979" w:left="106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3"/>
      </w:rPr>
      <w:t>Northstar Financial — Synthetic Internal Document. This document is fictional and created solely for educational and software-development purposes. It does not represent an actual financial institution, regulatory requirement, legal obligation, or financial advice.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17365D"/>
        <w:sz w:val="16"/>
      </w:rPr>
      <w:t>NORTHSTAR FINANCIAL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7"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365F9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F1F1F"/>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Text">
    <w:name w:val="Table Text"/>
    <w:pPr>
      <w:spacing w:after="0"/>
    </w:pPr>
    <w:rPr>
      <w:rFonts w:ascii="Aptos" w:hAnsi="Apto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