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30"/>
        </w:rPr>
        <w:t>NORTHSTAR FINANCIAL</w:t>
      </w:r>
    </w:p>
    <w:p>
      <w:pPr>
        <w:jc w:val="center"/>
      </w:pPr>
      <w:r>
        <w:rPr>
          <w:b/>
          <w:color w:val="17365D"/>
          <w:sz w:val="42"/>
        </w:rPr>
        <w:t>Investment Monitoring Procedure</w:t>
      </w:r>
    </w:p>
    <w:p>
      <w:pPr>
        <w:jc w:val="center"/>
      </w:pPr>
      <w:r>
        <w:rPr>
          <w:sz w:val="20"/>
        </w:rPr>
        <w:t>IMP-041  |  Version 1.2  |  Internal — Confidential</w:t>
      </w:r>
    </w:p>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D9EAF7"/>
          </w:tcPr>
          <w:p>
            <w:r>
              <w:rPr>
                <w:sz w:val="16"/>
              </w:rPr>
            </w:r>
            <w:r>
              <w:rPr>
                <w:b/>
                <w:color w:val="17365D"/>
                <w:sz w:val="17"/>
              </w:rPr>
              <w:t>Document ID</w:t>
            </w:r>
          </w:p>
        </w:tc>
        <w:tc>
          <w:tcPr>
            <w:tcW w:type="dxa" w:w="5155"/>
            <w:vAlign w:val="center"/>
          </w:tcPr>
          <w:p>
            <w:r>
              <w:rPr>
                <w:sz w:val="16"/>
              </w:rPr>
            </w:r>
            <w:r>
              <w:rPr>
                <w:b w:val="0"/>
                <w:sz w:val="17"/>
              </w:rPr>
              <w:t>IMP-041</w:t>
            </w:r>
          </w:p>
        </w:tc>
      </w:tr>
      <w:tr>
        <w:trPr>
          <w:cantSplit/>
        </w:trPr>
        <w:tc>
          <w:tcPr>
            <w:tcW w:type="dxa" w:w="5155"/>
            <w:vAlign w:val="center"/>
            <w:shd w:fill="D9EAF7"/>
          </w:tcPr>
          <w:p>
            <w:r>
              <w:rPr>
                <w:sz w:val="16"/>
              </w:rPr>
            </w:r>
            <w:r>
              <w:rPr>
                <w:b/>
                <w:color w:val="17365D"/>
                <w:sz w:val="17"/>
              </w:rPr>
              <w:t>Document Title</w:t>
            </w:r>
          </w:p>
        </w:tc>
        <w:tc>
          <w:tcPr>
            <w:tcW w:type="dxa" w:w="5155"/>
            <w:vAlign w:val="center"/>
          </w:tcPr>
          <w:p>
            <w:r>
              <w:rPr>
                <w:sz w:val="16"/>
              </w:rPr>
            </w:r>
            <w:r>
              <w:rPr>
                <w:b w:val="0"/>
                <w:sz w:val="17"/>
              </w:rPr>
              <w:t>Investment Monitoring Procedure</w:t>
            </w:r>
          </w:p>
        </w:tc>
      </w:tr>
      <w:tr>
        <w:trPr>
          <w:cantSplit/>
        </w:trPr>
        <w:tc>
          <w:tcPr>
            <w:tcW w:type="dxa" w:w="5155"/>
            <w:vAlign w:val="center"/>
            <w:shd w:fill="D9EAF7"/>
          </w:tcPr>
          <w:p>
            <w:r>
              <w:rPr>
                <w:sz w:val="16"/>
              </w:rPr>
            </w:r>
            <w:r>
              <w:rPr>
                <w:b/>
                <w:color w:val="17365D"/>
                <w:sz w:val="17"/>
              </w:rPr>
              <w:t>Version</w:t>
            </w:r>
          </w:p>
        </w:tc>
        <w:tc>
          <w:tcPr>
            <w:tcW w:type="dxa" w:w="5155"/>
            <w:vAlign w:val="center"/>
          </w:tcPr>
          <w:p>
            <w:r>
              <w:rPr>
                <w:sz w:val="16"/>
              </w:rPr>
            </w:r>
            <w:r>
              <w:rPr>
                <w:b w:val="0"/>
                <w:sz w:val="17"/>
              </w:rPr>
              <w:t>1.2</w:t>
            </w:r>
          </w:p>
        </w:tc>
      </w:tr>
      <w:tr>
        <w:trPr>
          <w:cantSplit/>
        </w:trPr>
        <w:tc>
          <w:tcPr>
            <w:tcW w:type="dxa" w:w="5155"/>
            <w:vAlign w:val="center"/>
            <w:shd w:fill="D9EAF7"/>
          </w:tcPr>
          <w:p>
            <w:r>
              <w:rPr>
                <w:sz w:val="16"/>
              </w:rPr>
            </w:r>
            <w:r>
              <w:rPr>
                <w:b/>
                <w:color w:val="17365D"/>
                <w:sz w:val="17"/>
              </w:rPr>
              <w:t>Policy Owner</w:t>
            </w:r>
          </w:p>
        </w:tc>
        <w:tc>
          <w:tcPr>
            <w:tcW w:type="dxa" w:w="5155"/>
            <w:vAlign w:val="center"/>
          </w:tcPr>
          <w:p>
            <w:r>
              <w:rPr>
                <w:sz w:val="16"/>
              </w:rPr>
            </w:r>
            <w:r>
              <w:rPr>
                <w:b w:val="0"/>
                <w:sz w:val="17"/>
              </w:rPr>
              <w:t>Aakash Verma — Head of Investment Risk Monitoring</w:t>
            </w:r>
          </w:p>
        </w:tc>
      </w:tr>
      <w:tr>
        <w:trPr>
          <w:cantSplit/>
        </w:trPr>
        <w:tc>
          <w:tcPr>
            <w:tcW w:type="dxa" w:w="5155"/>
            <w:vAlign w:val="center"/>
            <w:shd w:fill="D9EAF7"/>
          </w:tcPr>
          <w:p>
            <w:r>
              <w:rPr>
                <w:sz w:val="16"/>
              </w:rPr>
            </w:r>
            <w:r>
              <w:rPr>
                <w:b/>
                <w:color w:val="17365D"/>
                <w:sz w:val="17"/>
              </w:rPr>
              <w:t>Business Unit</w:t>
            </w:r>
          </w:p>
        </w:tc>
        <w:tc>
          <w:tcPr>
            <w:tcW w:type="dxa" w:w="5155"/>
            <w:vAlign w:val="center"/>
          </w:tcPr>
          <w:p>
            <w:r>
              <w:rPr>
                <w:sz w:val="16"/>
              </w:rPr>
            </w:r>
            <w:r>
              <w:rPr>
                <w:b w:val="0"/>
                <w:sz w:val="17"/>
              </w:rPr>
              <w:t>Enterprise Risk / Investment Risk</w:t>
            </w:r>
          </w:p>
        </w:tc>
      </w:tr>
      <w:tr>
        <w:trPr>
          <w:cantSplit/>
        </w:trPr>
        <w:tc>
          <w:tcPr>
            <w:tcW w:type="dxa" w:w="5155"/>
            <w:vAlign w:val="center"/>
            <w:shd w:fill="D9EAF7"/>
          </w:tcPr>
          <w:p>
            <w:r>
              <w:rPr>
                <w:sz w:val="16"/>
              </w:rPr>
            </w:r>
            <w:r>
              <w:rPr>
                <w:b/>
                <w:color w:val="17365D"/>
                <w:sz w:val="17"/>
              </w:rPr>
              <w:t>Approving Authority</w:t>
            </w:r>
          </w:p>
        </w:tc>
        <w:tc>
          <w:tcPr>
            <w:tcW w:type="dxa" w:w="5155"/>
            <w:vAlign w:val="center"/>
          </w:tcPr>
          <w:p>
            <w:r>
              <w:rPr>
                <w:sz w:val="16"/>
              </w:rPr>
            </w:r>
            <w:r>
              <w:rPr>
                <w:b w:val="0"/>
                <w:sz w:val="17"/>
              </w:rPr>
              <w:t>Chief Risk Officer</w:t>
            </w:r>
          </w:p>
        </w:tc>
      </w:tr>
      <w:tr>
        <w:trPr>
          <w:cantSplit/>
        </w:trPr>
        <w:tc>
          <w:tcPr>
            <w:tcW w:type="dxa" w:w="5155"/>
            <w:vAlign w:val="center"/>
            <w:shd w:fill="D9EAF7"/>
          </w:tcPr>
          <w:p>
            <w:r>
              <w:rPr>
                <w:sz w:val="16"/>
              </w:rPr>
            </w:r>
            <w:r>
              <w:rPr>
                <w:b/>
                <w:color w:val="17365D"/>
                <w:sz w:val="17"/>
              </w:rPr>
              <w:t>Effective Date</w:t>
            </w:r>
          </w:p>
        </w:tc>
        <w:tc>
          <w:tcPr>
            <w:tcW w:type="dxa" w:w="5155"/>
            <w:vAlign w:val="center"/>
          </w:tcPr>
          <w:p>
            <w:r>
              <w:rPr>
                <w:sz w:val="16"/>
              </w:rPr>
            </w:r>
            <w:r>
              <w:rPr>
                <w:b w:val="0"/>
                <w:sz w:val="17"/>
              </w:rPr>
              <w:t>15 January 2026</w:t>
            </w:r>
          </w:p>
        </w:tc>
      </w:tr>
      <w:tr>
        <w:trPr>
          <w:cantSplit/>
        </w:trPr>
        <w:tc>
          <w:tcPr>
            <w:tcW w:type="dxa" w:w="5155"/>
            <w:vAlign w:val="center"/>
            <w:shd w:fill="D9EAF7"/>
          </w:tcPr>
          <w:p>
            <w:r>
              <w:rPr>
                <w:sz w:val="16"/>
              </w:rPr>
            </w:r>
            <w:r>
              <w:rPr>
                <w:b/>
                <w:color w:val="17365D"/>
                <w:sz w:val="17"/>
              </w:rPr>
              <w:t>Previous Version</w:t>
            </w:r>
          </w:p>
        </w:tc>
        <w:tc>
          <w:tcPr>
            <w:tcW w:type="dxa" w:w="5155"/>
            <w:vAlign w:val="center"/>
          </w:tcPr>
          <w:p>
            <w:r>
              <w:rPr>
                <w:sz w:val="16"/>
              </w:rPr>
            </w:r>
            <w:r>
              <w:rPr>
                <w:b w:val="0"/>
                <w:sz w:val="17"/>
              </w:rPr>
              <w:t>1.1</w:t>
            </w:r>
          </w:p>
        </w:tc>
      </w:tr>
      <w:tr>
        <w:trPr>
          <w:cantSplit/>
        </w:trPr>
        <w:tc>
          <w:tcPr>
            <w:tcW w:type="dxa" w:w="5155"/>
            <w:vAlign w:val="center"/>
            <w:shd w:fill="D9EAF7"/>
          </w:tcPr>
          <w:p>
            <w:r>
              <w:rPr>
                <w:sz w:val="16"/>
              </w:rPr>
            </w:r>
            <w:r>
              <w:rPr>
                <w:b/>
                <w:color w:val="17365D"/>
                <w:sz w:val="17"/>
              </w:rPr>
              <w:t>Review Frequency</w:t>
            </w:r>
          </w:p>
        </w:tc>
        <w:tc>
          <w:tcPr>
            <w:tcW w:type="dxa" w:w="5155"/>
            <w:vAlign w:val="center"/>
          </w:tcPr>
          <w:p>
            <w:r>
              <w:rPr>
                <w:sz w:val="16"/>
              </w:rPr>
            </w:r>
            <w:r>
              <w:rPr>
                <w:b w:val="0"/>
                <w:sz w:val="17"/>
              </w:rPr>
              <w:t>Annual</w:t>
            </w:r>
          </w:p>
        </w:tc>
      </w:tr>
      <w:tr>
        <w:trPr>
          <w:cantSplit/>
        </w:trPr>
        <w:tc>
          <w:tcPr>
            <w:tcW w:type="dxa" w:w="5155"/>
            <w:vAlign w:val="center"/>
            <w:shd w:fill="D9EAF7"/>
          </w:tcPr>
          <w:p>
            <w:r>
              <w:rPr>
                <w:sz w:val="16"/>
              </w:rPr>
            </w:r>
            <w:r>
              <w:rPr>
                <w:b/>
                <w:color w:val="17365D"/>
                <w:sz w:val="17"/>
              </w:rPr>
              <w:t>Classification</w:t>
            </w:r>
          </w:p>
        </w:tc>
        <w:tc>
          <w:tcPr>
            <w:tcW w:type="dxa" w:w="5155"/>
            <w:vAlign w:val="center"/>
          </w:tcPr>
          <w:p>
            <w:r>
              <w:rPr>
                <w:sz w:val="16"/>
              </w:rPr>
            </w:r>
            <w:r>
              <w:rPr>
                <w:b w:val="0"/>
                <w:sz w:val="17"/>
              </w:rPr>
              <w:t>Internal — Confidential</w:t>
            </w:r>
          </w:p>
        </w:tc>
      </w:tr>
      <w:tr>
        <w:trPr>
          <w:cantSplit/>
        </w:trPr>
        <w:tc>
          <w:tcPr>
            <w:tcW w:type="dxa" w:w="5155"/>
            <w:vAlign w:val="center"/>
            <w:shd w:fill="D9EAF7"/>
          </w:tcPr>
          <w:p>
            <w:r>
              <w:rPr>
                <w:sz w:val="16"/>
              </w:rPr>
            </w:r>
            <w:r>
              <w:rPr>
                <w:b/>
                <w:color w:val="17365D"/>
                <w:sz w:val="17"/>
              </w:rPr>
              <w:t>Status</w:t>
            </w:r>
          </w:p>
        </w:tc>
        <w:tc>
          <w:tcPr>
            <w:tcW w:type="dxa" w:w="5155"/>
            <w:vAlign w:val="center"/>
          </w:tcPr>
          <w:p>
            <w:r>
              <w:rPr>
                <w:sz w:val="16"/>
              </w:rPr>
            </w:r>
            <w:r>
              <w:rPr>
                <w:b w:val="0"/>
                <w:sz w:val="17"/>
              </w:rPr>
              <w:t>Approved</w:t>
            </w:r>
          </w:p>
        </w:tc>
      </w:tr>
      <w:tr>
        <w:trPr>
          <w:cantSplit/>
        </w:trPr>
        <w:tc>
          <w:tcPr>
            <w:tcW w:type="dxa" w:w="5155"/>
            <w:vAlign w:val="center"/>
            <w:shd w:fill="D9EAF7"/>
          </w:tcPr>
          <w:p>
            <w:r>
              <w:rPr>
                <w:sz w:val="16"/>
              </w:rPr>
            </w:r>
            <w:r>
              <w:rPr>
                <w:b/>
                <w:color w:val="17365D"/>
                <w:sz w:val="17"/>
              </w:rPr>
              <w:t>Supersedes</w:t>
            </w:r>
          </w:p>
        </w:tc>
        <w:tc>
          <w:tcPr>
            <w:tcW w:type="dxa" w:w="5155"/>
            <w:vAlign w:val="center"/>
          </w:tcPr>
          <w:p>
            <w:r>
              <w:rPr>
                <w:sz w:val="16"/>
              </w:rPr>
            </w:r>
            <w:r>
              <w:rPr>
                <w:b w:val="0"/>
                <w:sz w:val="17"/>
              </w:rPr>
              <w:t>IMP-041 v1.1</w:t>
            </w:r>
          </w:p>
        </w:tc>
      </w:tr>
      <w:tr>
        <w:trPr>
          <w:cantSplit/>
        </w:trPr>
        <w:tc>
          <w:tcPr>
            <w:tcW w:type="dxa" w:w="5155"/>
            <w:vAlign w:val="center"/>
            <w:shd w:fill="D9EAF7"/>
          </w:tcPr>
          <w:p>
            <w:r>
              <w:rPr>
                <w:sz w:val="16"/>
              </w:rPr>
            </w:r>
            <w:r>
              <w:rPr>
                <w:b/>
                <w:color w:val="17365D"/>
                <w:sz w:val="17"/>
              </w:rPr>
              <w:t>Related Documents</w:t>
            </w:r>
          </w:p>
        </w:tc>
        <w:tc>
          <w:tcPr>
            <w:tcW w:type="dxa" w:w="5155"/>
            <w:vAlign w:val="center"/>
          </w:tcPr>
          <w:p>
            <w:r>
              <w:rPr>
                <w:sz w:val="16"/>
              </w:rPr>
            </w:r>
            <w:r>
              <w:rPr>
                <w:b w:val="0"/>
                <w:sz w:val="17"/>
              </w:rPr>
              <w:t>INV-010; RAS-009; RMF-008; IDS-042; CMP-012; CBP-043</w:t>
            </w:r>
          </w:p>
        </w:tc>
      </w:tr>
    </w:tbl>
    <w:p/>
    <w:p>
      <w:pPr>
        <w:jc w:val="center"/>
      </w:pPr>
      <w:r>
        <w:rPr>
          <w:i/>
          <w:sz w:val="16"/>
        </w:rPr>
        <w:t>Northstar Financial — Synthetic Internal Document. This document is fictional and created solely for educational and software-development purposes. It does not represent an actual financial institution, regulatory requirement, legal obligation, or financial advice.</w:t>
      </w:r>
    </w:p>
    <w:p>
      <w:r>
        <w:br w:type="page"/>
      </w:r>
    </w:p>
    <w:p>
      <w:pPr>
        <w:pStyle w:val="Heading1"/>
      </w:pPr>
      <w:r>
        <w:t>Document Control and Version History</w:t>
      </w:r>
    </w:p>
    <w:tbl>
      <w:tblPr>
        <w:tblStyle w:val="TableGrid"/>
        <w:tblW w:type="auto" w:w="0"/>
        <w:jc w:val="center"/>
        <w:tblLook w:firstColumn="1" w:firstRow="1" w:lastColumn="0" w:lastRow="0" w:noHBand="0" w:noVBand="1" w:val="04A0"/>
      </w:tblPr>
      <w:tblGrid>
        <w:gridCol w:w="2577"/>
        <w:gridCol w:w="2577"/>
        <w:gridCol w:w="2577"/>
        <w:gridCol w:w="2577"/>
      </w:tblGrid>
      <w:tr>
        <w:trPr>
          <w:tblHeader w:val="true"/>
          <w:cantSplit/>
        </w:trPr>
        <w:tc>
          <w:tcPr>
            <w:tcW w:type="dxa" w:w="2577"/>
            <w:vAlign w:val="center"/>
            <w:shd w:fill="17365D"/>
          </w:tcPr>
          <w:p>
            <w:r>
              <w:rPr>
                <w:sz w:val="16"/>
              </w:rPr>
            </w:r>
            <w:r>
              <w:rPr>
                <w:b/>
                <w:color w:val="FFFFFF"/>
                <w:sz w:val="16"/>
              </w:rPr>
              <w:t>Version</w:t>
            </w:r>
          </w:p>
        </w:tc>
        <w:tc>
          <w:tcPr>
            <w:tcW w:type="dxa" w:w="2577"/>
            <w:vAlign w:val="center"/>
            <w:shd w:fill="17365D"/>
          </w:tcPr>
          <w:p>
            <w:r>
              <w:rPr>
                <w:sz w:val="16"/>
              </w:rPr>
            </w:r>
            <w:r>
              <w:rPr>
                <w:b/>
                <w:color w:val="FFFFFF"/>
                <w:sz w:val="16"/>
              </w:rPr>
              <w:t>Effective Date</w:t>
            </w:r>
          </w:p>
        </w:tc>
        <w:tc>
          <w:tcPr>
            <w:tcW w:type="dxa" w:w="2577"/>
            <w:vAlign w:val="center"/>
            <w:shd w:fill="17365D"/>
          </w:tcPr>
          <w:p>
            <w:r>
              <w:rPr>
                <w:sz w:val="16"/>
              </w:rPr>
            </w:r>
            <w:r>
              <w:rPr>
                <w:b/>
                <w:color w:val="FFFFFF"/>
                <w:sz w:val="16"/>
              </w:rPr>
              <w:t>Change Summary</w:t>
            </w:r>
          </w:p>
        </w:tc>
        <w:tc>
          <w:tcPr>
            <w:tcW w:type="dxa" w:w="2577"/>
            <w:vAlign w:val="center"/>
            <w:shd w:fill="17365D"/>
          </w:tcPr>
          <w:p>
            <w:r>
              <w:rPr>
                <w:sz w:val="16"/>
              </w:rPr>
            </w:r>
            <w:r>
              <w:rPr>
                <w:b/>
                <w:color w:val="FFFFFF"/>
                <w:sz w:val="16"/>
              </w:rPr>
              <w:t>Approving Authority</w:t>
            </w:r>
          </w:p>
        </w:tc>
      </w:tr>
      <w:tr>
        <w:trPr>
          <w:cantSplit/>
        </w:trPr>
        <w:tc>
          <w:tcPr>
            <w:tcW w:type="dxa" w:w="2577"/>
            <w:vAlign w:val="center"/>
          </w:tcPr>
          <w:p>
            <w:r>
              <w:rPr>
                <w:sz w:val="16"/>
              </w:rPr>
            </w:r>
            <w:r>
              <w:rPr>
                <w:b w:val="0"/>
                <w:sz w:val="16"/>
              </w:rPr>
              <w:t>1.0</w:t>
            </w:r>
          </w:p>
        </w:tc>
        <w:tc>
          <w:tcPr>
            <w:tcW w:type="dxa" w:w="2577"/>
            <w:vAlign w:val="center"/>
          </w:tcPr>
          <w:p>
            <w:r>
              <w:rPr>
                <w:sz w:val="16"/>
              </w:rPr>
            </w:r>
            <w:r>
              <w:rPr>
                <w:b w:val="0"/>
                <w:sz w:val="16"/>
              </w:rPr>
              <w:t>1 Aug 2024</w:t>
            </w:r>
          </w:p>
        </w:tc>
        <w:tc>
          <w:tcPr>
            <w:tcW w:type="dxa" w:w="2577"/>
            <w:vAlign w:val="center"/>
          </w:tcPr>
          <w:p>
            <w:r>
              <w:rPr>
                <w:sz w:val="16"/>
              </w:rPr>
            </w:r>
            <w:r>
              <w:rPr>
                <w:b w:val="0"/>
                <w:sz w:val="16"/>
              </w:rPr>
              <w:t>Established daily investment limit monitoring.</w:t>
            </w:r>
          </w:p>
        </w:tc>
        <w:tc>
          <w:tcPr>
            <w:tcW w:type="dxa" w:w="2577"/>
            <w:vAlign w:val="center"/>
          </w:tcPr>
          <w:p>
            <w:r>
              <w:rPr>
                <w:sz w:val="16"/>
              </w:rPr>
            </w:r>
            <w:r>
              <w:rPr>
                <w:b w:val="0"/>
                <w:sz w:val="16"/>
              </w:rPr>
              <w:t>Chief Risk Officer</w:t>
            </w:r>
          </w:p>
        </w:tc>
      </w:tr>
      <w:tr>
        <w:trPr>
          <w:cantSplit/>
        </w:trPr>
        <w:tc>
          <w:tcPr>
            <w:tcW w:type="dxa" w:w="2577"/>
            <w:vAlign w:val="center"/>
          </w:tcPr>
          <w:p>
            <w:r>
              <w:rPr>
                <w:sz w:val="16"/>
              </w:rPr>
            </w:r>
            <w:r>
              <w:rPr>
                <w:b w:val="0"/>
                <w:sz w:val="16"/>
              </w:rPr>
              <w:t>1.1</w:t>
            </w:r>
          </w:p>
        </w:tc>
        <w:tc>
          <w:tcPr>
            <w:tcW w:type="dxa" w:w="2577"/>
            <w:vAlign w:val="center"/>
          </w:tcPr>
          <w:p>
            <w:r>
              <w:rPr>
                <w:sz w:val="16"/>
              </w:rPr>
            </w:r>
            <w:r>
              <w:rPr>
                <w:b w:val="0"/>
                <w:sz w:val="16"/>
              </w:rPr>
              <w:t>1 Apr 2025</w:t>
            </w:r>
          </w:p>
        </w:tc>
        <w:tc>
          <w:tcPr>
            <w:tcW w:type="dxa" w:w="2577"/>
            <w:vAlign w:val="center"/>
          </w:tcPr>
          <w:p>
            <w:r>
              <w:rPr>
                <w:sz w:val="16"/>
              </w:rPr>
            </w:r>
            <w:r>
              <w:rPr>
                <w:b w:val="0"/>
                <w:sz w:val="16"/>
              </w:rPr>
              <w:t>Added watchlist and valuation exception workflow.</w:t>
            </w:r>
          </w:p>
        </w:tc>
        <w:tc>
          <w:tcPr>
            <w:tcW w:type="dxa" w:w="2577"/>
            <w:vAlign w:val="center"/>
          </w:tcPr>
          <w:p>
            <w:r>
              <w:rPr>
                <w:sz w:val="16"/>
              </w:rPr>
            </w:r>
            <w:r>
              <w:rPr>
                <w:b w:val="0"/>
                <w:sz w:val="16"/>
              </w:rPr>
              <w:t>Chief Risk Officer</w:t>
            </w:r>
          </w:p>
        </w:tc>
      </w:tr>
      <w:tr>
        <w:trPr>
          <w:cantSplit/>
        </w:trPr>
        <w:tc>
          <w:tcPr>
            <w:tcW w:type="dxa" w:w="2577"/>
            <w:vAlign w:val="center"/>
          </w:tcPr>
          <w:p>
            <w:r>
              <w:rPr>
                <w:sz w:val="16"/>
              </w:rPr>
            </w:r>
            <w:r>
              <w:rPr>
                <w:b w:val="0"/>
                <w:sz w:val="16"/>
              </w:rPr>
              <w:t>1.2</w:t>
            </w:r>
          </w:p>
        </w:tc>
        <w:tc>
          <w:tcPr>
            <w:tcW w:type="dxa" w:w="2577"/>
            <w:vAlign w:val="center"/>
          </w:tcPr>
          <w:p>
            <w:r>
              <w:rPr>
                <w:sz w:val="16"/>
              </w:rPr>
            </w:r>
            <w:r>
              <w:rPr>
                <w:b w:val="0"/>
                <w:sz w:val="16"/>
              </w:rPr>
              <w:t>15 Jan 2026</w:t>
            </w:r>
          </w:p>
        </w:tc>
        <w:tc>
          <w:tcPr>
            <w:tcW w:type="dxa" w:w="2577"/>
            <w:vAlign w:val="center"/>
          </w:tcPr>
          <w:p>
            <w:r>
              <w:rPr>
                <w:sz w:val="16"/>
              </w:rPr>
            </w:r>
            <w:r>
              <w:rPr>
                <w:b w:val="0"/>
                <w:sz w:val="16"/>
              </w:rPr>
              <w:t>Aligned monitoring to INV-010 v2.0 limits and tightened breach notification.</w:t>
            </w:r>
          </w:p>
        </w:tc>
        <w:tc>
          <w:tcPr>
            <w:tcW w:type="dxa" w:w="2577"/>
            <w:vAlign w:val="center"/>
          </w:tcPr>
          <w:p>
            <w:r>
              <w:rPr>
                <w:sz w:val="16"/>
              </w:rPr>
            </w:r>
            <w:r>
              <w:rPr>
                <w:b w:val="0"/>
                <w:sz w:val="16"/>
              </w:rPr>
              <w:t>Chief Risk Officer</w:t>
            </w:r>
          </w:p>
        </w:tc>
      </w:tr>
    </w:tbl>
    <w:p/>
    <w:p>
      <w:r>
        <w:t>Controlled copy status. The version recorded in Northstar Financial’s controlled document library is authoritative. Printed or locally saved copies may be outdated and shall not be relied upon for current decisions without confirming version and effective date.</w:t>
      </w:r>
    </w:p>
    <w:p>
      <w:r>
        <w:t>Hierarchy. Board-approved policies and risk appetite statements prevail over frameworks, standards, procedures, departmental manuals, schedules and forms. A lower-level document may impose a stricter control within its scope. Where a conflict cannot be resolved from scope, effective date or hierarchy, the matter shall be escalated to the document owner before action is taken.</w:t>
      </w:r>
    </w:p>
    <w:p>
      <w:pPr>
        <w:pStyle w:val="Heading1"/>
      </w:pPr>
      <w:r>
        <w:t>1. Purpose</w:t>
      </w:r>
    </w:p>
    <w:p>
      <w:r>
        <w:t>This Procedure defines the monitoring, reconciliation, limit checking, watchlist, escalation and reporting controls used to oversee Northstar Financial’s investment portfolio after execution.</w:t>
      </w:r>
    </w:p>
    <w:p>
      <w:pPr>
        <w:pStyle w:val="Heading1"/>
      </w:pPr>
      <w:r>
        <w:t>2. Scope</w:t>
      </w:r>
    </w:p>
    <w:p>
      <w:r>
        <w:t>The Procedure applies to Investment Risk, Investment Management, Treasury, Investment Operations and Finance for all positions within the scope of INV-010.</w:t>
      </w:r>
    </w:p>
    <w:p>
      <w:pPr>
        <w:pStyle w:val="ListBullet"/>
      </w:pPr>
      <w:r>
        <w:t>Daily position and exposure monitoring.</w:t>
      </w:r>
    </w:p>
    <w:p>
      <w:pPr>
        <w:pStyle w:val="ListBullet"/>
      </w:pPr>
      <w:r>
        <w:t>Issuer, group, sector, grade, liquidity and duration limits.</w:t>
      </w:r>
    </w:p>
    <w:p>
      <w:pPr>
        <w:pStyle w:val="ListBullet"/>
      </w:pPr>
      <w:r>
        <w:t>Valuation and independent price verification exceptions.</w:t>
      </w:r>
    </w:p>
    <w:p>
      <w:pPr>
        <w:pStyle w:val="ListBullet"/>
      </w:pPr>
      <w:r>
        <w:t>Settlement exceptions and failed trades.</w:t>
      </w:r>
    </w:p>
    <w:p>
      <w:pPr>
        <w:pStyle w:val="ListBullet"/>
      </w:pPr>
      <w:r>
        <w:t>Watchlist and credit deterioration.</w:t>
      </w:r>
    </w:p>
    <w:p>
      <w:pPr>
        <w:pStyle w:val="ListBullet"/>
      </w:pPr>
      <w:r>
        <w:t>Breach, remediation and management reporting.</w:t>
      </w:r>
    </w:p>
    <w:p>
      <w:pPr>
        <w:pStyle w:val="Heading1"/>
      </w:pPr>
      <w:r>
        <w:t>3. Daily Monitoring Cycle</w:t>
      </w:r>
    </w:p>
    <w:p>
      <w:r>
        <w:t>The daily monitoring cycle shall be completed using reconciled positions from approved systems and independent reference data where available.</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Time / Stage</w:t>
            </w:r>
          </w:p>
        </w:tc>
        <w:tc>
          <w:tcPr>
            <w:tcW w:type="dxa" w:w="3437"/>
            <w:vAlign w:val="center"/>
            <w:shd w:fill="17365D"/>
          </w:tcPr>
          <w:p>
            <w:r>
              <w:rPr>
                <w:sz w:val="16"/>
              </w:rPr>
            </w:r>
            <w:r>
              <w:rPr>
                <w:b/>
                <w:color w:val="FFFFFF"/>
                <w:sz w:val="16"/>
              </w:rPr>
              <w:t>Control</w:t>
            </w:r>
          </w:p>
        </w:tc>
        <w:tc>
          <w:tcPr>
            <w:tcW w:type="dxa" w:w="3437"/>
            <w:vAlign w:val="center"/>
            <w:shd w:fill="17365D"/>
          </w:tcPr>
          <w:p>
            <w:r>
              <w:rPr>
                <w:sz w:val="16"/>
              </w:rPr>
            </w:r>
            <w:r>
              <w:rPr>
                <w:b/>
                <w:color w:val="FFFFFF"/>
                <w:sz w:val="16"/>
              </w:rPr>
              <w:t>Owner</w:t>
            </w:r>
          </w:p>
        </w:tc>
      </w:tr>
      <w:tr>
        <w:trPr>
          <w:cantSplit/>
        </w:trPr>
        <w:tc>
          <w:tcPr>
            <w:tcW w:type="dxa" w:w="3437"/>
            <w:vAlign w:val="center"/>
          </w:tcPr>
          <w:p>
            <w:r>
              <w:rPr>
                <w:sz w:val="16"/>
              </w:rPr>
            </w:r>
            <w:r>
              <w:rPr>
                <w:b w:val="0"/>
                <w:sz w:val="16"/>
              </w:rPr>
              <w:t>Start of day</w:t>
            </w:r>
          </w:p>
        </w:tc>
        <w:tc>
          <w:tcPr>
            <w:tcW w:type="dxa" w:w="3437"/>
            <w:vAlign w:val="center"/>
          </w:tcPr>
          <w:p>
            <w:r>
              <w:rPr>
                <w:sz w:val="16"/>
              </w:rPr>
            </w:r>
            <w:r>
              <w:rPr>
                <w:b w:val="0"/>
                <w:sz w:val="16"/>
              </w:rPr>
              <w:t>Confirm prior-day settled positions and unresolved breaks.</w:t>
            </w:r>
          </w:p>
        </w:tc>
        <w:tc>
          <w:tcPr>
            <w:tcW w:type="dxa" w:w="3437"/>
            <w:vAlign w:val="center"/>
          </w:tcPr>
          <w:p>
            <w:r>
              <w:rPr>
                <w:sz w:val="16"/>
              </w:rPr>
            </w:r>
            <w:r>
              <w:rPr>
                <w:b w:val="0"/>
                <w:sz w:val="16"/>
              </w:rPr>
              <w:t>Investment Operations</w:t>
            </w:r>
          </w:p>
        </w:tc>
      </w:tr>
      <w:tr>
        <w:trPr>
          <w:cantSplit/>
        </w:trPr>
        <w:tc>
          <w:tcPr>
            <w:tcW w:type="dxa" w:w="3437"/>
            <w:vAlign w:val="center"/>
          </w:tcPr>
          <w:p>
            <w:r>
              <w:rPr>
                <w:sz w:val="16"/>
              </w:rPr>
            </w:r>
            <w:r>
              <w:rPr>
                <w:b w:val="0"/>
                <w:sz w:val="16"/>
              </w:rPr>
              <w:t>Pre-market</w:t>
            </w:r>
          </w:p>
        </w:tc>
        <w:tc>
          <w:tcPr>
            <w:tcW w:type="dxa" w:w="3437"/>
            <w:vAlign w:val="center"/>
          </w:tcPr>
          <w:p>
            <w:r>
              <w:rPr>
                <w:sz w:val="16"/>
              </w:rPr>
            </w:r>
            <w:r>
              <w:rPr>
                <w:b w:val="0"/>
                <w:sz w:val="16"/>
              </w:rPr>
              <w:t>Publish available limit headroom and restricted list.</w:t>
            </w:r>
          </w:p>
        </w:tc>
        <w:tc>
          <w:tcPr>
            <w:tcW w:type="dxa" w:w="3437"/>
            <w:vAlign w:val="center"/>
          </w:tcPr>
          <w:p>
            <w:r>
              <w:rPr>
                <w:sz w:val="16"/>
              </w:rPr>
            </w:r>
            <w:r>
              <w:rPr>
                <w:b w:val="0"/>
                <w:sz w:val="16"/>
              </w:rPr>
              <w:t>Investment Risk</w:t>
            </w:r>
          </w:p>
        </w:tc>
      </w:tr>
      <w:tr>
        <w:trPr>
          <w:cantSplit/>
        </w:trPr>
        <w:tc>
          <w:tcPr>
            <w:tcW w:type="dxa" w:w="3437"/>
            <w:vAlign w:val="center"/>
          </w:tcPr>
          <w:p>
            <w:r>
              <w:rPr>
                <w:sz w:val="16"/>
              </w:rPr>
            </w:r>
            <w:r>
              <w:rPr>
                <w:b w:val="0"/>
                <w:sz w:val="16"/>
              </w:rPr>
              <w:t>Intraday</w:t>
            </w:r>
          </w:p>
        </w:tc>
        <w:tc>
          <w:tcPr>
            <w:tcW w:type="dxa" w:w="3437"/>
            <w:vAlign w:val="center"/>
          </w:tcPr>
          <w:p>
            <w:r>
              <w:rPr>
                <w:sz w:val="16"/>
              </w:rPr>
            </w:r>
            <w:r>
              <w:rPr>
                <w:b w:val="0"/>
                <w:sz w:val="16"/>
              </w:rPr>
              <w:t>Monitor material risk changes and approved exceptions.</w:t>
            </w:r>
          </w:p>
        </w:tc>
        <w:tc>
          <w:tcPr>
            <w:tcW w:type="dxa" w:w="3437"/>
            <w:vAlign w:val="center"/>
          </w:tcPr>
          <w:p>
            <w:r>
              <w:rPr>
                <w:sz w:val="16"/>
              </w:rPr>
            </w:r>
            <w:r>
              <w:rPr>
                <w:b w:val="0"/>
                <w:sz w:val="16"/>
              </w:rPr>
              <w:t>Investment Management / Risk</w:t>
            </w:r>
          </w:p>
        </w:tc>
      </w:tr>
      <w:tr>
        <w:trPr>
          <w:cantSplit/>
        </w:trPr>
        <w:tc>
          <w:tcPr>
            <w:tcW w:type="dxa" w:w="3437"/>
            <w:vAlign w:val="center"/>
          </w:tcPr>
          <w:p>
            <w:r>
              <w:rPr>
                <w:sz w:val="16"/>
              </w:rPr>
            </w:r>
            <w:r>
              <w:rPr>
                <w:b w:val="0"/>
                <w:sz w:val="16"/>
              </w:rPr>
              <w:t>End of day</w:t>
            </w:r>
          </w:p>
        </w:tc>
        <w:tc>
          <w:tcPr>
            <w:tcW w:type="dxa" w:w="3437"/>
            <w:vAlign w:val="center"/>
          </w:tcPr>
          <w:p>
            <w:r>
              <w:rPr>
                <w:sz w:val="16"/>
              </w:rPr>
            </w:r>
            <w:r>
              <w:rPr>
                <w:b w:val="0"/>
                <w:sz w:val="16"/>
              </w:rPr>
              <w:t>Reconcile positions, limits, valuations and cash.</w:t>
            </w:r>
          </w:p>
        </w:tc>
        <w:tc>
          <w:tcPr>
            <w:tcW w:type="dxa" w:w="3437"/>
            <w:vAlign w:val="center"/>
          </w:tcPr>
          <w:p>
            <w:r>
              <w:rPr>
                <w:sz w:val="16"/>
              </w:rPr>
            </w:r>
            <w:r>
              <w:rPr>
                <w:b w:val="0"/>
                <w:sz w:val="16"/>
              </w:rPr>
              <w:t>Operations / Finance / Risk</w:t>
            </w:r>
          </w:p>
        </w:tc>
      </w:tr>
      <w:tr>
        <w:trPr>
          <w:cantSplit/>
        </w:trPr>
        <w:tc>
          <w:tcPr>
            <w:tcW w:type="dxa" w:w="3437"/>
            <w:vAlign w:val="center"/>
          </w:tcPr>
          <w:p>
            <w:r>
              <w:rPr>
                <w:sz w:val="16"/>
              </w:rPr>
            </w:r>
            <w:r>
              <w:rPr>
                <w:b w:val="0"/>
                <w:sz w:val="16"/>
              </w:rPr>
              <w:t>Next morning</w:t>
            </w:r>
          </w:p>
        </w:tc>
        <w:tc>
          <w:tcPr>
            <w:tcW w:type="dxa" w:w="3437"/>
            <w:vAlign w:val="center"/>
          </w:tcPr>
          <w:p>
            <w:r>
              <w:rPr>
                <w:sz w:val="16"/>
              </w:rPr>
            </w:r>
            <w:r>
              <w:rPr>
                <w:b w:val="0"/>
                <w:sz w:val="16"/>
              </w:rPr>
              <w:t>Issue daily limit and exception report.</w:t>
            </w:r>
          </w:p>
        </w:tc>
        <w:tc>
          <w:tcPr>
            <w:tcW w:type="dxa" w:w="3437"/>
            <w:vAlign w:val="center"/>
          </w:tcPr>
          <w:p>
            <w:r>
              <w:rPr>
                <w:sz w:val="16"/>
              </w:rPr>
            </w:r>
            <w:r>
              <w:rPr>
                <w:b w:val="0"/>
                <w:sz w:val="16"/>
              </w:rPr>
              <w:t>Investment Risk</w:t>
            </w:r>
          </w:p>
        </w:tc>
      </w:tr>
    </w:tbl>
    <w:p/>
    <w:p>
      <w:pPr>
        <w:pStyle w:val="Heading1"/>
      </w:pPr>
      <w:r>
        <w:t>4. Position Reconciliation</w:t>
      </w:r>
    </w:p>
    <w:p>
      <w:r>
        <w:t>Monitoring shall use positions reconciled to the investment ledger and settlement records. Unresolved position breaks shall be separately flagged rather than silently excluded.</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Break Type</w:t>
            </w:r>
          </w:p>
        </w:tc>
        <w:tc>
          <w:tcPr>
            <w:tcW w:type="dxa" w:w="5155"/>
            <w:vAlign w:val="center"/>
            <w:shd w:fill="17365D"/>
          </w:tcPr>
          <w:p>
            <w:r>
              <w:rPr>
                <w:sz w:val="16"/>
              </w:rPr>
            </w:r>
            <w:r>
              <w:rPr>
                <w:b/>
                <w:color w:val="FFFFFF"/>
                <w:sz w:val="16"/>
              </w:rPr>
              <w:t>Action</w:t>
            </w:r>
          </w:p>
        </w:tc>
      </w:tr>
      <w:tr>
        <w:trPr>
          <w:cantSplit/>
        </w:trPr>
        <w:tc>
          <w:tcPr>
            <w:tcW w:type="dxa" w:w="5155"/>
            <w:vAlign w:val="center"/>
          </w:tcPr>
          <w:p>
            <w:r>
              <w:rPr>
                <w:sz w:val="16"/>
              </w:rPr>
            </w:r>
            <w:r>
              <w:rPr>
                <w:b w:val="0"/>
                <w:sz w:val="16"/>
              </w:rPr>
              <w:t>Trade missing from risk system</w:t>
            </w:r>
          </w:p>
        </w:tc>
        <w:tc>
          <w:tcPr>
            <w:tcW w:type="dxa" w:w="5155"/>
            <w:vAlign w:val="center"/>
          </w:tcPr>
          <w:p>
            <w:r>
              <w:rPr>
                <w:sz w:val="16"/>
              </w:rPr>
            </w:r>
            <w:r>
              <w:rPr>
                <w:b w:val="0"/>
                <w:sz w:val="16"/>
              </w:rPr>
              <w:t>Investigate immediately; manually include in limit view if confirmed.</w:t>
            </w:r>
          </w:p>
        </w:tc>
      </w:tr>
      <w:tr>
        <w:trPr>
          <w:cantSplit/>
        </w:trPr>
        <w:tc>
          <w:tcPr>
            <w:tcW w:type="dxa" w:w="5155"/>
            <w:vAlign w:val="center"/>
          </w:tcPr>
          <w:p>
            <w:r>
              <w:rPr>
                <w:sz w:val="16"/>
              </w:rPr>
            </w:r>
            <w:r>
              <w:rPr>
                <w:b w:val="0"/>
                <w:sz w:val="16"/>
              </w:rPr>
              <w:t>Settlement failed</w:t>
            </w:r>
          </w:p>
        </w:tc>
        <w:tc>
          <w:tcPr>
            <w:tcW w:type="dxa" w:w="5155"/>
            <w:vAlign w:val="center"/>
          </w:tcPr>
          <w:p>
            <w:r>
              <w:rPr>
                <w:sz w:val="16"/>
              </w:rPr>
            </w:r>
            <w:r>
              <w:rPr>
                <w:b w:val="0"/>
                <w:sz w:val="16"/>
              </w:rPr>
              <w:t>Retain economic exposure view until risk is demonstrably extinguished.</w:t>
            </w:r>
          </w:p>
        </w:tc>
      </w:tr>
      <w:tr>
        <w:trPr>
          <w:cantSplit/>
        </w:trPr>
        <w:tc>
          <w:tcPr>
            <w:tcW w:type="dxa" w:w="5155"/>
            <w:vAlign w:val="center"/>
          </w:tcPr>
          <w:p>
            <w:r>
              <w:rPr>
                <w:sz w:val="16"/>
              </w:rPr>
            </w:r>
            <w:r>
              <w:rPr>
                <w:b w:val="0"/>
                <w:sz w:val="16"/>
              </w:rPr>
              <w:t>Quantity mismatch</w:t>
            </w:r>
          </w:p>
        </w:tc>
        <w:tc>
          <w:tcPr>
            <w:tcW w:type="dxa" w:w="5155"/>
            <w:vAlign w:val="center"/>
          </w:tcPr>
          <w:p>
            <w:r>
              <w:rPr>
                <w:sz w:val="16"/>
              </w:rPr>
            </w:r>
            <w:r>
              <w:rPr>
                <w:b w:val="0"/>
                <w:sz w:val="16"/>
              </w:rPr>
              <w:t>Reconcile trade/confirmation/custody records.</w:t>
            </w:r>
          </w:p>
        </w:tc>
      </w:tr>
      <w:tr>
        <w:trPr>
          <w:cantSplit/>
        </w:trPr>
        <w:tc>
          <w:tcPr>
            <w:tcW w:type="dxa" w:w="5155"/>
            <w:vAlign w:val="center"/>
          </w:tcPr>
          <w:p>
            <w:r>
              <w:rPr>
                <w:sz w:val="16"/>
              </w:rPr>
            </w:r>
            <w:r>
              <w:rPr>
                <w:b w:val="0"/>
                <w:sz w:val="16"/>
              </w:rPr>
              <w:t>Incorrect issuer/group mapping</w:t>
            </w:r>
          </w:p>
        </w:tc>
        <w:tc>
          <w:tcPr>
            <w:tcW w:type="dxa" w:w="5155"/>
            <w:vAlign w:val="center"/>
          </w:tcPr>
          <w:p>
            <w:r>
              <w:rPr>
                <w:sz w:val="16"/>
              </w:rPr>
            </w:r>
            <w:r>
              <w:rPr>
                <w:b w:val="0"/>
                <w:sz w:val="16"/>
              </w:rPr>
              <w:t>Correct under maker-checker; recalculate affected limits.</w:t>
            </w:r>
          </w:p>
        </w:tc>
      </w:tr>
    </w:tbl>
    <w:p/>
    <w:p>
      <w:pPr>
        <w:pStyle w:val="Heading1"/>
      </w:pPr>
      <w:r>
        <w:t>5. Limit Monitoring</w:t>
      </w:r>
    </w:p>
    <w:p>
      <w:r>
        <w:t>Each relevant policy and appetite limit shall be calculated using the approved denominator and mapping rules.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Limit</w:t>
            </w:r>
          </w:p>
        </w:tc>
        <w:tc>
          <w:tcPr>
            <w:tcW w:type="dxa" w:w="3437"/>
            <w:vAlign w:val="center"/>
            <w:shd w:fill="17365D"/>
          </w:tcPr>
          <w:p>
            <w:r>
              <w:rPr>
                <w:sz w:val="16"/>
              </w:rPr>
            </w:r>
            <w:r>
              <w:rPr>
                <w:b/>
                <w:color w:val="FFFFFF"/>
                <w:sz w:val="16"/>
              </w:rPr>
              <w:t>Frequency</w:t>
            </w:r>
          </w:p>
        </w:tc>
        <w:tc>
          <w:tcPr>
            <w:tcW w:type="dxa" w:w="3437"/>
            <w:vAlign w:val="center"/>
            <w:shd w:fill="17365D"/>
          </w:tcPr>
          <w:p>
            <w:r>
              <w:rPr>
                <w:sz w:val="16"/>
              </w:rPr>
            </w:r>
            <w:r>
              <w:rPr>
                <w:b/>
                <w:color w:val="FFFFFF"/>
                <w:sz w:val="16"/>
              </w:rPr>
              <w:t>Early-Warning Treatment</w:t>
            </w:r>
          </w:p>
        </w:tc>
      </w:tr>
      <w:tr>
        <w:trPr>
          <w:cantSplit/>
        </w:trPr>
        <w:tc>
          <w:tcPr>
            <w:tcW w:type="dxa" w:w="3437"/>
            <w:vAlign w:val="center"/>
          </w:tcPr>
          <w:p>
            <w:r>
              <w:rPr>
                <w:sz w:val="16"/>
              </w:rPr>
            </w:r>
            <w:r>
              <w:rPr>
                <w:b w:val="0"/>
                <w:sz w:val="16"/>
              </w:rPr>
              <w:t>Single issuer / group</w:t>
            </w:r>
          </w:p>
        </w:tc>
        <w:tc>
          <w:tcPr>
            <w:tcW w:type="dxa" w:w="3437"/>
            <w:vAlign w:val="center"/>
          </w:tcPr>
          <w:p>
            <w:r>
              <w:rPr>
                <w:sz w:val="16"/>
              </w:rPr>
            </w:r>
            <w:r>
              <w:rPr>
                <w:b w:val="0"/>
                <w:sz w:val="16"/>
              </w:rPr>
              <w:t>Daily</w:t>
            </w:r>
          </w:p>
        </w:tc>
        <w:tc>
          <w:tcPr>
            <w:tcW w:type="dxa" w:w="3437"/>
            <w:vAlign w:val="center"/>
          </w:tcPr>
          <w:p>
            <w:r>
              <w:rPr>
                <w:sz w:val="16"/>
              </w:rPr>
            </w:r>
            <w:r>
              <w:rPr>
                <w:b w:val="0"/>
                <w:sz w:val="16"/>
              </w:rPr>
              <w:t>Flag at ≥90% of limit.</w:t>
            </w:r>
          </w:p>
        </w:tc>
      </w:tr>
      <w:tr>
        <w:trPr>
          <w:cantSplit/>
        </w:trPr>
        <w:tc>
          <w:tcPr>
            <w:tcW w:type="dxa" w:w="3437"/>
            <w:vAlign w:val="center"/>
          </w:tcPr>
          <w:p>
            <w:r>
              <w:rPr>
                <w:sz w:val="16"/>
              </w:rPr>
            </w:r>
            <w:r>
              <w:rPr>
                <w:b w:val="0"/>
                <w:sz w:val="16"/>
              </w:rPr>
              <w:t>IG3 aggregate</w:t>
            </w:r>
          </w:p>
        </w:tc>
        <w:tc>
          <w:tcPr>
            <w:tcW w:type="dxa" w:w="3437"/>
            <w:vAlign w:val="center"/>
          </w:tcPr>
          <w:p>
            <w:r>
              <w:rPr>
                <w:sz w:val="16"/>
              </w:rPr>
            </w:r>
            <w:r>
              <w:rPr>
                <w:b w:val="0"/>
                <w:sz w:val="16"/>
              </w:rPr>
              <w:t>Daily</w:t>
            </w:r>
          </w:p>
        </w:tc>
        <w:tc>
          <w:tcPr>
            <w:tcW w:type="dxa" w:w="3437"/>
            <w:vAlign w:val="center"/>
          </w:tcPr>
          <w:p>
            <w:r>
              <w:rPr>
                <w:sz w:val="16"/>
              </w:rPr>
            </w:r>
            <w:r>
              <w:rPr>
                <w:b w:val="0"/>
                <w:sz w:val="16"/>
              </w:rPr>
              <w:t>Flag at ≥85% due to rating migration sensitivity.</w:t>
            </w:r>
          </w:p>
        </w:tc>
      </w:tr>
      <w:tr>
        <w:trPr>
          <w:cantSplit/>
        </w:trPr>
        <w:tc>
          <w:tcPr>
            <w:tcW w:type="dxa" w:w="3437"/>
            <w:vAlign w:val="center"/>
          </w:tcPr>
          <w:p>
            <w:r>
              <w:rPr>
                <w:sz w:val="16"/>
              </w:rPr>
            </w:r>
            <w:r>
              <w:rPr>
                <w:b w:val="0"/>
                <w:sz w:val="16"/>
              </w:rPr>
              <w:t>30-day liquidity floor</w:t>
            </w:r>
          </w:p>
        </w:tc>
        <w:tc>
          <w:tcPr>
            <w:tcW w:type="dxa" w:w="3437"/>
            <w:vAlign w:val="center"/>
          </w:tcPr>
          <w:p>
            <w:r>
              <w:rPr>
                <w:sz w:val="16"/>
              </w:rPr>
            </w:r>
            <w:r>
              <w:rPr>
                <w:b w:val="0"/>
                <w:sz w:val="16"/>
              </w:rPr>
              <w:t>Daily</w:t>
            </w:r>
          </w:p>
        </w:tc>
        <w:tc>
          <w:tcPr>
            <w:tcW w:type="dxa" w:w="3437"/>
            <w:vAlign w:val="center"/>
          </w:tcPr>
          <w:p>
            <w:r>
              <w:rPr>
                <w:sz w:val="16"/>
              </w:rPr>
            </w:r>
            <w:r>
              <w:rPr>
                <w:b w:val="0"/>
                <w:sz w:val="16"/>
              </w:rPr>
              <w:t>Flag if &lt;23%; breach if &lt;20%.</w:t>
            </w:r>
          </w:p>
        </w:tc>
      </w:tr>
      <w:tr>
        <w:trPr>
          <w:cantSplit/>
        </w:trPr>
        <w:tc>
          <w:tcPr>
            <w:tcW w:type="dxa" w:w="3437"/>
            <w:vAlign w:val="center"/>
          </w:tcPr>
          <w:p>
            <w:r>
              <w:rPr>
                <w:sz w:val="16"/>
              </w:rPr>
            </w:r>
            <w:r>
              <w:rPr>
                <w:b w:val="0"/>
                <w:sz w:val="16"/>
              </w:rPr>
              <w:t>Duration</w:t>
            </w:r>
          </w:p>
        </w:tc>
        <w:tc>
          <w:tcPr>
            <w:tcW w:type="dxa" w:w="3437"/>
            <w:vAlign w:val="center"/>
          </w:tcPr>
          <w:p>
            <w:r>
              <w:rPr>
                <w:sz w:val="16"/>
              </w:rPr>
            </w:r>
            <w:r>
              <w:rPr>
                <w:b w:val="0"/>
                <w:sz w:val="16"/>
              </w:rPr>
              <w:t>Daily</w:t>
            </w:r>
          </w:p>
        </w:tc>
        <w:tc>
          <w:tcPr>
            <w:tcW w:type="dxa" w:w="3437"/>
            <w:vAlign w:val="center"/>
          </w:tcPr>
          <w:p>
            <w:r>
              <w:rPr>
                <w:sz w:val="16"/>
              </w:rPr>
            </w:r>
            <w:r>
              <w:rPr>
                <w:b w:val="0"/>
                <w:sz w:val="16"/>
              </w:rPr>
              <w:t>Flag at ≥3.25 years; breach &gt;3.5 years.</w:t>
            </w:r>
          </w:p>
        </w:tc>
      </w:tr>
      <w:tr>
        <w:trPr>
          <w:cantSplit/>
        </w:trPr>
        <w:tc>
          <w:tcPr>
            <w:tcW w:type="dxa" w:w="3437"/>
            <w:vAlign w:val="center"/>
          </w:tcPr>
          <w:p>
            <w:r>
              <w:rPr>
                <w:sz w:val="16"/>
              </w:rPr>
            </w:r>
            <w:r>
              <w:rPr>
                <w:b w:val="0"/>
                <w:sz w:val="16"/>
              </w:rPr>
              <w:t>Top-5 funding concentration</w:t>
            </w:r>
          </w:p>
        </w:tc>
        <w:tc>
          <w:tcPr>
            <w:tcW w:type="dxa" w:w="3437"/>
            <w:vAlign w:val="center"/>
          </w:tcPr>
          <w:p>
            <w:r>
              <w:rPr>
                <w:sz w:val="16"/>
              </w:rPr>
            </w:r>
            <w:r>
              <w:rPr>
                <w:b w:val="0"/>
                <w:sz w:val="16"/>
              </w:rPr>
              <w:t>Monthly / more frequent under stress</w:t>
            </w:r>
          </w:p>
        </w:tc>
        <w:tc>
          <w:tcPr>
            <w:tcW w:type="dxa" w:w="3437"/>
            <w:vAlign w:val="center"/>
          </w:tcPr>
          <w:p>
            <w:r>
              <w:rPr>
                <w:sz w:val="16"/>
              </w:rPr>
            </w:r>
            <w:r>
              <w:rPr>
                <w:b w:val="0"/>
                <w:sz w:val="16"/>
              </w:rPr>
              <w:t>As defined in RAS-009.</w:t>
            </w:r>
          </w:p>
        </w:tc>
      </w:tr>
    </w:tbl>
    <w:p/>
    <w:p>
      <w:pPr>
        <w:pStyle w:val="Heading1"/>
      </w:pPr>
      <w:r>
        <w:t>6. Concentration Calculation</w:t>
      </w:r>
    </w:p>
    <w:p>
      <w:r>
        <w:t>Exposure shall be aggregated by issuer, connected group and sector using controlled reference data. Where group linkage is uncertain, Investment Risk may apply a conservative interim grouping pending resolution.</w:t>
      </w:r>
    </w:p>
    <w:p>
      <w:r>
        <w:t>Government securities may be excluded from specified non-government concentration limits only where INV-010 expressly permits.</w:t>
      </w:r>
    </w:p>
    <w:p>
      <w:pPr>
        <w:pStyle w:val="Heading1"/>
      </w:pPr>
      <w:r>
        <w:t>7. Liquidity Monitoring</w:t>
      </w:r>
    </w:p>
    <w:p>
      <w:r>
        <w:t>Liquidity monitoring shall classify assets by realistic monetisation horizon, considering maturity, market depth, settlement and haircut assumptions.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Bucket</w:t>
            </w:r>
          </w:p>
        </w:tc>
        <w:tc>
          <w:tcPr>
            <w:tcW w:type="dxa" w:w="5155"/>
            <w:vAlign w:val="center"/>
            <w:shd w:fill="17365D"/>
          </w:tcPr>
          <w:p>
            <w:r>
              <w:rPr>
                <w:sz w:val="16"/>
              </w:rPr>
            </w:r>
            <w:r>
              <w:rPr>
                <w:b/>
                <w:color w:val="FFFFFF"/>
                <w:sz w:val="16"/>
              </w:rPr>
              <w:t>Illustrative Treatment</w:t>
            </w:r>
          </w:p>
        </w:tc>
      </w:tr>
      <w:tr>
        <w:trPr>
          <w:cantSplit/>
        </w:trPr>
        <w:tc>
          <w:tcPr>
            <w:tcW w:type="dxa" w:w="5155"/>
            <w:vAlign w:val="center"/>
          </w:tcPr>
          <w:p>
            <w:r>
              <w:rPr>
                <w:sz w:val="16"/>
              </w:rPr>
            </w:r>
            <w:r>
              <w:rPr>
                <w:b w:val="0"/>
                <w:sz w:val="16"/>
              </w:rPr>
              <w:t>0–7 days</w:t>
            </w:r>
          </w:p>
        </w:tc>
        <w:tc>
          <w:tcPr>
            <w:tcW w:type="dxa" w:w="5155"/>
            <w:vAlign w:val="center"/>
          </w:tcPr>
          <w:p>
            <w:r>
              <w:rPr>
                <w:sz w:val="16"/>
              </w:rPr>
            </w:r>
            <w:r>
              <w:rPr>
                <w:b w:val="0"/>
                <w:sz w:val="16"/>
              </w:rPr>
              <w:t>Cash, near-cash and highly liquid short-dated instruments.</w:t>
            </w:r>
          </w:p>
        </w:tc>
      </w:tr>
      <w:tr>
        <w:trPr>
          <w:cantSplit/>
        </w:trPr>
        <w:tc>
          <w:tcPr>
            <w:tcW w:type="dxa" w:w="5155"/>
            <w:vAlign w:val="center"/>
          </w:tcPr>
          <w:p>
            <w:r>
              <w:rPr>
                <w:sz w:val="16"/>
              </w:rPr>
            </w:r>
            <w:r>
              <w:rPr>
                <w:b w:val="0"/>
                <w:sz w:val="16"/>
              </w:rPr>
              <w:t>8–30 days</w:t>
            </w:r>
          </w:p>
        </w:tc>
        <w:tc>
          <w:tcPr>
            <w:tcW w:type="dxa" w:w="5155"/>
            <w:vAlign w:val="center"/>
          </w:tcPr>
          <w:p>
            <w:r>
              <w:rPr>
                <w:sz w:val="16"/>
              </w:rPr>
            </w:r>
            <w:r>
              <w:rPr>
                <w:b w:val="0"/>
                <w:sz w:val="16"/>
              </w:rPr>
              <w:t>Assets expected to mature or be sold with low execution risk.</w:t>
            </w:r>
          </w:p>
        </w:tc>
      </w:tr>
      <w:tr>
        <w:trPr>
          <w:cantSplit/>
        </w:trPr>
        <w:tc>
          <w:tcPr>
            <w:tcW w:type="dxa" w:w="5155"/>
            <w:vAlign w:val="center"/>
          </w:tcPr>
          <w:p>
            <w:r>
              <w:rPr>
                <w:sz w:val="16"/>
              </w:rPr>
            </w:r>
            <w:r>
              <w:rPr>
                <w:b w:val="0"/>
                <w:sz w:val="16"/>
              </w:rPr>
              <w:t>31–90 days</w:t>
            </w:r>
          </w:p>
        </w:tc>
        <w:tc>
          <w:tcPr>
            <w:tcW w:type="dxa" w:w="5155"/>
            <w:vAlign w:val="center"/>
          </w:tcPr>
          <w:p>
            <w:r>
              <w:rPr>
                <w:sz w:val="16"/>
              </w:rPr>
            </w:r>
            <w:r>
              <w:rPr>
                <w:b w:val="0"/>
                <w:sz w:val="16"/>
              </w:rPr>
              <w:t>Intermediate liquidity.</w:t>
            </w:r>
          </w:p>
        </w:tc>
      </w:tr>
      <w:tr>
        <w:trPr>
          <w:cantSplit/>
        </w:trPr>
        <w:tc>
          <w:tcPr>
            <w:tcW w:type="dxa" w:w="5155"/>
            <w:vAlign w:val="center"/>
          </w:tcPr>
          <w:p>
            <w:r>
              <w:rPr>
                <w:sz w:val="16"/>
              </w:rPr>
            </w:r>
            <w:r>
              <w:rPr>
                <w:b w:val="0"/>
                <w:sz w:val="16"/>
              </w:rPr>
              <w:t>&gt;90 days</w:t>
            </w:r>
          </w:p>
        </w:tc>
        <w:tc>
          <w:tcPr>
            <w:tcW w:type="dxa" w:w="5155"/>
            <w:vAlign w:val="center"/>
          </w:tcPr>
          <w:p>
            <w:r>
              <w:rPr>
                <w:sz w:val="16"/>
              </w:rPr>
            </w:r>
            <w:r>
              <w:rPr>
                <w:b w:val="0"/>
                <w:sz w:val="16"/>
              </w:rPr>
              <w:t>Longer-dated assets; not counted toward 30-day floor.</w:t>
            </w:r>
          </w:p>
        </w:tc>
      </w:tr>
    </w:tbl>
    <w:p/>
    <w:p>
      <w:pPr>
        <w:pStyle w:val="Heading1"/>
      </w:pPr>
      <w:r>
        <w:t>8. Duration and Rate Risk</w:t>
      </w:r>
    </w:p>
    <w:p>
      <w:r>
        <w:t>Investment Risk shall independently calculate or validate portfolio duration and rate sensitivity. Differences from first-line measures shall be investigated if material.</w:t>
      </w:r>
    </w:p>
    <w:p>
      <w:r>
        <w:t>A duration breach caused by market movement is still a breach, although its remediation route may differ from an active breach caused by a new trade.</w:t>
      </w:r>
    </w:p>
    <w:p>
      <w:pPr>
        <w:pStyle w:val="Heading1"/>
      </w:pPr>
      <w:r>
        <w:t>9. Credit Grade Monitoring</w:t>
      </w:r>
    </w:p>
    <w:p>
      <w:r>
        <w:t>Issuer internal grades shall be reviewed for trigger events and scheduled review dates.</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Trigger</w:t>
            </w:r>
          </w:p>
        </w:tc>
        <w:tc>
          <w:tcPr>
            <w:tcW w:type="dxa" w:w="5155"/>
            <w:vAlign w:val="center"/>
            <w:shd w:fill="17365D"/>
          </w:tcPr>
          <w:p>
            <w:r>
              <w:rPr>
                <w:sz w:val="16"/>
              </w:rPr>
            </w:r>
            <w:r>
              <w:rPr>
                <w:b/>
                <w:color w:val="FFFFFF"/>
                <w:sz w:val="16"/>
              </w:rPr>
              <w:t>Monitoring Action</w:t>
            </w:r>
          </w:p>
        </w:tc>
      </w:tr>
      <w:tr>
        <w:trPr>
          <w:cantSplit/>
        </w:trPr>
        <w:tc>
          <w:tcPr>
            <w:tcW w:type="dxa" w:w="5155"/>
            <w:vAlign w:val="center"/>
          </w:tcPr>
          <w:p>
            <w:r>
              <w:rPr>
                <w:sz w:val="16"/>
              </w:rPr>
            </w:r>
            <w:r>
              <w:rPr>
                <w:b w:val="0"/>
                <w:sz w:val="16"/>
              </w:rPr>
              <w:t>Scheduled review overdue</w:t>
            </w:r>
          </w:p>
        </w:tc>
        <w:tc>
          <w:tcPr>
            <w:tcW w:type="dxa" w:w="5155"/>
            <w:vAlign w:val="center"/>
          </w:tcPr>
          <w:p>
            <w:r>
              <w:rPr>
                <w:sz w:val="16"/>
              </w:rPr>
            </w:r>
            <w:r>
              <w:rPr>
                <w:b w:val="0"/>
                <w:sz w:val="16"/>
              </w:rPr>
              <w:t>Stop new exposure unless approved interim extension.</w:t>
            </w:r>
          </w:p>
        </w:tc>
      </w:tr>
      <w:tr>
        <w:trPr>
          <w:cantSplit/>
        </w:trPr>
        <w:tc>
          <w:tcPr>
            <w:tcW w:type="dxa" w:w="5155"/>
            <w:vAlign w:val="center"/>
          </w:tcPr>
          <w:p>
            <w:r>
              <w:rPr>
                <w:sz w:val="16"/>
              </w:rPr>
            </w:r>
            <w:r>
              <w:rPr>
                <w:b w:val="0"/>
                <w:sz w:val="16"/>
              </w:rPr>
              <w:t>External adverse information</w:t>
            </w:r>
          </w:p>
        </w:tc>
        <w:tc>
          <w:tcPr>
            <w:tcW w:type="dxa" w:w="5155"/>
            <w:vAlign w:val="center"/>
          </w:tcPr>
          <w:p>
            <w:r>
              <w:rPr>
                <w:sz w:val="16"/>
              </w:rPr>
            </w:r>
            <w:r>
              <w:rPr>
                <w:b w:val="0"/>
                <w:sz w:val="16"/>
              </w:rPr>
              <w:t>Initiate trigger review.</w:t>
            </w:r>
          </w:p>
        </w:tc>
      </w:tr>
      <w:tr>
        <w:trPr>
          <w:cantSplit/>
        </w:trPr>
        <w:tc>
          <w:tcPr>
            <w:tcW w:type="dxa" w:w="5155"/>
            <w:vAlign w:val="center"/>
          </w:tcPr>
          <w:p>
            <w:r>
              <w:rPr>
                <w:sz w:val="16"/>
              </w:rPr>
            </w:r>
            <w:r>
              <w:rPr>
                <w:b w:val="0"/>
                <w:sz w:val="16"/>
              </w:rPr>
              <w:t>Spread widening / price decline</w:t>
            </w:r>
          </w:p>
        </w:tc>
        <w:tc>
          <w:tcPr>
            <w:tcW w:type="dxa" w:w="5155"/>
            <w:vAlign w:val="center"/>
          </w:tcPr>
          <w:p>
            <w:r>
              <w:rPr>
                <w:sz w:val="16"/>
              </w:rPr>
            </w:r>
            <w:r>
              <w:rPr>
                <w:b w:val="0"/>
                <w:sz w:val="16"/>
              </w:rPr>
              <w:t>Assess whether movement indicates credit deterioration.</w:t>
            </w:r>
          </w:p>
        </w:tc>
      </w:tr>
      <w:tr>
        <w:trPr>
          <w:cantSplit/>
        </w:trPr>
        <w:tc>
          <w:tcPr>
            <w:tcW w:type="dxa" w:w="5155"/>
            <w:vAlign w:val="center"/>
          </w:tcPr>
          <w:p>
            <w:r>
              <w:rPr>
                <w:sz w:val="16"/>
              </w:rPr>
            </w:r>
            <w:r>
              <w:rPr>
                <w:b w:val="0"/>
                <w:sz w:val="16"/>
              </w:rPr>
              <w:t>Payment or covenant issue</w:t>
            </w:r>
          </w:p>
        </w:tc>
        <w:tc>
          <w:tcPr>
            <w:tcW w:type="dxa" w:w="5155"/>
            <w:vAlign w:val="center"/>
          </w:tcPr>
          <w:p>
            <w:r>
              <w:rPr>
                <w:sz w:val="16"/>
              </w:rPr>
            </w:r>
            <w:r>
              <w:rPr>
                <w:b w:val="0"/>
                <w:sz w:val="16"/>
              </w:rPr>
              <w:t>Immediate stop-buy and escalation.</w:t>
            </w:r>
          </w:p>
        </w:tc>
      </w:tr>
      <w:tr>
        <w:trPr>
          <w:cantSplit/>
        </w:trPr>
        <w:tc>
          <w:tcPr>
            <w:tcW w:type="dxa" w:w="5155"/>
            <w:vAlign w:val="center"/>
          </w:tcPr>
          <w:p>
            <w:r>
              <w:rPr>
                <w:sz w:val="16"/>
              </w:rPr>
            </w:r>
            <w:r>
              <w:rPr>
                <w:b w:val="0"/>
                <w:sz w:val="16"/>
              </w:rPr>
              <w:t>Grade migration to IG4/IG5</w:t>
            </w:r>
          </w:p>
        </w:tc>
        <w:tc>
          <w:tcPr>
            <w:tcW w:type="dxa" w:w="5155"/>
            <w:vAlign w:val="center"/>
          </w:tcPr>
          <w:p>
            <w:r>
              <w:rPr>
                <w:sz w:val="16"/>
              </w:rPr>
            </w:r>
            <w:r>
              <w:rPr>
                <w:b w:val="0"/>
                <w:sz w:val="16"/>
              </w:rPr>
              <w:t>Committee review and no new purchase.</w:t>
            </w:r>
          </w:p>
        </w:tc>
      </w:tr>
    </w:tbl>
    <w:p/>
    <w:p>
      <w:pPr>
        <w:pStyle w:val="Heading1"/>
      </w:pPr>
      <w:r>
        <w:t>10. Watchlist Administration</w:t>
      </w:r>
    </w:p>
    <w:p>
      <w:r>
        <w:t>The watchlist shall record reason, date added, owner, restrictions, review date and exit criteria. Removal requires documented evidence that the trigger has been resolved or absorbed into a revised risk assessment.</w:t>
      </w:r>
    </w:p>
    <w:p>
      <w:pPr>
        <w:pStyle w:val="Heading1"/>
      </w:pPr>
      <w:r>
        <w:t>11. Valuation Monitoring</w:t>
      </w:r>
    </w:p>
    <w:p>
      <w:r>
        <w:t>Operations and Finance shall compare approved primary and independent values in line with INV-010.</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Variance</w:t>
            </w:r>
          </w:p>
        </w:tc>
        <w:tc>
          <w:tcPr>
            <w:tcW w:type="dxa" w:w="5155"/>
            <w:vAlign w:val="center"/>
            <w:shd w:fill="17365D"/>
          </w:tcPr>
          <w:p>
            <w:r>
              <w:rPr>
                <w:sz w:val="16"/>
              </w:rPr>
            </w:r>
            <w:r>
              <w:rPr>
                <w:b/>
                <w:color w:val="FFFFFF"/>
                <w:sz w:val="16"/>
              </w:rPr>
              <w:t>Treatment</w:t>
            </w:r>
          </w:p>
        </w:tc>
      </w:tr>
      <w:tr>
        <w:trPr>
          <w:cantSplit/>
        </w:trPr>
        <w:tc>
          <w:tcPr>
            <w:tcW w:type="dxa" w:w="5155"/>
            <w:vAlign w:val="center"/>
          </w:tcPr>
          <w:p>
            <w:r>
              <w:rPr>
                <w:sz w:val="16"/>
              </w:rPr>
            </w:r>
            <w:r>
              <w:rPr>
                <w:b w:val="0"/>
                <w:sz w:val="16"/>
              </w:rPr>
              <w:t>≤0.50%</w:t>
            </w:r>
          </w:p>
        </w:tc>
        <w:tc>
          <w:tcPr>
            <w:tcW w:type="dxa" w:w="5155"/>
            <w:vAlign w:val="center"/>
          </w:tcPr>
          <w:p>
            <w:r>
              <w:rPr>
                <w:sz w:val="16"/>
              </w:rPr>
            </w:r>
            <w:r>
              <w:rPr>
                <w:b w:val="0"/>
                <w:sz w:val="16"/>
              </w:rPr>
              <w:t>Routine record.</w:t>
            </w:r>
          </w:p>
        </w:tc>
      </w:tr>
      <w:tr>
        <w:trPr>
          <w:cantSplit/>
        </w:trPr>
        <w:tc>
          <w:tcPr>
            <w:tcW w:type="dxa" w:w="5155"/>
            <w:vAlign w:val="center"/>
          </w:tcPr>
          <w:p>
            <w:r>
              <w:rPr>
                <w:sz w:val="16"/>
              </w:rPr>
            </w:r>
            <w:r>
              <w:rPr>
                <w:b w:val="0"/>
                <w:sz w:val="16"/>
              </w:rPr>
              <w:t>&gt;0.50% to 0.75%</w:t>
            </w:r>
          </w:p>
        </w:tc>
        <w:tc>
          <w:tcPr>
            <w:tcW w:type="dxa" w:w="5155"/>
            <w:vAlign w:val="center"/>
          </w:tcPr>
          <w:p>
            <w:r>
              <w:rPr>
                <w:sz w:val="16"/>
              </w:rPr>
            </w:r>
            <w:r>
              <w:rPr>
                <w:b w:val="0"/>
                <w:sz w:val="16"/>
              </w:rPr>
              <w:t>Source validation and commentary.</w:t>
            </w:r>
          </w:p>
        </w:tc>
      </w:tr>
      <w:tr>
        <w:trPr>
          <w:cantSplit/>
        </w:trPr>
        <w:tc>
          <w:tcPr>
            <w:tcW w:type="dxa" w:w="5155"/>
            <w:vAlign w:val="center"/>
          </w:tcPr>
          <w:p>
            <w:r>
              <w:rPr>
                <w:sz w:val="16"/>
              </w:rPr>
            </w:r>
            <w:r>
              <w:rPr>
                <w:b w:val="0"/>
                <w:sz w:val="16"/>
              </w:rPr>
              <w:t>&gt;0.75%</w:t>
            </w:r>
          </w:p>
        </w:tc>
        <w:tc>
          <w:tcPr>
            <w:tcW w:type="dxa" w:w="5155"/>
            <w:vAlign w:val="center"/>
          </w:tcPr>
          <w:p>
            <w:r>
              <w:rPr>
                <w:sz w:val="16"/>
              </w:rPr>
            </w:r>
            <w:r>
              <w:rPr>
                <w:b w:val="0"/>
                <w:sz w:val="16"/>
              </w:rPr>
              <w:t>Exception logged; same-day Risk notification.</w:t>
            </w:r>
          </w:p>
        </w:tc>
      </w:tr>
      <w:tr>
        <w:trPr>
          <w:cantSplit/>
        </w:trPr>
        <w:tc>
          <w:tcPr>
            <w:tcW w:type="dxa" w:w="5155"/>
            <w:vAlign w:val="center"/>
          </w:tcPr>
          <w:p>
            <w:r>
              <w:rPr>
                <w:sz w:val="16"/>
              </w:rPr>
            </w:r>
            <w:r>
              <w:rPr>
                <w:b w:val="0"/>
                <w:sz w:val="16"/>
              </w:rPr>
              <w:t>No reliable price</w:t>
            </w:r>
          </w:p>
        </w:tc>
        <w:tc>
          <w:tcPr>
            <w:tcW w:type="dxa" w:w="5155"/>
            <w:vAlign w:val="center"/>
          </w:tcPr>
          <w:p>
            <w:r>
              <w:rPr>
                <w:sz w:val="16"/>
              </w:rPr>
            </w:r>
            <w:r>
              <w:rPr>
                <w:b w:val="0"/>
                <w:sz w:val="16"/>
              </w:rPr>
              <w:t>Valuation methodology review and committee escalation if material.</w:t>
            </w:r>
          </w:p>
        </w:tc>
      </w:tr>
    </w:tbl>
    <w:p/>
    <w:p>
      <w:pPr>
        <w:pStyle w:val="Heading1"/>
      </w:pPr>
      <w:r>
        <w:t>12. Failed Settlement and Operational Exceptions</w:t>
      </w:r>
    </w:p>
    <w:p>
      <w:r>
        <w:t>Settlement breaks shall be monitored until closure. A failed settlement that creates material liquidity, counterparty or market exposure shall be escalated to Enterprise Risk and the responsible first-line manager.</w:t>
      </w:r>
    </w:p>
    <w:p>
      <w:pPr>
        <w:pStyle w:val="ListBullet"/>
      </w:pPr>
      <w:r>
        <w:t>Incorrect beneficiary or settlement instruction requires payment hold pending verification.</w:t>
      </w:r>
    </w:p>
    <w:p>
      <w:pPr>
        <w:pStyle w:val="ListBullet"/>
      </w:pPr>
      <w:r>
        <w:t>Repeated same-counterparty failure is a control trend and may require counterparty review.</w:t>
      </w:r>
    </w:p>
    <w:p>
      <w:pPr>
        <w:pStyle w:val="ListBullet"/>
      </w:pPr>
      <w:r>
        <w:t>Manual override used to force settlement requires separate approval and audit trail.</w:t>
      </w:r>
    </w:p>
    <w:p>
      <w:pPr>
        <w:pStyle w:val="Heading1"/>
      </w:pPr>
      <w:r>
        <w:t>13. Breach Classification</w:t>
      </w:r>
    </w:p>
    <w:p>
      <w:r>
        <w:t>Monitoring distinguishes early warning, passive breach, active breach and control breach.</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Class</w:t>
            </w:r>
          </w:p>
        </w:tc>
        <w:tc>
          <w:tcPr>
            <w:tcW w:type="dxa" w:w="3437"/>
            <w:vAlign w:val="center"/>
            <w:shd w:fill="17365D"/>
          </w:tcPr>
          <w:p>
            <w:r>
              <w:rPr>
                <w:sz w:val="16"/>
              </w:rPr>
            </w:r>
            <w:r>
              <w:rPr>
                <w:b/>
                <w:color w:val="FFFFFF"/>
                <w:sz w:val="16"/>
              </w:rPr>
              <w:t>Description</w:t>
            </w:r>
          </w:p>
        </w:tc>
        <w:tc>
          <w:tcPr>
            <w:tcW w:type="dxa" w:w="3437"/>
            <w:vAlign w:val="center"/>
            <w:shd w:fill="17365D"/>
          </w:tcPr>
          <w:p>
            <w:r>
              <w:rPr>
                <w:sz w:val="16"/>
              </w:rPr>
            </w:r>
            <w:r>
              <w:rPr>
                <w:b/>
                <w:color w:val="FFFFFF"/>
                <w:sz w:val="16"/>
              </w:rPr>
              <w:t>Immediate Action</w:t>
            </w:r>
          </w:p>
        </w:tc>
      </w:tr>
      <w:tr>
        <w:trPr>
          <w:cantSplit/>
        </w:trPr>
        <w:tc>
          <w:tcPr>
            <w:tcW w:type="dxa" w:w="3437"/>
            <w:vAlign w:val="center"/>
          </w:tcPr>
          <w:p>
            <w:r>
              <w:rPr>
                <w:sz w:val="16"/>
              </w:rPr>
            </w:r>
            <w:r>
              <w:rPr>
                <w:b w:val="0"/>
                <w:sz w:val="16"/>
              </w:rPr>
              <w:t>Early warning</w:t>
            </w:r>
          </w:p>
        </w:tc>
        <w:tc>
          <w:tcPr>
            <w:tcW w:type="dxa" w:w="3437"/>
            <w:vAlign w:val="center"/>
          </w:tcPr>
          <w:p>
            <w:r>
              <w:rPr>
                <w:sz w:val="16"/>
              </w:rPr>
            </w:r>
            <w:r>
              <w:rPr>
                <w:b w:val="0"/>
                <w:sz w:val="16"/>
              </w:rPr>
              <w:t>Approaching but not exceeding an approved limit.</w:t>
            </w:r>
          </w:p>
        </w:tc>
        <w:tc>
          <w:tcPr>
            <w:tcW w:type="dxa" w:w="3437"/>
            <w:vAlign w:val="center"/>
          </w:tcPr>
          <w:p>
            <w:r>
              <w:rPr>
                <w:sz w:val="16"/>
              </w:rPr>
            </w:r>
            <w:r>
              <w:rPr>
                <w:b w:val="0"/>
                <w:sz w:val="16"/>
              </w:rPr>
              <w:t>Notify owner; manage headroom.</w:t>
            </w:r>
          </w:p>
        </w:tc>
      </w:tr>
      <w:tr>
        <w:trPr>
          <w:cantSplit/>
        </w:trPr>
        <w:tc>
          <w:tcPr>
            <w:tcW w:type="dxa" w:w="3437"/>
            <w:vAlign w:val="center"/>
          </w:tcPr>
          <w:p>
            <w:r>
              <w:rPr>
                <w:sz w:val="16"/>
              </w:rPr>
            </w:r>
            <w:r>
              <w:rPr>
                <w:b w:val="0"/>
                <w:sz w:val="16"/>
              </w:rPr>
              <w:t>Passive breach</w:t>
            </w:r>
          </w:p>
        </w:tc>
        <w:tc>
          <w:tcPr>
            <w:tcW w:type="dxa" w:w="3437"/>
            <w:vAlign w:val="center"/>
          </w:tcPr>
          <w:p>
            <w:r>
              <w:rPr>
                <w:sz w:val="16"/>
              </w:rPr>
            </w:r>
            <w:r>
              <w:rPr>
                <w:b w:val="0"/>
                <w:sz w:val="16"/>
              </w:rPr>
              <w:t>Limit exceeded due to market movement, rating migration or denominator change without new risk-increasing action.</w:t>
            </w:r>
          </w:p>
        </w:tc>
        <w:tc>
          <w:tcPr>
            <w:tcW w:type="dxa" w:w="3437"/>
            <w:vAlign w:val="center"/>
          </w:tcPr>
          <w:p>
            <w:r>
              <w:rPr>
                <w:sz w:val="16"/>
              </w:rPr>
            </w:r>
            <w:r>
              <w:rPr>
                <w:b w:val="0"/>
                <w:sz w:val="16"/>
              </w:rPr>
              <w:t>Freeze increases; assess remediation.</w:t>
            </w:r>
          </w:p>
        </w:tc>
      </w:tr>
      <w:tr>
        <w:trPr>
          <w:cantSplit/>
        </w:trPr>
        <w:tc>
          <w:tcPr>
            <w:tcW w:type="dxa" w:w="3437"/>
            <w:vAlign w:val="center"/>
          </w:tcPr>
          <w:p>
            <w:r>
              <w:rPr>
                <w:sz w:val="16"/>
              </w:rPr>
            </w:r>
            <w:r>
              <w:rPr>
                <w:b w:val="0"/>
                <w:sz w:val="16"/>
              </w:rPr>
              <w:t>Active breach</w:t>
            </w:r>
          </w:p>
        </w:tc>
        <w:tc>
          <w:tcPr>
            <w:tcW w:type="dxa" w:w="3437"/>
            <w:vAlign w:val="center"/>
          </w:tcPr>
          <w:p>
            <w:r>
              <w:rPr>
                <w:sz w:val="16"/>
              </w:rPr>
            </w:r>
            <w:r>
              <w:rPr>
                <w:b w:val="0"/>
                <w:sz w:val="16"/>
              </w:rPr>
              <w:t>New transaction caused or worsened excess without valid prior approval.</w:t>
            </w:r>
          </w:p>
        </w:tc>
        <w:tc>
          <w:tcPr>
            <w:tcW w:type="dxa" w:w="3437"/>
            <w:vAlign w:val="center"/>
          </w:tcPr>
          <w:p>
            <w:r>
              <w:rPr>
                <w:sz w:val="16"/>
              </w:rPr>
            </w:r>
            <w:r>
              <w:rPr>
                <w:b w:val="0"/>
                <w:sz w:val="16"/>
              </w:rPr>
              <w:t>Stop activity; same-day escalation.</w:t>
            </w:r>
          </w:p>
        </w:tc>
      </w:tr>
      <w:tr>
        <w:trPr>
          <w:cantSplit/>
        </w:trPr>
        <w:tc>
          <w:tcPr>
            <w:tcW w:type="dxa" w:w="3437"/>
            <w:vAlign w:val="center"/>
          </w:tcPr>
          <w:p>
            <w:r>
              <w:rPr>
                <w:sz w:val="16"/>
              </w:rPr>
            </w:r>
            <w:r>
              <w:rPr>
                <w:b w:val="0"/>
                <w:sz w:val="16"/>
              </w:rPr>
              <w:t>Control breach</w:t>
            </w:r>
          </w:p>
        </w:tc>
        <w:tc>
          <w:tcPr>
            <w:tcW w:type="dxa" w:w="3437"/>
            <w:vAlign w:val="center"/>
          </w:tcPr>
          <w:p>
            <w:r>
              <w:rPr>
                <w:sz w:val="16"/>
              </w:rPr>
            </w:r>
            <w:r>
              <w:rPr>
                <w:b w:val="0"/>
                <w:sz w:val="16"/>
              </w:rPr>
              <w:t>Required monitoring, approval, reconciliation or reporting control failed.</w:t>
            </w:r>
          </w:p>
        </w:tc>
        <w:tc>
          <w:tcPr>
            <w:tcW w:type="dxa" w:w="3437"/>
            <w:vAlign w:val="center"/>
          </w:tcPr>
          <w:p>
            <w:r>
              <w:rPr>
                <w:sz w:val="16"/>
              </w:rPr>
            </w:r>
            <w:r>
              <w:rPr>
                <w:b w:val="0"/>
                <w:sz w:val="16"/>
              </w:rPr>
              <w:t>Contain and assess under CBP-043.</w:t>
            </w:r>
          </w:p>
        </w:tc>
      </w:tr>
    </w:tbl>
    <w:p/>
    <w:p>
      <w:pPr>
        <w:pStyle w:val="Heading1"/>
      </w:pPr>
      <w:r>
        <w:t>14. Breach Notification Timing</w:t>
      </w:r>
    </w:p>
    <w:p>
      <w:r>
        <w:t>Under v1.2, material active breaches and serious control failures shall be notified no later than the same business day. This is stricter than the former v1.1 practice that generally permitted T+2 completion for routine breach packs.</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Severity</w:t>
            </w:r>
          </w:p>
        </w:tc>
        <w:tc>
          <w:tcPr>
            <w:tcW w:type="dxa" w:w="3437"/>
            <w:vAlign w:val="center"/>
            <w:shd w:fill="17365D"/>
          </w:tcPr>
          <w:p>
            <w:r>
              <w:rPr>
                <w:sz w:val="16"/>
              </w:rPr>
            </w:r>
            <w:r>
              <w:rPr>
                <w:b/>
                <w:color w:val="FFFFFF"/>
                <w:sz w:val="16"/>
              </w:rPr>
              <w:t>Initial Notification</w:t>
            </w:r>
          </w:p>
        </w:tc>
        <w:tc>
          <w:tcPr>
            <w:tcW w:type="dxa" w:w="3437"/>
            <w:vAlign w:val="center"/>
            <w:shd w:fill="17365D"/>
          </w:tcPr>
          <w:p>
            <w:r>
              <w:rPr>
                <w:sz w:val="16"/>
              </w:rPr>
            </w:r>
            <w:r>
              <w:rPr>
                <w:b/>
                <w:color w:val="FFFFFF"/>
                <w:sz w:val="16"/>
              </w:rPr>
              <w:t>Formal Record</w:t>
            </w:r>
          </w:p>
        </w:tc>
      </w:tr>
      <w:tr>
        <w:trPr>
          <w:cantSplit/>
        </w:trPr>
        <w:tc>
          <w:tcPr>
            <w:tcW w:type="dxa" w:w="3437"/>
            <w:vAlign w:val="center"/>
          </w:tcPr>
          <w:p>
            <w:r>
              <w:rPr>
                <w:sz w:val="16"/>
              </w:rPr>
            </w:r>
            <w:r>
              <w:rPr>
                <w:b w:val="0"/>
                <w:sz w:val="16"/>
              </w:rPr>
              <w:t>Material active / unauthorized trade</w:t>
            </w:r>
          </w:p>
        </w:tc>
        <w:tc>
          <w:tcPr>
            <w:tcW w:type="dxa" w:w="3437"/>
            <w:vAlign w:val="center"/>
          </w:tcPr>
          <w:p>
            <w:r>
              <w:rPr>
                <w:sz w:val="16"/>
              </w:rPr>
            </w:r>
            <w:r>
              <w:rPr>
                <w:b w:val="0"/>
                <w:sz w:val="16"/>
              </w:rPr>
              <w:t>Immediate / same business day</w:t>
            </w:r>
          </w:p>
        </w:tc>
        <w:tc>
          <w:tcPr>
            <w:tcW w:type="dxa" w:w="3437"/>
            <w:vAlign w:val="center"/>
          </w:tcPr>
          <w:p>
            <w:r>
              <w:rPr>
                <w:sz w:val="16"/>
              </w:rPr>
            </w:r>
            <w:r>
              <w:rPr>
                <w:b w:val="0"/>
                <w:sz w:val="16"/>
              </w:rPr>
              <w:t>By next business day</w:t>
            </w:r>
          </w:p>
        </w:tc>
      </w:tr>
      <w:tr>
        <w:trPr>
          <w:cantSplit/>
        </w:trPr>
        <w:tc>
          <w:tcPr>
            <w:tcW w:type="dxa" w:w="3437"/>
            <w:vAlign w:val="center"/>
          </w:tcPr>
          <w:p>
            <w:r>
              <w:rPr>
                <w:sz w:val="16"/>
              </w:rPr>
            </w:r>
            <w:r>
              <w:rPr>
                <w:b w:val="0"/>
                <w:sz w:val="16"/>
              </w:rPr>
              <w:t>Passive policy limit breach</w:t>
            </w:r>
          </w:p>
        </w:tc>
        <w:tc>
          <w:tcPr>
            <w:tcW w:type="dxa" w:w="3437"/>
            <w:vAlign w:val="center"/>
          </w:tcPr>
          <w:p>
            <w:r>
              <w:rPr>
                <w:sz w:val="16"/>
              </w:rPr>
            </w:r>
            <w:r>
              <w:rPr>
                <w:b w:val="0"/>
                <w:sz w:val="16"/>
              </w:rPr>
              <w:t>Same business day</w:t>
            </w:r>
          </w:p>
        </w:tc>
        <w:tc>
          <w:tcPr>
            <w:tcW w:type="dxa" w:w="3437"/>
            <w:vAlign w:val="center"/>
          </w:tcPr>
          <w:p>
            <w:r>
              <w:rPr>
                <w:sz w:val="16"/>
              </w:rPr>
            </w:r>
            <w:r>
              <w:rPr>
                <w:b w:val="0"/>
                <w:sz w:val="16"/>
              </w:rPr>
              <w:t>By next business day</w:t>
            </w:r>
          </w:p>
        </w:tc>
      </w:tr>
      <w:tr>
        <w:trPr>
          <w:cantSplit/>
        </w:trPr>
        <w:tc>
          <w:tcPr>
            <w:tcW w:type="dxa" w:w="3437"/>
            <w:vAlign w:val="center"/>
          </w:tcPr>
          <w:p>
            <w:r>
              <w:rPr>
                <w:sz w:val="16"/>
              </w:rPr>
            </w:r>
            <w:r>
              <w:rPr>
                <w:b w:val="0"/>
                <w:sz w:val="16"/>
              </w:rPr>
              <w:t>Minor data-quality issue with no limit impact</w:t>
            </w:r>
          </w:p>
        </w:tc>
        <w:tc>
          <w:tcPr>
            <w:tcW w:type="dxa" w:w="3437"/>
            <w:vAlign w:val="center"/>
          </w:tcPr>
          <w:p>
            <w:r>
              <w:rPr>
                <w:sz w:val="16"/>
              </w:rPr>
            </w:r>
            <w:r>
              <w:rPr>
                <w:b w:val="0"/>
                <w:sz w:val="16"/>
              </w:rPr>
              <w:t>Within 2 business days</w:t>
            </w:r>
          </w:p>
        </w:tc>
        <w:tc>
          <w:tcPr>
            <w:tcW w:type="dxa" w:w="3437"/>
            <w:vAlign w:val="center"/>
          </w:tcPr>
          <w:p>
            <w:r>
              <w:rPr>
                <w:sz w:val="16"/>
              </w:rPr>
            </w:r>
            <w:r>
              <w:rPr>
                <w:b w:val="0"/>
                <w:sz w:val="16"/>
              </w:rPr>
              <w:t>As required by issue procedure</w:t>
            </w:r>
          </w:p>
        </w:tc>
      </w:tr>
      <w:tr>
        <w:trPr>
          <w:cantSplit/>
        </w:trPr>
        <w:tc>
          <w:tcPr>
            <w:tcW w:type="dxa" w:w="3437"/>
            <w:vAlign w:val="center"/>
          </w:tcPr>
          <w:p>
            <w:r>
              <w:rPr>
                <w:sz w:val="16"/>
              </w:rPr>
            </w:r>
            <w:r>
              <w:rPr>
                <w:b w:val="0"/>
                <w:sz w:val="16"/>
              </w:rPr>
              <w:t>Potential compliance breach</w:t>
            </w:r>
          </w:p>
        </w:tc>
        <w:tc>
          <w:tcPr>
            <w:tcW w:type="dxa" w:w="3437"/>
            <w:vAlign w:val="center"/>
          </w:tcPr>
          <w:p>
            <w:r>
              <w:rPr>
                <w:sz w:val="16"/>
              </w:rPr>
            </w:r>
            <w:r>
              <w:rPr>
                <w:b w:val="0"/>
                <w:sz w:val="16"/>
              </w:rPr>
              <w:t>Per CBP-043 severity once assessed</w:t>
            </w:r>
          </w:p>
        </w:tc>
        <w:tc>
          <w:tcPr>
            <w:tcW w:type="dxa" w:w="3437"/>
            <w:vAlign w:val="center"/>
          </w:tcPr>
          <w:p>
            <w:r>
              <w:rPr>
                <w:sz w:val="16"/>
              </w:rPr>
            </w:r>
            <w:r>
              <w:rPr>
                <w:b w:val="0"/>
                <w:sz w:val="16"/>
              </w:rPr>
              <w:t>CBP-043 record</w:t>
            </w:r>
          </w:p>
        </w:tc>
      </w:tr>
    </w:tbl>
    <w:p/>
    <w:p>
      <w:pPr>
        <w:pStyle w:val="Heading1"/>
      </w:pPr>
      <w:r>
        <w:t>15. Remediation Plans</w:t>
      </w:r>
    </w:p>
    <w:p>
      <w:r>
        <w:t>A breach remediation plan shall identify current exposure, cause, owner, interim controls, proposed actions, target date and approving authority. Forced sale is not automatic where it would create disproportionate loss; however, continued exposure requires authorized treatment.</w:t>
      </w:r>
    </w:p>
    <w:p>
      <w:pPr>
        <w:pStyle w:val="Heading1"/>
      </w:pPr>
      <w:r>
        <w:t>16. Exception Monitoring</w:t>
      </w:r>
    </w:p>
    <w:p>
      <w:r>
        <w:t>Approved exceptions shall be loaded into the monitoring control with scope and expiry. An expired exception shall not be treated as current authority.</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Field</w:t>
            </w:r>
          </w:p>
        </w:tc>
        <w:tc>
          <w:tcPr>
            <w:tcW w:type="dxa" w:w="5155"/>
            <w:vAlign w:val="center"/>
            <w:shd w:fill="17365D"/>
          </w:tcPr>
          <w:p>
            <w:r>
              <w:rPr>
                <w:sz w:val="16"/>
              </w:rPr>
            </w:r>
            <w:r>
              <w:rPr>
                <w:b/>
                <w:color w:val="FFFFFF"/>
                <w:sz w:val="16"/>
              </w:rPr>
              <w:t>Required</w:t>
            </w:r>
          </w:p>
        </w:tc>
      </w:tr>
      <w:tr>
        <w:trPr>
          <w:cantSplit/>
        </w:trPr>
        <w:tc>
          <w:tcPr>
            <w:tcW w:type="dxa" w:w="5155"/>
            <w:vAlign w:val="center"/>
          </w:tcPr>
          <w:p>
            <w:r>
              <w:rPr>
                <w:sz w:val="16"/>
              </w:rPr>
            </w:r>
            <w:r>
              <w:rPr>
                <w:b w:val="0"/>
                <w:sz w:val="16"/>
              </w:rPr>
              <w:t>Exception ID</w:t>
            </w:r>
          </w:p>
        </w:tc>
        <w:tc>
          <w:tcPr>
            <w:tcW w:type="dxa" w:w="5155"/>
            <w:vAlign w:val="center"/>
          </w:tcPr>
          <w:p>
            <w:r>
              <w:rPr>
                <w:sz w:val="16"/>
              </w:rPr>
            </w:r>
            <w:r>
              <w:rPr>
                <w:b w:val="0"/>
                <w:sz w:val="16"/>
              </w:rPr>
              <w:t>Unique controlled identifier</w:t>
            </w:r>
          </w:p>
        </w:tc>
      </w:tr>
      <w:tr>
        <w:trPr>
          <w:cantSplit/>
        </w:trPr>
        <w:tc>
          <w:tcPr>
            <w:tcW w:type="dxa" w:w="5155"/>
            <w:vAlign w:val="center"/>
          </w:tcPr>
          <w:p>
            <w:r>
              <w:rPr>
                <w:sz w:val="16"/>
              </w:rPr>
            </w:r>
            <w:r>
              <w:rPr>
                <w:b w:val="0"/>
                <w:sz w:val="16"/>
              </w:rPr>
              <w:t>Authority</w:t>
            </w:r>
          </w:p>
        </w:tc>
        <w:tc>
          <w:tcPr>
            <w:tcW w:type="dxa" w:w="5155"/>
            <w:vAlign w:val="center"/>
          </w:tcPr>
          <w:p>
            <w:r>
              <w:rPr>
                <w:sz w:val="16"/>
              </w:rPr>
            </w:r>
            <w:r>
              <w:rPr>
                <w:b w:val="0"/>
                <w:sz w:val="16"/>
              </w:rPr>
              <w:t>Named approving level / committee</w:t>
            </w:r>
          </w:p>
        </w:tc>
      </w:tr>
      <w:tr>
        <w:trPr>
          <w:cantSplit/>
        </w:trPr>
        <w:tc>
          <w:tcPr>
            <w:tcW w:type="dxa" w:w="5155"/>
            <w:vAlign w:val="center"/>
          </w:tcPr>
          <w:p>
            <w:r>
              <w:rPr>
                <w:sz w:val="16"/>
              </w:rPr>
            </w:r>
            <w:r>
              <w:rPr>
                <w:b w:val="0"/>
                <w:sz w:val="16"/>
              </w:rPr>
              <w:t>Scope</w:t>
            </w:r>
          </w:p>
        </w:tc>
        <w:tc>
          <w:tcPr>
            <w:tcW w:type="dxa" w:w="5155"/>
            <w:vAlign w:val="center"/>
          </w:tcPr>
          <w:p>
            <w:r>
              <w:rPr>
                <w:sz w:val="16"/>
              </w:rPr>
            </w:r>
            <w:r>
              <w:rPr>
                <w:b w:val="0"/>
                <w:sz w:val="16"/>
              </w:rPr>
              <w:t>Issuer, instrument, amount and limit affected</w:t>
            </w:r>
          </w:p>
        </w:tc>
      </w:tr>
      <w:tr>
        <w:trPr>
          <w:cantSplit/>
        </w:trPr>
        <w:tc>
          <w:tcPr>
            <w:tcW w:type="dxa" w:w="5155"/>
            <w:vAlign w:val="center"/>
          </w:tcPr>
          <w:p>
            <w:r>
              <w:rPr>
                <w:sz w:val="16"/>
              </w:rPr>
            </w:r>
            <w:r>
              <w:rPr>
                <w:b w:val="0"/>
                <w:sz w:val="16"/>
              </w:rPr>
              <w:t>Effective / expiry</w:t>
            </w:r>
          </w:p>
        </w:tc>
        <w:tc>
          <w:tcPr>
            <w:tcW w:type="dxa" w:w="5155"/>
            <w:vAlign w:val="center"/>
          </w:tcPr>
          <w:p>
            <w:r>
              <w:rPr>
                <w:sz w:val="16"/>
              </w:rPr>
            </w:r>
            <w:r>
              <w:rPr>
                <w:b w:val="0"/>
                <w:sz w:val="16"/>
              </w:rPr>
              <w:t>Start and end date</w:t>
            </w:r>
          </w:p>
        </w:tc>
      </w:tr>
      <w:tr>
        <w:trPr>
          <w:cantSplit/>
        </w:trPr>
        <w:tc>
          <w:tcPr>
            <w:tcW w:type="dxa" w:w="5155"/>
            <w:vAlign w:val="center"/>
          </w:tcPr>
          <w:p>
            <w:r>
              <w:rPr>
                <w:sz w:val="16"/>
              </w:rPr>
            </w:r>
            <w:r>
              <w:rPr>
                <w:b w:val="0"/>
                <w:sz w:val="16"/>
              </w:rPr>
              <w:t>Conditions</w:t>
            </w:r>
          </w:p>
        </w:tc>
        <w:tc>
          <w:tcPr>
            <w:tcW w:type="dxa" w:w="5155"/>
            <w:vAlign w:val="center"/>
          </w:tcPr>
          <w:p>
            <w:r>
              <w:rPr>
                <w:sz w:val="16"/>
              </w:rPr>
            </w:r>
            <w:r>
              <w:rPr>
                <w:b w:val="0"/>
                <w:sz w:val="16"/>
              </w:rPr>
              <w:t>Risk mitigants, reporting or reduction plan</w:t>
            </w:r>
          </w:p>
        </w:tc>
      </w:tr>
      <w:tr>
        <w:trPr>
          <w:cantSplit/>
        </w:trPr>
        <w:tc>
          <w:tcPr>
            <w:tcW w:type="dxa" w:w="5155"/>
            <w:vAlign w:val="center"/>
          </w:tcPr>
          <w:p>
            <w:r>
              <w:rPr>
                <w:sz w:val="16"/>
              </w:rPr>
            </w:r>
            <w:r>
              <w:rPr>
                <w:b w:val="0"/>
                <w:sz w:val="16"/>
              </w:rPr>
              <w:t>Status</w:t>
            </w:r>
          </w:p>
        </w:tc>
        <w:tc>
          <w:tcPr>
            <w:tcW w:type="dxa" w:w="5155"/>
            <w:vAlign w:val="center"/>
          </w:tcPr>
          <w:p>
            <w:r>
              <w:rPr>
                <w:sz w:val="16"/>
              </w:rPr>
            </w:r>
            <w:r>
              <w:rPr>
                <w:b w:val="0"/>
                <w:sz w:val="16"/>
              </w:rPr>
              <w:t>Active, expired, closed or superseded</w:t>
            </w:r>
          </w:p>
        </w:tc>
      </w:tr>
    </w:tbl>
    <w:p/>
    <w:p>
      <w:pPr>
        <w:pStyle w:val="Heading1"/>
      </w:pPr>
      <w:r>
        <w:t>17. Monthly Investment Risk Report</w:t>
      </w:r>
    </w:p>
    <w:p>
      <w:r>
        <w:t>The monthly report shall cover portfolio size, performance context, grade distribution, issuer/group concentration, liquidity, duration, stress, watchlist, exceptions, breaches, remediation and material operational incidents.</w:t>
      </w:r>
    </w:p>
    <w:p>
      <w:pPr>
        <w:pStyle w:val="Heading1"/>
      </w:pPr>
      <w:r>
        <w:t>18. Quarterly Committee Pack</w:t>
      </w:r>
    </w:p>
    <w:p>
      <w:r>
        <w:t>The Investment &amp; Treasury Committee pack shall highlight decisions rather than reproduce all raw data. Breaches, near-breaches, deteriorating issuers, concentration trends and unresolved remediation shall be clearly prioritized.</w:t>
      </w:r>
    </w:p>
    <w:p>
      <w:pPr>
        <w:pStyle w:val="Heading1"/>
      </w:pPr>
      <w:r>
        <w:t>19. Data Quality Controls</w:t>
      </w:r>
    </w:p>
    <w:p>
      <w:r>
        <w:t>Limit monitoring is only as reliable as issuer mapping, group linkage, prices and position feeds. Material data-quality problems shall be reported separately and not hidden by manual adjustment.</w:t>
      </w:r>
    </w:p>
    <w:tbl>
      <w:tblPr>
        <w:tblStyle w:val="TableGrid"/>
        <w:tblW w:type="auto" w:w="0"/>
        <w:jc w:val="center"/>
        <w:tblLook w:firstColumn="1" w:firstRow="1" w:lastColumn="0" w:lastRow="0" w:noHBand="0" w:noVBand="1" w:val="04A0"/>
      </w:tblPr>
      <w:tblGrid>
        <w:gridCol w:w="5155"/>
        <w:gridCol w:w="5155"/>
      </w:tblGrid>
      <w:tr>
        <w:trPr>
          <w:tblHeader w:val="true"/>
          <w:cantSplit/>
        </w:trPr>
        <w:tc>
          <w:tcPr>
            <w:tcW w:type="dxa" w:w="5155"/>
            <w:vAlign w:val="center"/>
            <w:shd w:fill="17365D"/>
          </w:tcPr>
          <w:p>
            <w:r>
              <w:rPr>
                <w:sz w:val="16"/>
              </w:rPr>
            </w:r>
            <w:r>
              <w:rPr>
                <w:b/>
                <w:color w:val="FFFFFF"/>
                <w:sz w:val="16"/>
              </w:rPr>
              <w:t>Data Item</w:t>
            </w:r>
          </w:p>
        </w:tc>
        <w:tc>
          <w:tcPr>
            <w:tcW w:type="dxa" w:w="5155"/>
            <w:vAlign w:val="center"/>
            <w:shd w:fill="17365D"/>
          </w:tcPr>
          <w:p>
            <w:r>
              <w:rPr>
                <w:sz w:val="16"/>
              </w:rPr>
            </w:r>
            <w:r>
              <w:rPr>
                <w:b/>
                <w:color w:val="FFFFFF"/>
                <w:sz w:val="16"/>
              </w:rPr>
              <w:t>Control</w:t>
            </w:r>
          </w:p>
        </w:tc>
      </w:tr>
      <w:tr>
        <w:trPr>
          <w:cantSplit/>
        </w:trPr>
        <w:tc>
          <w:tcPr>
            <w:tcW w:type="dxa" w:w="5155"/>
            <w:vAlign w:val="center"/>
          </w:tcPr>
          <w:p>
            <w:r>
              <w:rPr>
                <w:sz w:val="16"/>
              </w:rPr>
            </w:r>
            <w:r>
              <w:rPr>
                <w:b w:val="0"/>
                <w:sz w:val="16"/>
              </w:rPr>
              <w:t>Issuer legal entity</w:t>
            </w:r>
          </w:p>
        </w:tc>
        <w:tc>
          <w:tcPr>
            <w:tcW w:type="dxa" w:w="5155"/>
            <w:vAlign w:val="center"/>
          </w:tcPr>
          <w:p>
            <w:r>
              <w:rPr>
                <w:sz w:val="16"/>
              </w:rPr>
            </w:r>
            <w:r>
              <w:rPr>
                <w:b w:val="0"/>
                <w:sz w:val="16"/>
              </w:rPr>
              <w:t>Controlled master and checker approval</w:t>
            </w:r>
          </w:p>
        </w:tc>
      </w:tr>
      <w:tr>
        <w:trPr>
          <w:cantSplit/>
        </w:trPr>
        <w:tc>
          <w:tcPr>
            <w:tcW w:type="dxa" w:w="5155"/>
            <w:vAlign w:val="center"/>
          </w:tcPr>
          <w:p>
            <w:r>
              <w:rPr>
                <w:sz w:val="16"/>
              </w:rPr>
            </w:r>
            <w:r>
              <w:rPr>
                <w:b w:val="0"/>
                <w:sz w:val="16"/>
              </w:rPr>
              <w:t>Connected group</w:t>
            </w:r>
          </w:p>
        </w:tc>
        <w:tc>
          <w:tcPr>
            <w:tcW w:type="dxa" w:w="5155"/>
            <w:vAlign w:val="center"/>
          </w:tcPr>
          <w:p>
            <w:r>
              <w:rPr>
                <w:sz w:val="16"/>
              </w:rPr>
            </w:r>
            <w:r>
              <w:rPr>
                <w:b w:val="0"/>
                <w:sz w:val="16"/>
              </w:rPr>
              <w:t>Risk-owned mapping with evidence</w:t>
            </w:r>
          </w:p>
        </w:tc>
      </w:tr>
      <w:tr>
        <w:trPr>
          <w:cantSplit/>
        </w:trPr>
        <w:tc>
          <w:tcPr>
            <w:tcW w:type="dxa" w:w="5155"/>
            <w:vAlign w:val="center"/>
          </w:tcPr>
          <w:p>
            <w:r>
              <w:rPr>
                <w:sz w:val="16"/>
              </w:rPr>
            </w:r>
            <w:r>
              <w:rPr>
                <w:b w:val="0"/>
                <w:sz w:val="16"/>
              </w:rPr>
              <w:t>Credit grade</w:t>
            </w:r>
          </w:p>
        </w:tc>
        <w:tc>
          <w:tcPr>
            <w:tcW w:type="dxa" w:w="5155"/>
            <w:vAlign w:val="center"/>
          </w:tcPr>
          <w:p>
            <w:r>
              <w:rPr>
                <w:sz w:val="16"/>
              </w:rPr>
            </w:r>
            <w:r>
              <w:rPr>
                <w:b w:val="0"/>
                <w:sz w:val="16"/>
              </w:rPr>
              <w:t>Approved current rating and review date</w:t>
            </w:r>
          </w:p>
        </w:tc>
      </w:tr>
      <w:tr>
        <w:trPr>
          <w:cantSplit/>
        </w:trPr>
        <w:tc>
          <w:tcPr>
            <w:tcW w:type="dxa" w:w="5155"/>
            <w:vAlign w:val="center"/>
          </w:tcPr>
          <w:p>
            <w:r>
              <w:rPr>
                <w:sz w:val="16"/>
              </w:rPr>
            </w:r>
            <w:r>
              <w:rPr>
                <w:b w:val="0"/>
                <w:sz w:val="16"/>
              </w:rPr>
              <w:t>Price</w:t>
            </w:r>
          </w:p>
        </w:tc>
        <w:tc>
          <w:tcPr>
            <w:tcW w:type="dxa" w:w="5155"/>
            <w:vAlign w:val="center"/>
          </w:tcPr>
          <w:p>
            <w:r>
              <w:rPr>
                <w:sz w:val="16"/>
              </w:rPr>
            </w:r>
            <w:r>
              <w:rPr>
                <w:b w:val="0"/>
                <w:sz w:val="16"/>
              </w:rPr>
              <w:t>Approved source hierarchy</w:t>
            </w:r>
          </w:p>
        </w:tc>
      </w:tr>
      <w:tr>
        <w:trPr>
          <w:cantSplit/>
        </w:trPr>
        <w:tc>
          <w:tcPr>
            <w:tcW w:type="dxa" w:w="5155"/>
            <w:vAlign w:val="center"/>
          </w:tcPr>
          <w:p>
            <w:r>
              <w:rPr>
                <w:sz w:val="16"/>
              </w:rPr>
            </w:r>
            <w:r>
              <w:rPr>
                <w:b w:val="0"/>
                <w:sz w:val="16"/>
              </w:rPr>
              <w:t>Maturity / duration</w:t>
            </w:r>
          </w:p>
        </w:tc>
        <w:tc>
          <w:tcPr>
            <w:tcW w:type="dxa" w:w="5155"/>
            <w:vAlign w:val="center"/>
          </w:tcPr>
          <w:p>
            <w:r>
              <w:rPr>
                <w:sz w:val="16"/>
              </w:rPr>
            </w:r>
            <w:r>
              <w:rPr>
                <w:b w:val="0"/>
                <w:sz w:val="16"/>
              </w:rPr>
              <w:t>Instrument master validation</w:t>
            </w:r>
          </w:p>
        </w:tc>
      </w:tr>
      <w:tr>
        <w:trPr>
          <w:cantSplit/>
        </w:trPr>
        <w:tc>
          <w:tcPr>
            <w:tcW w:type="dxa" w:w="5155"/>
            <w:vAlign w:val="center"/>
          </w:tcPr>
          <w:p>
            <w:r>
              <w:rPr>
                <w:sz w:val="16"/>
              </w:rPr>
            </w:r>
            <w:r>
              <w:rPr>
                <w:b w:val="0"/>
                <w:sz w:val="16"/>
              </w:rPr>
              <w:t>Exception status</w:t>
            </w:r>
          </w:p>
        </w:tc>
        <w:tc>
          <w:tcPr>
            <w:tcW w:type="dxa" w:w="5155"/>
            <w:vAlign w:val="center"/>
          </w:tcPr>
          <w:p>
            <w:r>
              <w:rPr>
                <w:sz w:val="16"/>
              </w:rPr>
            </w:r>
            <w:r>
              <w:rPr>
                <w:b w:val="0"/>
                <w:sz w:val="16"/>
              </w:rPr>
              <w:t>Controlled exception register</w:t>
            </w:r>
          </w:p>
        </w:tc>
      </w:tr>
    </w:tbl>
    <w:p/>
    <w:p>
      <w:pPr>
        <w:pStyle w:val="Heading1"/>
      </w:pPr>
      <w:r>
        <w:t>20. Scenario Testing</w:t>
      </w:r>
    </w:p>
    <w:p>
      <w:r>
        <w:t>At least monthly, Investment Risk shall run defined rate, spread, liquidity and counterparty scenarios. Material model limitations or unstable results require escalation under RMF-008 model-risk governance.</w:t>
      </w:r>
    </w:p>
    <w:p>
      <w:pPr>
        <w:pStyle w:val="Heading1"/>
      </w:pPr>
      <w:r>
        <w:t>21. Recordkeeping</w:t>
      </w:r>
    </w:p>
    <w:p>
      <w:r>
        <w:t>Monitoring evidence shall include daily limit outputs, exception registers, breach packs, valuation exception logs, watchlists, reconciliations, committee packs, approvals and remediation evidence.</w:t>
      </w:r>
    </w:p>
    <w:p>
      <w:pPr>
        <w:pStyle w:val="Heading1"/>
      </w:pPr>
      <w:r>
        <w:t>22. Appendix A — Daily Monitoring Checklist</w:t>
      </w:r>
    </w:p>
    <w:p>
      <w:r>
        <w:t>The following checklist is a minimum operating control.</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No.</w:t>
            </w:r>
          </w:p>
        </w:tc>
        <w:tc>
          <w:tcPr>
            <w:tcW w:type="dxa" w:w="3437"/>
            <w:vAlign w:val="center"/>
            <w:shd w:fill="17365D"/>
          </w:tcPr>
          <w:p>
            <w:r>
              <w:rPr>
                <w:sz w:val="16"/>
              </w:rPr>
            </w:r>
            <w:r>
              <w:rPr>
                <w:b/>
                <w:color w:val="FFFFFF"/>
                <w:sz w:val="16"/>
              </w:rPr>
              <w:t>Check</w:t>
            </w:r>
          </w:p>
        </w:tc>
        <w:tc>
          <w:tcPr>
            <w:tcW w:type="dxa" w:w="3437"/>
            <w:vAlign w:val="center"/>
            <w:shd w:fill="17365D"/>
          </w:tcPr>
          <w:p>
            <w:r>
              <w:rPr>
                <w:sz w:val="16"/>
              </w:rPr>
            </w:r>
            <w:r>
              <w:rPr>
                <w:b/>
                <w:color w:val="FFFFFF"/>
                <w:sz w:val="16"/>
              </w:rPr>
              <w:t>Evidence</w:t>
            </w:r>
          </w:p>
        </w:tc>
      </w:tr>
      <w:tr>
        <w:trPr>
          <w:cantSplit/>
        </w:trPr>
        <w:tc>
          <w:tcPr>
            <w:tcW w:type="dxa" w:w="3437"/>
            <w:vAlign w:val="center"/>
          </w:tcPr>
          <w:p>
            <w:r>
              <w:rPr>
                <w:sz w:val="16"/>
              </w:rPr>
            </w:r>
            <w:r>
              <w:rPr>
                <w:b w:val="0"/>
                <w:sz w:val="16"/>
              </w:rPr>
              <w:t>1</w:t>
            </w:r>
          </w:p>
        </w:tc>
        <w:tc>
          <w:tcPr>
            <w:tcW w:type="dxa" w:w="3437"/>
            <w:vAlign w:val="center"/>
          </w:tcPr>
          <w:p>
            <w:r>
              <w:rPr>
                <w:sz w:val="16"/>
              </w:rPr>
            </w:r>
            <w:r>
              <w:rPr>
                <w:b w:val="0"/>
                <w:sz w:val="16"/>
              </w:rPr>
              <w:t>Position reconciliation complete</w:t>
            </w:r>
          </w:p>
        </w:tc>
        <w:tc>
          <w:tcPr>
            <w:tcW w:type="dxa" w:w="3437"/>
            <w:vAlign w:val="center"/>
          </w:tcPr>
          <w:p>
            <w:r>
              <w:rPr>
                <w:sz w:val="16"/>
              </w:rPr>
            </w:r>
            <w:r>
              <w:rPr>
                <w:b w:val="0"/>
                <w:sz w:val="16"/>
              </w:rPr>
              <w:t>Signed/reconciled position file</w:t>
            </w:r>
          </w:p>
        </w:tc>
      </w:tr>
      <w:tr>
        <w:trPr>
          <w:cantSplit/>
        </w:trPr>
        <w:tc>
          <w:tcPr>
            <w:tcW w:type="dxa" w:w="3437"/>
            <w:vAlign w:val="center"/>
          </w:tcPr>
          <w:p>
            <w:r>
              <w:rPr>
                <w:sz w:val="16"/>
              </w:rPr>
            </w:r>
            <w:r>
              <w:rPr>
                <w:b w:val="0"/>
                <w:sz w:val="16"/>
              </w:rPr>
              <w:t>2</w:t>
            </w:r>
          </w:p>
        </w:tc>
        <w:tc>
          <w:tcPr>
            <w:tcW w:type="dxa" w:w="3437"/>
            <w:vAlign w:val="center"/>
          </w:tcPr>
          <w:p>
            <w:r>
              <w:rPr>
                <w:sz w:val="16"/>
              </w:rPr>
            </w:r>
            <w:r>
              <w:rPr>
                <w:b w:val="0"/>
                <w:sz w:val="16"/>
              </w:rPr>
              <w:t>Issuer/group mappings current</w:t>
            </w:r>
          </w:p>
        </w:tc>
        <w:tc>
          <w:tcPr>
            <w:tcW w:type="dxa" w:w="3437"/>
            <w:vAlign w:val="center"/>
          </w:tcPr>
          <w:p>
            <w:r>
              <w:rPr>
                <w:sz w:val="16"/>
              </w:rPr>
            </w:r>
            <w:r>
              <w:rPr>
                <w:b w:val="0"/>
                <w:sz w:val="16"/>
              </w:rPr>
              <w:t>Reference-data change log</w:t>
            </w:r>
          </w:p>
        </w:tc>
      </w:tr>
      <w:tr>
        <w:trPr>
          <w:cantSplit/>
        </w:trPr>
        <w:tc>
          <w:tcPr>
            <w:tcW w:type="dxa" w:w="3437"/>
            <w:vAlign w:val="center"/>
          </w:tcPr>
          <w:p>
            <w:r>
              <w:rPr>
                <w:sz w:val="16"/>
              </w:rPr>
            </w:r>
            <w:r>
              <w:rPr>
                <w:b w:val="0"/>
                <w:sz w:val="16"/>
              </w:rPr>
              <w:t>3</w:t>
            </w:r>
          </w:p>
        </w:tc>
        <w:tc>
          <w:tcPr>
            <w:tcW w:type="dxa" w:w="3437"/>
            <w:vAlign w:val="center"/>
          </w:tcPr>
          <w:p>
            <w:r>
              <w:rPr>
                <w:sz w:val="16"/>
              </w:rPr>
            </w:r>
            <w:r>
              <w:rPr>
                <w:b w:val="0"/>
                <w:sz w:val="16"/>
              </w:rPr>
              <w:t>Concentration limits calculated</w:t>
            </w:r>
          </w:p>
        </w:tc>
        <w:tc>
          <w:tcPr>
            <w:tcW w:type="dxa" w:w="3437"/>
            <w:vAlign w:val="center"/>
          </w:tcPr>
          <w:p>
            <w:r>
              <w:rPr>
                <w:sz w:val="16"/>
              </w:rPr>
            </w:r>
            <w:r>
              <w:rPr>
                <w:b w:val="0"/>
                <w:sz w:val="16"/>
              </w:rPr>
              <w:t>Daily limit report</w:t>
            </w:r>
          </w:p>
        </w:tc>
      </w:tr>
      <w:tr>
        <w:trPr>
          <w:cantSplit/>
        </w:trPr>
        <w:tc>
          <w:tcPr>
            <w:tcW w:type="dxa" w:w="3437"/>
            <w:vAlign w:val="center"/>
          </w:tcPr>
          <w:p>
            <w:r>
              <w:rPr>
                <w:sz w:val="16"/>
              </w:rPr>
            </w:r>
            <w:r>
              <w:rPr>
                <w:b w:val="0"/>
                <w:sz w:val="16"/>
              </w:rPr>
              <w:t>4</w:t>
            </w:r>
          </w:p>
        </w:tc>
        <w:tc>
          <w:tcPr>
            <w:tcW w:type="dxa" w:w="3437"/>
            <w:vAlign w:val="center"/>
          </w:tcPr>
          <w:p>
            <w:r>
              <w:rPr>
                <w:sz w:val="16"/>
              </w:rPr>
            </w:r>
            <w:r>
              <w:rPr>
                <w:b w:val="0"/>
                <w:sz w:val="16"/>
              </w:rPr>
              <w:t>Liquidity buckets calculated</w:t>
            </w:r>
          </w:p>
        </w:tc>
        <w:tc>
          <w:tcPr>
            <w:tcW w:type="dxa" w:w="3437"/>
            <w:vAlign w:val="center"/>
          </w:tcPr>
          <w:p>
            <w:r>
              <w:rPr>
                <w:sz w:val="16"/>
              </w:rPr>
            </w:r>
            <w:r>
              <w:rPr>
                <w:b w:val="0"/>
                <w:sz w:val="16"/>
              </w:rPr>
              <w:t>Liquidity report</w:t>
            </w:r>
          </w:p>
        </w:tc>
      </w:tr>
      <w:tr>
        <w:trPr>
          <w:cantSplit/>
        </w:trPr>
        <w:tc>
          <w:tcPr>
            <w:tcW w:type="dxa" w:w="3437"/>
            <w:vAlign w:val="center"/>
          </w:tcPr>
          <w:p>
            <w:r>
              <w:rPr>
                <w:sz w:val="16"/>
              </w:rPr>
            </w:r>
            <w:r>
              <w:rPr>
                <w:b w:val="0"/>
                <w:sz w:val="16"/>
              </w:rPr>
              <w:t>5</w:t>
            </w:r>
          </w:p>
        </w:tc>
        <w:tc>
          <w:tcPr>
            <w:tcW w:type="dxa" w:w="3437"/>
            <w:vAlign w:val="center"/>
          </w:tcPr>
          <w:p>
            <w:r>
              <w:rPr>
                <w:sz w:val="16"/>
              </w:rPr>
            </w:r>
            <w:r>
              <w:rPr>
                <w:b w:val="0"/>
                <w:sz w:val="16"/>
              </w:rPr>
              <w:t>Duration calculated</w:t>
            </w:r>
          </w:p>
        </w:tc>
        <w:tc>
          <w:tcPr>
            <w:tcW w:type="dxa" w:w="3437"/>
            <w:vAlign w:val="center"/>
          </w:tcPr>
          <w:p>
            <w:r>
              <w:rPr>
                <w:sz w:val="16"/>
              </w:rPr>
            </w:r>
            <w:r>
              <w:rPr>
                <w:b w:val="0"/>
                <w:sz w:val="16"/>
              </w:rPr>
              <w:t>Risk report</w:t>
            </w:r>
          </w:p>
        </w:tc>
      </w:tr>
      <w:tr>
        <w:trPr>
          <w:cantSplit/>
        </w:trPr>
        <w:tc>
          <w:tcPr>
            <w:tcW w:type="dxa" w:w="3437"/>
            <w:vAlign w:val="center"/>
          </w:tcPr>
          <w:p>
            <w:r>
              <w:rPr>
                <w:sz w:val="16"/>
              </w:rPr>
            </w:r>
            <w:r>
              <w:rPr>
                <w:b w:val="0"/>
                <w:sz w:val="16"/>
              </w:rPr>
              <w:t>6</w:t>
            </w:r>
          </w:p>
        </w:tc>
        <w:tc>
          <w:tcPr>
            <w:tcW w:type="dxa" w:w="3437"/>
            <w:vAlign w:val="center"/>
          </w:tcPr>
          <w:p>
            <w:r>
              <w:rPr>
                <w:sz w:val="16"/>
              </w:rPr>
            </w:r>
            <w:r>
              <w:rPr>
                <w:b w:val="0"/>
                <w:sz w:val="16"/>
              </w:rPr>
              <w:t>Watchlist restrictions applied</w:t>
            </w:r>
          </w:p>
        </w:tc>
        <w:tc>
          <w:tcPr>
            <w:tcW w:type="dxa" w:w="3437"/>
            <w:vAlign w:val="center"/>
          </w:tcPr>
          <w:p>
            <w:r>
              <w:rPr>
                <w:sz w:val="16"/>
              </w:rPr>
            </w:r>
            <w:r>
              <w:rPr>
                <w:b w:val="0"/>
                <w:sz w:val="16"/>
              </w:rPr>
              <w:t>Restricted list</w:t>
            </w:r>
          </w:p>
        </w:tc>
      </w:tr>
      <w:tr>
        <w:trPr>
          <w:cantSplit/>
        </w:trPr>
        <w:tc>
          <w:tcPr>
            <w:tcW w:type="dxa" w:w="3437"/>
            <w:vAlign w:val="center"/>
          </w:tcPr>
          <w:p>
            <w:r>
              <w:rPr>
                <w:sz w:val="16"/>
              </w:rPr>
            </w:r>
            <w:r>
              <w:rPr>
                <w:b w:val="0"/>
                <w:sz w:val="16"/>
              </w:rPr>
              <w:t>7</w:t>
            </w:r>
          </w:p>
        </w:tc>
        <w:tc>
          <w:tcPr>
            <w:tcW w:type="dxa" w:w="3437"/>
            <w:vAlign w:val="center"/>
          </w:tcPr>
          <w:p>
            <w:r>
              <w:rPr>
                <w:sz w:val="16"/>
              </w:rPr>
            </w:r>
            <w:r>
              <w:rPr>
                <w:b w:val="0"/>
                <w:sz w:val="16"/>
              </w:rPr>
              <w:t>Exceptions current and unexpired</w:t>
            </w:r>
          </w:p>
        </w:tc>
        <w:tc>
          <w:tcPr>
            <w:tcW w:type="dxa" w:w="3437"/>
            <w:vAlign w:val="center"/>
          </w:tcPr>
          <w:p>
            <w:r>
              <w:rPr>
                <w:sz w:val="16"/>
              </w:rPr>
            </w:r>
            <w:r>
              <w:rPr>
                <w:b w:val="0"/>
                <w:sz w:val="16"/>
              </w:rPr>
              <w:t>Exception register</w:t>
            </w:r>
          </w:p>
        </w:tc>
      </w:tr>
      <w:tr>
        <w:trPr>
          <w:cantSplit/>
        </w:trPr>
        <w:tc>
          <w:tcPr>
            <w:tcW w:type="dxa" w:w="3437"/>
            <w:vAlign w:val="center"/>
          </w:tcPr>
          <w:p>
            <w:r>
              <w:rPr>
                <w:sz w:val="16"/>
              </w:rPr>
            </w:r>
            <w:r>
              <w:rPr>
                <w:b w:val="0"/>
                <w:sz w:val="16"/>
              </w:rPr>
              <w:t>8</w:t>
            </w:r>
          </w:p>
        </w:tc>
        <w:tc>
          <w:tcPr>
            <w:tcW w:type="dxa" w:w="3437"/>
            <w:vAlign w:val="center"/>
          </w:tcPr>
          <w:p>
            <w:r>
              <w:rPr>
                <w:sz w:val="16"/>
              </w:rPr>
            </w:r>
            <w:r>
              <w:rPr>
                <w:b w:val="0"/>
                <w:sz w:val="16"/>
              </w:rPr>
              <w:t>Price exceptions assessed</w:t>
            </w:r>
          </w:p>
        </w:tc>
        <w:tc>
          <w:tcPr>
            <w:tcW w:type="dxa" w:w="3437"/>
            <w:vAlign w:val="center"/>
          </w:tcPr>
          <w:p>
            <w:r>
              <w:rPr>
                <w:sz w:val="16"/>
              </w:rPr>
            </w:r>
            <w:r>
              <w:rPr>
                <w:b w:val="0"/>
                <w:sz w:val="16"/>
              </w:rPr>
              <w:t>IPV log</w:t>
            </w:r>
          </w:p>
        </w:tc>
      </w:tr>
      <w:tr>
        <w:trPr>
          <w:cantSplit/>
        </w:trPr>
        <w:tc>
          <w:tcPr>
            <w:tcW w:type="dxa" w:w="3437"/>
            <w:vAlign w:val="center"/>
          </w:tcPr>
          <w:p>
            <w:r>
              <w:rPr>
                <w:sz w:val="16"/>
              </w:rPr>
            </w:r>
            <w:r>
              <w:rPr>
                <w:b w:val="0"/>
                <w:sz w:val="16"/>
              </w:rPr>
              <w:t>9</w:t>
            </w:r>
          </w:p>
        </w:tc>
        <w:tc>
          <w:tcPr>
            <w:tcW w:type="dxa" w:w="3437"/>
            <w:vAlign w:val="center"/>
          </w:tcPr>
          <w:p>
            <w:r>
              <w:rPr>
                <w:sz w:val="16"/>
              </w:rPr>
            </w:r>
            <w:r>
              <w:rPr>
                <w:b w:val="0"/>
                <w:sz w:val="16"/>
              </w:rPr>
              <w:t>Breaches escalated</w:t>
            </w:r>
          </w:p>
        </w:tc>
        <w:tc>
          <w:tcPr>
            <w:tcW w:type="dxa" w:w="3437"/>
            <w:vAlign w:val="center"/>
          </w:tcPr>
          <w:p>
            <w:r>
              <w:rPr>
                <w:sz w:val="16"/>
              </w:rPr>
            </w:r>
            <w:r>
              <w:rPr>
                <w:b w:val="0"/>
                <w:sz w:val="16"/>
              </w:rPr>
              <w:t>Breach record / email trail</w:t>
            </w:r>
          </w:p>
        </w:tc>
      </w:tr>
      <w:tr>
        <w:trPr>
          <w:cantSplit/>
        </w:trPr>
        <w:tc>
          <w:tcPr>
            <w:tcW w:type="dxa" w:w="3437"/>
            <w:vAlign w:val="center"/>
          </w:tcPr>
          <w:p>
            <w:r>
              <w:rPr>
                <w:sz w:val="16"/>
              </w:rPr>
            </w:r>
            <w:r>
              <w:rPr>
                <w:b w:val="0"/>
                <w:sz w:val="16"/>
              </w:rPr>
              <w:t>10</w:t>
            </w:r>
          </w:p>
        </w:tc>
        <w:tc>
          <w:tcPr>
            <w:tcW w:type="dxa" w:w="3437"/>
            <w:vAlign w:val="center"/>
          </w:tcPr>
          <w:p>
            <w:r>
              <w:rPr>
                <w:sz w:val="16"/>
              </w:rPr>
            </w:r>
            <w:r>
              <w:rPr>
                <w:b w:val="0"/>
                <w:sz w:val="16"/>
              </w:rPr>
              <w:t>Report checker sign-off completed</w:t>
            </w:r>
          </w:p>
        </w:tc>
        <w:tc>
          <w:tcPr>
            <w:tcW w:type="dxa" w:w="3437"/>
            <w:vAlign w:val="center"/>
          </w:tcPr>
          <w:p>
            <w:r>
              <w:rPr>
                <w:sz w:val="16"/>
              </w:rPr>
            </w:r>
            <w:r>
              <w:rPr>
                <w:b w:val="0"/>
                <w:sz w:val="16"/>
              </w:rPr>
              <w:t>Maker-checker evidence</w:t>
            </w:r>
          </w:p>
        </w:tc>
      </w:tr>
    </w:tbl>
    <w:p/>
    <w:p>
      <w:pPr>
        <w:pStyle w:val="Heading1"/>
      </w:pPr>
      <w:r>
        <w:t>23. Appendix B — Monitoring Scenarios</w:t>
      </w:r>
    </w:p>
    <w:p>
      <w:r>
        <w:t>Examples show expected treatment.</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vAlign w:val="center"/>
            <w:shd w:fill="17365D"/>
          </w:tcPr>
          <w:p>
            <w:r>
              <w:rPr>
                <w:sz w:val="16"/>
              </w:rPr>
            </w:r>
            <w:r>
              <w:rPr>
                <w:b/>
                <w:color w:val="FFFFFF"/>
                <w:sz w:val="16"/>
              </w:rPr>
              <w:t>Scenario</w:t>
            </w:r>
          </w:p>
        </w:tc>
        <w:tc>
          <w:tcPr>
            <w:tcW w:type="dxa" w:w="3437"/>
            <w:vAlign w:val="center"/>
            <w:shd w:fill="17365D"/>
          </w:tcPr>
          <w:p>
            <w:r>
              <w:rPr>
                <w:sz w:val="16"/>
              </w:rPr>
            </w:r>
            <w:r>
              <w:rPr>
                <w:b/>
                <w:color w:val="FFFFFF"/>
                <w:sz w:val="16"/>
              </w:rPr>
              <w:t>Classification</w:t>
            </w:r>
          </w:p>
        </w:tc>
        <w:tc>
          <w:tcPr>
            <w:tcW w:type="dxa" w:w="3437"/>
            <w:vAlign w:val="center"/>
            <w:shd w:fill="17365D"/>
          </w:tcPr>
          <w:p>
            <w:r>
              <w:rPr>
                <w:sz w:val="16"/>
              </w:rPr>
            </w:r>
            <w:r>
              <w:rPr>
                <w:b/>
                <w:color w:val="FFFFFF"/>
                <w:sz w:val="16"/>
              </w:rPr>
              <w:t>Action</w:t>
            </w:r>
          </w:p>
        </w:tc>
      </w:tr>
      <w:tr>
        <w:trPr>
          <w:cantSplit/>
        </w:trPr>
        <w:tc>
          <w:tcPr>
            <w:tcW w:type="dxa" w:w="3437"/>
            <w:vAlign w:val="center"/>
          </w:tcPr>
          <w:p>
            <w:r>
              <w:rPr>
                <w:sz w:val="16"/>
              </w:rPr>
            </w:r>
            <w:r>
              <w:rPr>
                <w:b w:val="0"/>
                <w:sz w:val="16"/>
              </w:rPr>
              <w:t>Issuer moves from 7.3% to 7.7% because bond price rises</w:t>
            </w:r>
          </w:p>
        </w:tc>
        <w:tc>
          <w:tcPr>
            <w:tcW w:type="dxa" w:w="3437"/>
            <w:vAlign w:val="center"/>
          </w:tcPr>
          <w:p>
            <w:r>
              <w:rPr>
                <w:sz w:val="16"/>
              </w:rPr>
            </w:r>
            <w:r>
              <w:rPr>
                <w:b w:val="0"/>
                <w:sz w:val="16"/>
              </w:rPr>
              <w:t>Passive breach</w:t>
            </w:r>
          </w:p>
        </w:tc>
        <w:tc>
          <w:tcPr>
            <w:tcW w:type="dxa" w:w="3437"/>
            <w:vAlign w:val="center"/>
          </w:tcPr>
          <w:p>
            <w:r>
              <w:rPr>
                <w:sz w:val="16"/>
              </w:rPr>
            </w:r>
            <w:r>
              <w:rPr>
                <w:b w:val="0"/>
                <w:sz w:val="16"/>
              </w:rPr>
              <w:t>Freeze increase, assess reduction/remediation.</w:t>
            </w:r>
          </w:p>
        </w:tc>
      </w:tr>
      <w:tr>
        <w:trPr>
          <w:cantSplit/>
        </w:trPr>
        <w:tc>
          <w:tcPr>
            <w:tcW w:type="dxa" w:w="3437"/>
            <w:vAlign w:val="center"/>
          </w:tcPr>
          <w:p>
            <w:r>
              <w:rPr>
                <w:sz w:val="16"/>
              </w:rPr>
            </w:r>
            <w:r>
              <w:rPr>
                <w:b w:val="0"/>
                <w:sz w:val="16"/>
              </w:rPr>
              <w:t>New ₹8 crore trade raises issuer to 8.1% with no exception</w:t>
            </w:r>
          </w:p>
        </w:tc>
        <w:tc>
          <w:tcPr>
            <w:tcW w:type="dxa" w:w="3437"/>
            <w:vAlign w:val="center"/>
          </w:tcPr>
          <w:p>
            <w:r>
              <w:rPr>
                <w:sz w:val="16"/>
              </w:rPr>
            </w:r>
            <w:r>
              <w:rPr>
                <w:b w:val="0"/>
                <w:sz w:val="16"/>
              </w:rPr>
              <w:t>Active breach</w:t>
            </w:r>
          </w:p>
        </w:tc>
        <w:tc>
          <w:tcPr>
            <w:tcW w:type="dxa" w:w="3437"/>
            <w:vAlign w:val="center"/>
          </w:tcPr>
          <w:p>
            <w:r>
              <w:rPr>
                <w:sz w:val="16"/>
              </w:rPr>
            </w:r>
            <w:r>
              <w:rPr>
                <w:b w:val="0"/>
                <w:sz w:val="16"/>
              </w:rPr>
              <w:t>Immediate escalation; no retrospective exception label.</w:t>
            </w:r>
          </w:p>
        </w:tc>
      </w:tr>
      <w:tr>
        <w:trPr>
          <w:cantSplit/>
        </w:trPr>
        <w:tc>
          <w:tcPr>
            <w:tcW w:type="dxa" w:w="3437"/>
            <w:vAlign w:val="center"/>
          </w:tcPr>
          <w:p>
            <w:r>
              <w:rPr>
                <w:sz w:val="16"/>
              </w:rPr>
            </w:r>
            <w:r>
              <w:rPr>
                <w:b w:val="0"/>
                <w:sz w:val="16"/>
              </w:rPr>
              <w:t>Exception expired yesterday but system still shows headroom</w:t>
            </w:r>
          </w:p>
        </w:tc>
        <w:tc>
          <w:tcPr>
            <w:tcW w:type="dxa" w:w="3437"/>
            <w:vAlign w:val="center"/>
          </w:tcPr>
          <w:p>
            <w:r>
              <w:rPr>
                <w:sz w:val="16"/>
              </w:rPr>
            </w:r>
            <w:r>
              <w:rPr>
                <w:b w:val="0"/>
                <w:sz w:val="16"/>
              </w:rPr>
              <w:t>Control + active breach risk</w:t>
            </w:r>
          </w:p>
        </w:tc>
        <w:tc>
          <w:tcPr>
            <w:tcW w:type="dxa" w:w="3437"/>
            <w:vAlign w:val="center"/>
          </w:tcPr>
          <w:p>
            <w:r>
              <w:rPr>
                <w:sz w:val="16"/>
              </w:rPr>
            </w:r>
            <w:r>
              <w:rPr>
                <w:b w:val="0"/>
                <w:sz w:val="16"/>
              </w:rPr>
              <w:t>Correct system; treat any new trade on actual authority basis.</w:t>
            </w:r>
          </w:p>
        </w:tc>
      </w:tr>
      <w:tr>
        <w:trPr>
          <w:cantSplit/>
        </w:trPr>
        <w:tc>
          <w:tcPr>
            <w:tcW w:type="dxa" w:w="3437"/>
            <w:vAlign w:val="center"/>
          </w:tcPr>
          <w:p>
            <w:r>
              <w:rPr>
                <w:sz w:val="16"/>
              </w:rPr>
            </w:r>
            <w:r>
              <w:rPr>
                <w:b w:val="0"/>
                <w:sz w:val="16"/>
              </w:rPr>
              <w:t>IG2 issuer downgraded internally to IG4</w:t>
            </w:r>
          </w:p>
        </w:tc>
        <w:tc>
          <w:tcPr>
            <w:tcW w:type="dxa" w:w="3437"/>
            <w:vAlign w:val="center"/>
          </w:tcPr>
          <w:p>
            <w:r>
              <w:rPr>
                <w:sz w:val="16"/>
              </w:rPr>
            </w:r>
            <w:r>
              <w:rPr>
                <w:b w:val="0"/>
                <w:sz w:val="16"/>
              </w:rPr>
              <w:t>Credit deterioration</w:t>
            </w:r>
          </w:p>
        </w:tc>
        <w:tc>
          <w:tcPr>
            <w:tcW w:type="dxa" w:w="3437"/>
            <w:vAlign w:val="center"/>
          </w:tcPr>
          <w:p>
            <w:r>
              <w:rPr>
                <w:sz w:val="16"/>
              </w:rPr>
            </w:r>
            <w:r>
              <w:rPr>
                <w:b w:val="0"/>
                <w:sz w:val="16"/>
              </w:rPr>
              <w:t>Stop-buy; committee review.</w:t>
            </w:r>
          </w:p>
        </w:tc>
      </w:tr>
      <w:tr>
        <w:trPr>
          <w:cantSplit/>
        </w:trPr>
        <w:tc>
          <w:tcPr>
            <w:tcW w:type="dxa" w:w="3437"/>
            <w:vAlign w:val="center"/>
          </w:tcPr>
          <w:p>
            <w:r>
              <w:rPr>
                <w:sz w:val="16"/>
              </w:rPr>
            </w:r>
            <w:r>
              <w:rPr>
                <w:b w:val="0"/>
                <w:sz w:val="16"/>
              </w:rPr>
              <w:t>Price feed missing and desk uses yesterday price without flag</w:t>
            </w:r>
          </w:p>
        </w:tc>
        <w:tc>
          <w:tcPr>
            <w:tcW w:type="dxa" w:w="3437"/>
            <w:vAlign w:val="center"/>
          </w:tcPr>
          <w:p>
            <w:r>
              <w:rPr>
                <w:sz w:val="16"/>
              </w:rPr>
            </w:r>
            <w:r>
              <w:rPr>
                <w:b w:val="0"/>
                <w:sz w:val="16"/>
              </w:rPr>
              <w:t>Valuation control breach</w:t>
            </w:r>
          </w:p>
        </w:tc>
        <w:tc>
          <w:tcPr>
            <w:tcW w:type="dxa" w:w="3437"/>
            <w:vAlign w:val="center"/>
          </w:tcPr>
          <w:p>
            <w:r>
              <w:rPr>
                <w:sz w:val="16"/>
              </w:rPr>
            </w:r>
            <w:r>
              <w:rPr>
                <w:b w:val="0"/>
                <w:sz w:val="16"/>
              </w:rPr>
              <w:t>Flag uncertainty; reconstruct exposure and assess reporting impact.</w:t>
            </w:r>
          </w:p>
        </w:tc>
      </w:tr>
    </w:tbl>
    <w:p/>
    <w:p>
      <w:r>
        <w:br w:type="page"/>
      </w:r>
    </w:p>
    <w:p>
      <w:pPr>
        <w:pStyle w:val="Heading1"/>
      </w:pPr>
      <w:r>
        <w:t>Appendix C — Daily Limit Report Specification</w:t>
      </w:r>
    </w:p>
    <w:p>
      <w:pPr>
        <w:spacing w:after="100"/>
      </w:pPr>
      <w:r>
        <w:t>The daily limit report shall be reproducible, versioned and checked before distribution. Manual adjustments must be visible and supported by a reason and approver.</w:t>
      </w:r>
    </w:p>
    <w:tbl>
      <w:tblPr>
        <w:tblStyle w:val="TableGrid"/>
        <w:tblW w:type="auto" w:w="0"/>
        <w:jc w:val="center"/>
        <w:tblLook w:firstColumn="1" w:firstRow="1" w:lastColumn="0" w:lastRow="0" w:noHBand="0" w:noVBand="1" w:val="04A0"/>
      </w:tblPr>
      <w:tblGrid>
        <w:gridCol w:w="3369"/>
        <w:gridCol w:w="3369"/>
        <w:gridCol w:w="3369"/>
      </w:tblGrid>
      <w:tr>
        <w:trPr>
          <w:tblHeader w:val="true"/>
          <w:cantSplit/>
        </w:trPr>
        <w:tc>
          <w:tcPr>
            <w:tcW w:type="dxa" w:w="3369"/>
            <w:vAlign w:val="center"/>
            <w:shd w:fill="17365D"/>
          </w:tcPr>
          <w:p>
            <w:r/>
            <w:r>
              <w:rPr>
                <w:b/>
                <w:color w:val="FFFFFF"/>
                <w:sz w:val="16"/>
              </w:rPr>
              <w:t>Field</w:t>
            </w:r>
          </w:p>
        </w:tc>
        <w:tc>
          <w:tcPr>
            <w:tcW w:type="dxa" w:w="3369"/>
            <w:vAlign w:val="center"/>
            <w:shd w:fill="17365D"/>
          </w:tcPr>
          <w:p>
            <w:r/>
            <w:r>
              <w:rPr>
                <w:b/>
                <w:color w:val="FFFFFF"/>
                <w:sz w:val="16"/>
              </w:rPr>
              <w:t>Definition</w:t>
            </w:r>
          </w:p>
        </w:tc>
        <w:tc>
          <w:tcPr>
            <w:tcW w:type="dxa" w:w="3369"/>
            <w:vAlign w:val="center"/>
            <w:shd w:fill="17365D"/>
          </w:tcPr>
          <w:p>
            <w:r/>
            <w:r>
              <w:rPr>
                <w:b/>
                <w:color w:val="FFFFFF"/>
                <w:sz w:val="16"/>
              </w:rPr>
              <w:t>Control</w:t>
            </w:r>
          </w:p>
        </w:tc>
      </w:tr>
      <w:tr>
        <w:trPr>
          <w:cantSplit/>
        </w:trPr>
        <w:tc>
          <w:tcPr>
            <w:tcW w:type="dxa" w:w="3369"/>
            <w:vAlign w:val="center"/>
          </w:tcPr>
          <w:p>
            <w:r/>
            <w:r>
              <w:rPr>
                <w:b w:val="0"/>
                <w:sz w:val="16"/>
              </w:rPr>
              <w:t>Portfolio NAV / denominator</w:t>
            </w:r>
          </w:p>
        </w:tc>
        <w:tc>
          <w:tcPr>
            <w:tcW w:type="dxa" w:w="3369"/>
            <w:vAlign w:val="center"/>
          </w:tcPr>
          <w:p>
            <w:r/>
            <w:r>
              <w:rPr>
                <w:b w:val="0"/>
                <w:sz w:val="16"/>
              </w:rPr>
              <w:t>Approved denominator used for percentage limits</w:t>
            </w:r>
          </w:p>
        </w:tc>
        <w:tc>
          <w:tcPr>
            <w:tcW w:type="dxa" w:w="3369"/>
            <w:vAlign w:val="center"/>
          </w:tcPr>
          <w:p>
            <w:r/>
            <w:r>
              <w:rPr>
                <w:b w:val="0"/>
                <w:sz w:val="16"/>
              </w:rPr>
              <w:t>Reconcile to Finance/risk source</w:t>
            </w:r>
          </w:p>
        </w:tc>
      </w:tr>
      <w:tr>
        <w:trPr>
          <w:cantSplit/>
        </w:trPr>
        <w:tc>
          <w:tcPr>
            <w:tcW w:type="dxa" w:w="3369"/>
            <w:vAlign w:val="center"/>
          </w:tcPr>
          <w:p>
            <w:r/>
            <w:r>
              <w:rPr>
                <w:b w:val="0"/>
                <w:sz w:val="16"/>
              </w:rPr>
              <w:t>Issuer exposure</w:t>
            </w:r>
          </w:p>
        </w:tc>
        <w:tc>
          <w:tcPr>
            <w:tcW w:type="dxa" w:w="3369"/>
            <w:vAlign w:val="center"/>
          </w:tcPr>
          <w:p>
            <w:r/>
            <w:r>
              <w:rPr>
                <w:b w:val="0"/>
                <w:sz w:val="16"/>
              </w:rPr>
              <w:t>Market value plus other included exposure per policy</w:t>
            </w:r>
          </w:p>
        </w:tc>
        <w:tc>
          <w:tcPr>
            <w:tcW w:type="dxa" w:w="3369"/>
            <w:vAlign w:val="center"/>
          </w:tcPr>
          <w:p>
            <w:r/>
            <w:r>
              <w:rPr>
                <w:b w:val="0"/>
                <w:sz w:val="16"/>
              </w:rPr>
              <w:t>Map to legal issuer code</w:t>
            </w:r>
          </w:p>
        </w:tc>
      </w:tr>
      <w:tr>
        <w:trPr>
          <w:cantSplit/>
        </w:trPr>
        <w:tc>
          <w:tcPr>
            <w:tcW w:type="dxa" w:w="3369"/>
            <w:vAlign w:val="center"/>
          </w:tcPr>
          <w:p>
            <w:r/>
            <w:r>
              <w:rPr>
                <w:b w:val="0"/>
                <w:sz w:val="16"/>
              </w:rPr>
              <w:t>Group exposure</w:t>
            </w:r>
          </w:p>
        </w:tc>
        <w:tc>
          <w:tcPr>
            <w:tcW w:type="dxa" w:w="3369"/>
            <w:vAlign w:val="center"/>
          </w:tcPr>
          <w:p>
            <w:r/>
            <w:r>
              <w:rPr>
                <w:b w:val="0"/>
                <w:sz w:val="16"/>
              </w:rPr>
              <w:t>Aggregate connected issuers</w:t>
            </w:r>
          </w:p>
        </w:tc>
        <w:tc>
          <w:tcPr>
            <w:tcW w:type="dxa" w:w="3369"/>
            <w:vAlign w:val="center"/>
          </w:tcPr>
          <w:p>
            <w:r/>
            <w:r>
              <w:rPr>
                <w:b w:val="0"/>
                <w:sz w:val="16"/>
              </w:rPr>
              <w:t>Risk-owned group mapping</w:t>
            </w:r>
          </w:p>
        </w:tc>
      </w:tr>
      <w:tr>
        <w:trPr>
          <w:cantSplit/>
        </w:trPr>
        <w:tc>
          <w:tcPr>
            <w:tcW w:type="dxa" w:w="3369"/>
            <w:vAlign w:val="center"/>
          </w:tcPr>
          <w:p>
            <w:r/>
            <w:r>
              <w:rPr>
                <w:b w:val="0"/>
                <w:sz w:val="16"/>
              </w:rPr>
              <w:t>Sector</w:t>
            </w:r>
          </w:p>
        </w:tc>
        <w:tc>
          <w:tcPr>
            <w:tcW w:type="dxa" w:w="3369"/>
            <w:vAlign w:val="center"/>
          </w:tcPr>
          <w:p>
            <w:r/>
            <w:r>
              <w:rPr>
                <w:b w:val="0"/>
                <w:sz w:val="16"/>
              </w:rPr>
              <w:t>Controlled sector taxonomy</w:t>
            </w:r>
          </w:p>
        </w:tc>
        <w:tc>
          <w:tcPr>
            <w:tcW w:type="dxa" w:w="3369"/>
            <w:vAlign w:val="center"/>
          </w:tcPr>
          <w:p>
            <w:r/>
            <w:r>
              <w:rPr>
                <w:b w:val="0"/>
                <w:sz w:val="16"/>
              </w:rPr>
              <w:t>Change log and checker</w:t>
            </w:r>
          </w:p>
        </w:tc>
      </w:tr>
      <w:tr>
        <w:trPr>
          <w:cantSplit/>
        </w:trPr>
        <w:tc>
          <w:tcPr>
            <w:tcW w:type="dxa" w:w="3369"/>
            <w:vAlign w:val="center"/>
          </w:tcPr>
          <w:p>
            <w:r/>
            <w:r>
              <w:rPr>
                <w:b w:val="0"/>
                <w:sz w:val="16"/>
              </w:rPr>
              <w:t>Internal grade</w:t>
            </w:r>
          </w:p>
        </w:tc>
        <w:tc>
          <w:tcPr>
            <w:tcW w:type="dxa" w:w="3369"/>
            <w:vAlign w:val="center"/>
          </w:tcPr>
          <w:p>
            <w:r/>
            <w:r>
              <w:rPr>
                <w:b w:val="0"/>
                <w:sz w:val="16"/>
              </w:rPr>
              <w:t>Current approved IG1–IG5</w:t>
            </w:r>
          </w:p>
        </w:tc>
        <w:tc>
          <w:tcPr>
            <w:tcW w:type="dxa" w:w="3369"/>
            <w:vAlign w:val="center"/>
          </w:tcPr>
          <w:p>
            <w:r/>
            <w:r>
              <w:rPr>
                <w:b w:val="0"/>
                <w:sz w:val="16"/>
              </w:rPr>
              <w:t>Review date must not be expired</w:t>
            </w:r>
          </w:p>
        </w:tc>
      </w:tr>
      <w:tr>
        <w:trPr>
          <w:cantSplit/>
        </w:trPr>
        <w:tc>
          <w:tcPr>
            <w:tcW w:type="dxa" w:w="3369"/>
            <w:vAlign w:val="center"/>
          </w:tcPr>
          <w:p>
            <w:r/>
            <w:r>
              <w:rPr>
                <w:b w:val="0"/>
                <w:sz w:val="16"/>
              </w:rPr>
              <w:t>30-day liquidity</w:t>
            </w:r>
          </w:p>
        </w:tc>
        <w:tc>
          <w:tcPr>
            <w:tcW w:type="dxa" w:w="3369"/>
            <w:vAlign w:val="center"/>
          </w:tcPr>
          <w:p>
            <w:r/>
            <w:r>
              <w:rPr>
                <w:b w:val="0"/>
                <w:sz w:val="16"/>
              </w:rPr>
              <w:t>Eligible assets under approved liquidity rules</w:t>
            </w:r>
          </w:p>
        </w:tc>
        <w:tc>
          <w:tcPr>
            <w:tcW w:type="dxa" w:w="3369"/>
            <w:vAlign w:val="center"/>
          </w:tcPr>
          <w:p>
            <w:r/>
            <w:r>
              <w:rPr>
                <w:b w:val="0"/>
                <w:sz w:val="16"/>
              </w:rPr>
              <w:t>Exclude restricted/illiquid assets</w:t>
            </w:r>
          </w:p>
        </w:tc>
      </w:tr>
      <w:tr>
        <w:trPr>
          <w:cantSplit/>
        </w:trPr>
        <w:tc>
          <w:tcPr>
            <w:tcW w:type="dxa" w:w="3369"/>
            <w:vAlign w:val="center"/>
          </w:tcPr>
          <w:p>
            <w:r/>
            <w:r>
              <w:rPr>
                <w:b w:val="0"/>
                <w:sz w:val="16"/>
              </w:rPr>
              <w:t>Duration</w:t>
            </w:r>
          </w:p>
        </w:tc>
        <w:tc>
          <w:tcPr>
            <w:tcW w:type="dxa" w:w="3369"/>
            <w:vAlign w:val="center"/>
          </w:tcPr>
          <w:p>
            <w:r/>
            <w:r>
              <w:rPr>
                <w:b w:val="0"/>
                <w:sz w:val="16"/>
              </w:rPr>
              <w:t>Approved portfolio modified-duration measure</w:t>
            </w:r>
          </w:p>
        </w:tc>
        <w:tc>
          <w:tcPr>
            <w:tcW w:type="dxa" w:w="3369"/>
            <w:vAlign w:val="center"/>
          </w:tcPr>
          <w:p>
            <w:r/>
            <w:r>
              <w:rPr>
                <w:b w:val="0"/>
                <w:sz w:val="16"/>
              </w:rPr>
              <w:t>Independent Risk validation</w:t>
            </w:r>
          </w:p>
        </w:tc>
      </w:tr>
      <w:tr>
        <w:trPr>
          <w:cantSplit/>
        </w:trPr>
        <w:tc>
          <w:tcPr>
            <w:tcW w:type="dxa" w:w="3369"/>
            <w:vAlign w:val="center"/>
          </w:tcPr>
          <w:p>
            <w:r/>
            <w:r>
              <w:rPr>
                <w:b w:val="0"/>
                <w:sz w:val="16"/>
              </w:rPr>
              <w:t>Exception ID</w:t>
            </w:r>
          </w:p>
        </w:tc>
        <w:tc>
          <w:tcPr>
            <w:tcW w:type="dxa" w:w="3369"/>
            <w:vAlign w:val="center"/>
          </w:tcPr>
          <w:p>
            <w:r/>
            <w:r>
              <w:rPr>
                <w:b w:val="0"/>
                <w:sz w:val="16"/>
              </w:rPr>
              <w:t>Applicable unexpired exception</w:t>
            </w:r>
          </w:p>
        </w:tc>
        <w:tc>
          <w:tcPr>
            <w:tcW w:type="dxa" w:w="3369"/>
            <w:vAlign w:val="center"/>
          </w:tcPr>
          <w:p>
            <w:r/>
            <w:r>
              <w:rPr>
                <w:b w:val="0"/>
                <w:sz w:val="16"/>
              </w:rPr>
              <w:t>Expiry automatically flagged</w:t>
            </w:r>
          </w:p>
        </w:tc>
      </w:tr>
    </w:tbl>
    <w:p/>
    <w:p>
      <w:r>
        <w:br w:type="page"/>
      </w:r>
    </w:p>
    <w:p>
      <w:pPr>
        <w:pStyle w:val="Heading1"/>
      </w:pPr>
      <w:r>
        <w:t>Appendix D — Breach Workflow</w:t>
      </w:r>
    </w:p>
    <w:p>
      <w:pPr>
        <w:spacing w:after="100"/>
      </w:pPr>
      <w:r>
        <w:t>The workflow below applies to policy and delegated-authority breaches detected through investment monitoring.</w:t>
      </w:r>
    </w:p>
    <w:p>
      <w:pPr>
        <w:pStyle w:val="Heading2"/>
      </w:pPr>
      <w:r>
        <w:t>D.1 Detect and freeze</w:t>
      </w:r>
    </w:p>
    <w:p>
      <w:pPr>
        <w:spacing w:after="100"/>
      </w:pPr>
      <w:r>
        <w:t>Confirm the data, stop further risk-increasing activity where appropriate, and notify the portfolio owner. Do not wait for a full written breach pack before preventing further increase.</w:t>
      </w:r>
    </w:p>
    <w:p>
      <w:pPr>
        <w:pStyle w:val="Heading2"/>
      </w:pPr>
      <w:r>
        <w:t>D.2 Classify</w:t>
      </w:r>
    </w:p>
    <w:p>
      <w:pPr>
        <w:spacing w:after="100"/>
      </w:pPr>
      <w:r>
        <w:t>Determine whether the event is passive, active, control-related or mixed. Identify the exact rule and version in force.</w:t>
      </w:r>
    </w:p>
    <w:p>
      <w:pPr>
        <w:pStyle w:val="Heading2"/>
      </w:pPr>
      <w:r>
        <w:t>D.3 Measure</w:t>
      </w:r>
    </w:p>
    <w:p>
      <w:pPr>
        <w:spacing w:after="100"/>
      </w:pPr>
      <w:r>
        <w:t>Recalculate the exposure using validated positions and quantify current excess, peak excess, duration and potential loss/liquidity impact.</w:t>
      </w:r>
    </w:p>
    <w:p>
      <w:pPr>
        <w:pStyle w:val="Heading2"/>
      </w:pPr>
      <w:r>
        <w:t>D.4 Escalate</w:t>
      </w:r>
    </w:p>
    <w:p>
      <w:pPr>
        <w:spacing w:after="100"/>
      </w:pPr>
      <w:r>
        <w:t>Notify the authority required by INV-010, IDS-042, RMF-008 and CBP-043. If severity is uncertain but material impact is plausible, use the higher escalation route.</w:t>
      </w:r>
    </w:p>
    <w:p>
      <w:pPr>
        <w:pStyle w:val="Heading2"/>
      </w:pPr>
      <w:r>
        <w:t>D.5 Remediate</w:t>
      </w:r>
    </w:p>
    <w:p>
      <w:pPr>
        <w:spacing w:after="100"/>
      </w:pPr>
      <w:r>
        <w:t>Document hold, sale, maturity, hedge, limit reduction or other approved plan, with interim controls and target date.</w:t>
      </w:r>
    </w:p>
    <w:p>
      <w:pPr>
        <w:pStyle w:val="Heading2"/>
      </w:pPr>
      <w:r>
        <w:t>D.6 Close</w:t>
      </w:r>
    </w:p>
    <w:p>
      <w:pPr>
        <w:spacing w:after="100"/>
      </w:pPr>
      <w:r>
        <w:t>Validate that exposure is back within the controlled position or that an authorized temporary accepted excess is in place. Preserve the breach history.</w:t>
      </w:r>
    </w:p>
    <w:p>
      <w:r>
        <w:br w:type="page"/>
      </w:r>
    </w:p>
    <w:p>
      <w:pPr>
        <w:pStyle w:val="Heading1"/>
      </w:pPr>
      <w:r>
        <w:t>Appendix E — Watchlist Review Pack</w:t>
      </w:r>
    </w:p>
    <w:p>
      <w:pPr>
        <w:spacing w:after="100"/>
      </w:pPr>
      <w:r>
        <w:t>Each W2–W4 issuer review should provide enough information for the committee to decide whether to hold, reduce, exit, restrict or change monitoring.</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Section</w:t>
            </w:r>
          </w:p>
        </w:tc>
        <w:tc>
          <w:tcPr>
            <w:tcW w:type="dxa" w:w="5054"/>
            <w:vAlign w:val="center"/>
            <w:shd w:fill="17365D"/>
          </w:tcPr>
          <w:p>
            <w:r/>
            <w:r>
              <w:rPr>
                <w:b/>
                <w:color w:val="FFFFFF"/>
                <w:sz w:val="16"/>
              </w:rPr>
              <w:t>Minimum Content</w:t>
            </w:r>
          </w:p>
        </w:tc>
      </w:tr>
      <w:tr>
        <w:trPr>
          <w:cantSplit/>
        </w:trPr>
        <w:tc>
          <w:tcPr>
            <w:tcW w:type="dxa" w:w="5054"/>
            <w:vAlign w:val="center"/>
          </w:tcPr>
          <w:p>
            <w:r/>
            <w:r>
              <w:rPr>
                <w:b w:val="0"/>
                <w:sz w:val="16"/>
              </w:rPr>
              <w:t>Current exposure</w:t>
            </w:r>
          </w:p>
        </w:tc>
        <w:tc>
          <w:tcPr>
            <w:tcW w:type="dxa" w:w="5054"/>
            <w:vAlign w:val="center"/>
          </w:tcPr>
          <w:p>
            <w:r/>
            <w:r>
              <w:rPr>
                <w:b w:val="0"/>
                <w:sz w:val="16"/>
              </w:rPr>
              <w:t>Market value, face value, maturity and concentration</w:t>
            </w:r>
          </w:p>
        </w:tc>
      </w:tr>
      <w:tr>
        <w:trPr>
          <w:cantSplit/>
        </w:trPr>
        <w:tc>
          <w:tcPr>
            <w:tcW w:type="dxa" w:w="5054"/>
            <w:vAlign w:val="center"/>
          </w:tcPr>
          <w:p>
            <w:r/>
            <w:r>
              <w:rPr>
                <w:b w:val="0"/>
                <w:sz w:val="16"/>
              </w:rPr>
              <w:t>Credit development</w:t>
            </w:r>
          </w:p>
        </w:tc>
        <w:tc>
          <w:tcPr>
            <w:tcW w:type="dxa" w:w="5054"/>
            <w:vAlign w:val="center"/>
          </w:tcPr>
          <w:p>
            <w:r/>
            <w:r>
              <w:rPr>
                <w:b w:val="0"/>
                <w:sz w:val="16"/>
              </w:rPr>
              <w:t>What changed since prior review</w:t>
            </w:r>
          </w:p>
        </w:tc>
      </w:tr>
      <w:tr>
        <w:trPr>
          <w:cantSplit/>
        </w:trPr>
        <w:tc>
          <w:tcPr>
            <w:tcW w:type="dxa" w:w="5054"/>
            <w:vAlign w:val="center"/>
          </w:tcPr>
          <w:p>
            <w:r/>
            <w:r>
              <w:rPr>
                <w:b w:val="0"/>
                <w:sz w:val="16"/>
              </w:rPr>
              <w:t>Market development</w:t>
            </w:r>
          </w:p>
        </w:tc>
        <w:tc>
          <w:tcPr>
            <w:tcW w:type="dxa" w:w="5054"/>
            <w:vAlign w:val="center"/>
          </w:tcPr>
          <w:p>
            <w:r/>
            <w:r>
              <w:rPr>
                <w:b w:val="0"/>
                <w:sz w:val="16"/>
              </w:rPr>
              <w:t>Price, spread, liquidity and trading observations</w:t>
            </w:r>
          </w:p>
        </w:tc>
      </w:tr>
      <w:tr>
        <w:trPr>
          <w:cantSplit/>
        </w:trPr>
        <w:tc>
          <w:tcPr>
            <w:tcW w:type="dxa" w:w="5054"/>
            <w:vAlign w:val="center"/>
          </w:tcPr>
          <w:p>
            <w:r/>
            <w:r>
              <w:rPr>
                <w:b w:val="0"/>
                <w:sz w:val="16"/>
              </w:rPr>
              <w:t>Cash-flow / maturity</w:t>
            </w:r>
          </w:p>
        </w:tc>
        <w:tc>
          <w:tcPr>
            <w:tcW w:type="dxa" w:w="5054"/>
            <w:vAlign w:val="center"/>
          </w:tcPr>
          <w:p>
            <w:r/>
            <w:r>
              <w:rPr>
                <w:b w:val="0"/>
                <w:sz w:val="16"/>
              </w:rPr>
              <w:t>Next material payment and refinancing events</w:t>
            </w:r>
          </w:p>
        </w:tc>
      </w:tr>
      <w:tr>
        <w:trPr>
          <w:cantSplit/>
        </w:trPr>
        <w:tc>
          <w:tcPr>
            <w:tcW w:type="dxa" w:w="5054"/>
            <w:vAlign w:val="center"/>
          </w:tcPr>
          <w:p>
            <w:r/>
            <w:r>
              <w:rPr>
                <w:b w:val="0"/>
                <w:sz w:val="16"/>
              </w:rPr>
              <w:t>Covenants / legal</w:t>
            </w:r>
          </w:p>
        </w:tc>
        <w:tc>
          <w:tcPr>
            <w:tcW w:type="dxa" w:w="5054"/>
            <w:vAlign w:val="center"/>
          </w:tcPr>
          <w:p>
            <w:r/>
            <w:r>
              <w:rPr>
                <w:b w:val="0"/>
                <w:sz w:val="16"/>
              </w:rPr>
              <w:t>Any breach, waiver or amendment</w:t>
            </w:r>
          </w:p>
        </w:tc>
      </w:tr>
      <w:tr>
        <w:trPr>
          <w:cantSplit/>
        </w:trPr>
        <w:tc>
          <w:tcPr>
            <w:tcW w:type="dxa" w:w="5054"/>
            <w:vAlign w:val="center"/>
          </w:tcPr>
          <w:p>
            <w:r/>
            <w:r>
              <w:rPr>
                <w:b w:val="0"/>
                <w:sz w:val="16"/>
              </w:rPr>
              <w:t>Scenario loss</w:t>
            </w:r>
          </w:p>
        </w:tc>
        <w:tc>
          <w:tcPr>
            <w:tcW w:type="dxa" w:w="5054"/>
            <w:vAlign w:val="center"/>
          </w:tcPr>
          <w:p>
            <w:r/>
            <w:r>
              <w:rPr>
                <w:b w:val="0"/>
                <w:sz w:val="16"/>
              </w:rPr>
              <w:t>Reasonable downside and severe stress</w:t>
            </w:r>
          </w:p>
        </w:tc>
      </w:tr>
      <w:tr>
        <w:trPr>
          <w:cantSplit/>
        </w:trPr>
        <w:tc>
          <w:tcPr>
            <w:tcW w:type="dxa" w:w="5054"/>
            <w:vAlign w:val="center"/>
          </w:tcPr>
          <w:p>
            <w:r/>
            <w:r>
              <w:rPr>
                <w:b w:val="0"/>
                <w:sz w:val="16"/>
              </w:rPr>
              <w:t>Recommendation</w:t>
            </w:r>
          </w:p>
        </w:tc>
        <w:tc>
          <w:tcPr>
            <w:tcW w:type="dxa" w:w="5054"/>
            <w:vAlign w:val="center"/>
          </w:tcPr>
          <w:p>
            <w:r/>
            <w:r>
              <w:rPr>
                <w:b w:val="0"/>
                <w:sz w:val="16"/>
              </w:rPr>
              <w:t>Hold/reduce/exit/restrict with rationale</w:t>
            </w:r>
          </w:p>
        </w:tc>
      </w:tr>
      <w:tr>
        <w:trPr>
          <w:cantSplit/>
        </w:trPr>
        <w:tc>
          <w:tcPr>
            <w:tcW w:type="dxa" w:w="5054"/>
            <w:vAlign w:val="center"/>
          </w:tcPr>
          <w:p>
            <w:r/>
            <w:r>
              <w:rPr>
                <w:b w:val="0"/>
                <w:sz w:val="16"/>
              </w:rPr>
              <w:t>Decision</w:t>
            </w:r>
          </w:p>
        </w:tc>
        <w:tc>
          <w:tcPr>
            <w:tcW w:type="dxa" w:w="5054"/>
            <w:vAlign w:val="center"/>
          </w:tcPr>
          <w:p>
            <w:r/>
            <w:r>
              <w:rPr>
                <w:b w:val="0"/>
                <w:sz w:val="16"/>
              </w:rPr>
              <w:t>Committee action, owner and next review date</w:t>
            </w:r>
          </w:p>
        </w:tc>
      </w:tr>
    </w:tbl>
    <w:p/>
    <w:p>
      <w:r>
        <w:br w:type="page"/>
      </w:r>
    </w:p>
    <w:p>
      <w:pPr>
        <w:pStyle w:val="Heading1"/>
      </w:pPr>
      <w:r>
        <w:t>Appendix F — Valuation Exception Case File</w:t>
      </w:r>
    </w:p>
    <w:p>
      <w:pPr>
        <w:spacing w:after="100"/>
      </w:pPr>
      <w:r>
        <w:t>A valuation exception shall make uncertainty visible rather than replace an uncertain price with an unsupported number.</w:t>
      </w:r>
    </w:p>
    <w:p>
      <w:pPr>
        <w:pStyle w:val="ListBullet"/>
      </w:pPr>
      <w:r>
        <w:t>Identify all price sources attempted and the timestamp of each source.</w:t>
      </w:r>
    </w:p>
    <w:p>
      <w:pPr>
        <w:pStyle w:val="ListBullet"/>
      </w:pPr>
      <w:r>
        <w:t>Explain why the preferred source is unavailable or unreliable.</w:t>
      </w:r>
    </w:p>
    <w:p>
      <w:pPr>
        <w:pStyle w:val="ListBullet"/>
      </w:pPr>
      <w:r>
        <w:t>Document any model input or proxy security used.</w:t>
      </w:r>
    </w:p>
    <w:p>
      <w:pPr>
        <w:pStyle w:val="ListBullet"/>
      </w:pPr>
      <w:r>
        <w:t>Quantify the difference between alternative reasonable values.</w:t>
      </w:r>
    </w:p>
    <w:p>
      <w:pPr>
        <w:pStyle w:val="ListBullet"/>
      </w:pPr>
      <w:r>
        <w:t>Assess impact on limit utilization, P&amp;L, liquidity and financial reporting.</w:t>
      </w:r>
    </w:p>
    <w:p>
      <w:pPr>
        <w:pStyle w:val="ListBullet"/>
      </w:pPr>
      <w:r>
        <w:t>Obtain independent review where required and retain the decision trail.</w:t>
      </w:r>
    </w:p>
    <w:p>
      <w:r>
        <w:br w:type="page"/>
      </w:r>
    </w:p>
    <w:p>
      <w:pPr>
        <w:pStyle w:val="Heading1"/>
      </w:pPr>
      <w:r>
        <w:t>Appendix G — Monthly Investment Risk Pack Data Dictionary</w:t>
      </w:r>
    </w:p>
    <w:p>
      <w:pPr>
        <w:spacing w:after="100"/>
      </w:pPr>
      <w:r>
        <w:t>Consistent definitions reduce false trend signals caused by changing calculations.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Metric</w:t>
            </w:r>
          </w:p>
        </w:tc>
        <w:tc>
          <w:tcPr>
            <w:tcW w:type="dxa" w:w="5054"/>
            <w:vAlign w:val="center"/>
            <w:shd w:fill="17365D"/>
          </w:tcPr>
          <w:p>
            <w:r/>
            <w:r>
              <w:rPr>
                <w:b/>
                <w:color w:val="FFFFFF"/>
                <w:sz w:val="16"/>
              </w:rPr>
              <w:t>Definition</w:t>
            </w:r>
          </w:p>
        </w:tc>
      </w:tr>
      <w:tr>
        <w:trPr>
          <w:cantSplit/>
        </w:trPr>
        <w:tc>
          <w:tcPr>
            <w:tcW w:type="dxa" w:w="5054"/>
            <w:vAlign w:val="center"/>
          </w:tcPr>
          <w:p>
            <w:r/>
            <w:r>
              <w:rPr>
                <w:b w:val="0"/>
                <w:sz w:val="16"/>
              </w:rPr>
              <w:t>Issuer concentration</w:t>
            </w:r>
          </w:p>
        </w:tc>
        <w:tc>
          <w:tcPr>
            <w:tcW w:type="dxa" w:w="5054"/>
            <w:vAlign w:val="center"/>
          </w:tcPr>
          <w:p>
            <w:r/>
            <w:r>
              <w:rPr>
                <w:b w:val="0"/>
                <w:sz w:val="16"/>
              </w:rPr>
              <w:t>Current market value exposure to issuer / approved portfolio denominator</w:t>
            </w:r>
          </w:p>
        </w:tc>
      </w:tr>
      <w:tr>
        <w:trPr>
          <w:cantSplit/>
        </w:trPr>
        <w:tc>
          <w:tcPr>
            <w:tcW w:type="dxa" w:w="5054"/>
            <w:vAlign w:val="center"/>
          </w:tcPr>
          <w:p>
            <w:r/>
            <w:r>
              <w:rPr>
                <w:b w:val="0"/>
                <w:sz w:val="16"/>
              </w:rPr>
              <w:t>Group concentration</w:t>
            </w:r>
          </w:p>
        </w:tc>
        <w:tc>
          <w:tcPr>
            <w:tcW w:type="dxa" w:w="5054"/>
            <w:vAlign w:val="center"/>
          </w:tcPr>
          <w:p>
            <w:r/>
            <w:r>
              <w:rPr>
                <w:b w:val="0"/>
                <w:sz w:val="16"/>
              </w:rPr>
              <w:t>Sum of controlled connected issuers / denominator</w:t>
            </w:r>
          </w:p>
        </w:tc>
      </w:tr>
      <w:tr>
        <w:trPr>
          <w:cantSplit/>
        </w:trPr>
        <w:tc>
          <w:tcPr>
            <w:tcW w:type="dxa" w:w="5054"/>
            <w:vAlign w:val="center"/>
          </w:tcPr>
          <w:p>
            <w:r/>
            <w:r>
              <w:rPr>
                <w:b w:val="0"/>
                <w:sz w:val="16"/>
              </w:rPr>
              <w:t>IG3 concentration</w:t>
            </w:r>
          </w:p>
        </w:tc>
        <w:tc>
          <w:tcPr>
            <w:tcW w:type="dxa" w:w="5054"/>
            <w:vAlign w:val="center"/>
          </w:tcPr>
          <w:p>
            <w:r/>
            <w:r>
              <w:rPr>
                <w:b w:val="0"/>
                <w:sz w:val="16"/>
              </w:rPr>
              <w:t>Aggregate IG3 non-government exposure / denominator</w:t>
            </w:r>
          </w:p>
        </w:tc>
      </w:tr>
      <w:tr>
        <w:trPr>
          <w:cantSplit/>
        </w:trPr>
        <w:tc>
          <w:tcPr>
            <w:tcW w:type="dxa" w:w="5054"/>
            <w:vAlign w:val="center"/>
          </w:tcPr>
          <w:p>
            <w:r/>
            <w:r>
              <w:rPr>
                <w:b w:val="0"/>
                <w:sz w:val="16"/>
              </w:rPr>
              <w:t>30-day liquidity</w:t>
            </w:r>
          </w:p>
        </w:tc>
        <w:tc>
          <w:tcPr>
            <w:tcW w:type="dxa" w:w="5054"/>
            <w:vAlign w:val="center"/>
          </w:tcPr>
          <w:p>
            <w:r/>
            <w:r>
              <w:rPr>
                <w:b w:val="0"/>
                <w:sz w:val="16"/>
              </w:rPr>
              <w:t>Approved qualifying assets monetizable/maturing within 30 days / denominator</w:t>
            </w:r>
          </w:p>
        </w:tc>
      </w:tr>
      <w:tr>
        <w:trPr>
          <w:cantSplit/>
        </w:trPr>
        <w:tc>
          <w:tcPr>
            <w:tcW w:type="dxa" w:w="5054"/>
            <w:vAlign w:val="center"/>
          </w:tcPr>
          <w:p>
            <w:r/>
            <w:r>
              <w:rPr>
                <w:b w:val="0"/>
                <w:sz w:val="16"/>
              </w:rPr>
              <w:t>Duration</w:t>
            </w:r>
          </w:p>
        </w:tc>
        <w:tc>
          <w:tcPr>
            <w:tcW w:type="dxa" w:w="5054"/>
            <w:vAlign w:val="center"/>
          </w:tcPr>
          <w:p>
            <w:r/>
            <w:r>
              <w:rPr>
                <w:b w:val="0"/>
                <w:sz w:val="16"/>
              </w:rPr>
              <w:t>Portfolio modified duration using approved risk engine</w:t>
            </w:r>
          </w:p>
        </w:tc>
      </w:tr>
      <w:tr>
        <w:trPr>
          <w:cantSplit/>
        </w:trPr>
        <w:tc>
          <w:tcPr>
            <w:tcW w:type="dxa" w:w="5054"/>
            <w:vAlign w:val="center"/>
          </w:tcPr>
          <w:p>
            <w:r/>
            <w:r>
              <w:rPr>
                <w:b w:val="0"/>
                <w:sz w:val="16"/>
              </w:rPr>
              <w:t>Watchlist exposure</w:t>
            </w:r>
          </w:p>
        </w:tc>
        <w:tc>
          <w:tcPr>
            <w:tcW w:type="dxa" w:w="5054"/>
            <w:vAlign w:val="center"/>
          </w:tcPr>
          <w:p>
            <w:r/>
            <w:r>
              <w:rPr>
                <w:b w:val="0"/>
                <w:sz w:val="16"/>
              </w:rPr>
              <w:t>Market value of W1–W4 holdings by status</w:t>
            </w:r>
          </w:p>
        </w:tc>
      </w:tr>
      <w:tr>
        <w:trPr>
          <w:cantSplit/>
        </w:trPr>
        <w:tc>
          <w:tcPr>
            <w:tcW w:type="dxa" w:w="5054"/>
            <w:vAlign w:val="center"/>
          </w:tcPr>
          <w:p>
            <w:r/>
            <w:r>
              <w:rPr>
                <w:b w:val="0"/>
                <w:sz w:val="16"/>
              </w:rPr>
              <w:t>Exception utilization</w:t>
            </w:r>
          </w:p>
        </w:tc>
        <w:tc>
          <w:tcPr>
            <w:tcW w:type="dxa" w:w="5054"/>
            <w:vAlign w:val="center"/>
          </w:tcPr>
          <w:p>
            <w:r/>
            <w:r>
              <w:rPr>
                <w:b w:val="0"/>
                <w:sz w:val="16"/>
              </w:rPr>
              <w:t>Exposure covered by active exceptions and remaining headroom</w:t>
            </w:r>
          </w:p>
        </w:tc>
      </w:tr>
      <w:tr>
        <w:trPr>
          <w:cantSplit/>
        </w:trPr>
        <w:tc>
          <w:tcPr>
            <w:tcW w:type="dxa" w:w="5054"/>
            <w:vAlign w:val="center"/>
          </w:tcPr>
          <w:p>
            <w:r/>
            <w:r>
              <w:rPr>
                <w:b w:val="0"/>
                <w:sz w:val="16"/>
              </w:rPr>
              <w:t>Breach ageing</w:t>
            </w:r>
          </w:p>
        </w:tc>
        <w:tc>
          <w:tcPr>
            <w:tcW w:type="dxa" w:w="5054"/>
            <w:vAlign w:val="center"/>
          </w:tcPr>
          <w:p>
            <w:r/>
            <w:r>
              <w:rPr>
                <w:b w:val="0"/>
                <w:sz w:val="16"/>
              </w:rPr>
              <w:t>Days from detection to controlled closure or accepted-excess approval</w:t>
            </w:r>
          </w:p>
        </w:tc>
      </w:tr>
    </w:tbl>
    <w:p/>
    <w:p>
      <w:r>
        <w:br w:type="page"/>
      </w:r>
    </w:p>
    <w:p>
      <w:pPr>
        <w:pStyle w:val="Heading1"/>
      </w:pPr>
      <w:r>
        <w:t>Appendix H — Quality Assurance Checklist</w:t>
      </w:r>
    </w:p>
    <w:p>
      <w:pPr>
        <w:spacing w:after="100"/>
      </w:pPr>
      <w:r>
        <w:t>Investment Risk management shall periodically review monitoring quality, not only portfolio results.</w:t>
      </w:r>
    </w:p>
    <w:tbl>
      <w:tblPr>
        <w:tblStyle w:val="TableGrid"/>
        <w:tblW w:type="auto" w:w="0"/>
        <w:jc w:val="center"/>
        <w:tblLook w:firstColumn="1" w:firstRow="1" w:lastColumn="0" w:lastRow="0" w:noHBand="0" w:noVBand="1" w:val="04A0"/>
      </w:tblPr>
      <w:tblGrid>
        <w:gridCol w:w="5054"/>
        <w:gridCol w:w="5054"/>
      </w:tblGrid>
      <w:tr>
        <w:trPr>
          <w:tblHeader w:val="true"/>
          <w:cantSplit/>
        </w:trPr>
        <w:tc>
          <w:tcPr>
            <w:tcW w:type="dxa" w:w="5054"/>
            <w:vAlign w:val="center"/>
            <w:shd w:fill="17365D"/>
          </w:tcPr>
          <w:p>
            <w:r/>
            <w:r>
              <w:rPr>
                <w:b/>
                <w:color w:val="FFFFFF"/>
                <w:sz w:val="16"/>
              </w:rPr>
              <w:t>QA Area</w:t>
            </w:r>
          </w:p>
        </w:tc>
        <w:tc>
          <w:tcPr>
            <w:tcW w:type="dxa" w:w="5054"/>
            <w:vAlign w:val="center"/>
            <w:shd w:fill="17365D"/>
          </w:tcPr>
          <w:p>
            <w:r/>
            <w:r>
              <w:rPr>
                <w:b/>
                <w:color w:val="FFFFFF"/>
                <w:sz w:val="16"/>
              </w:rPr>
              <w:t>Question</w:t>
            </w:r>
          </w:p>
        </w:tc>
      </w:tr>
      <w:tr>
        <w:trPr>
          <w:cantSplit/>
        </w:trPr>
        <w:tc>
          <w:tcPr>
            <w:tcW w:type="dxa" w:w="5054"/>
            <w:vAlign w:val="center"/>
          </w:tcPr>
          <w:p>
            <w:r/>
            <w:r>
              <w:rPr>
                <w:b w:val="0"/>
                <w:sz w:val="16"/>
              </w:rPr>
              <w:t>Completeness</w:t>
            </w:r>
          </w:p>
        </w:tc>
        <w:tc>
          <w:tcPr>
            <w:tcW w:type="dxa" w:w="5054"/>
            <w:vAlign w:val="center"/>
          </w:tcPr>
          <w:p>
            <w:r/>
            <w:r>
              <w:rPr>
                <w:b w:val="0"/>
                <w:sz w:val="16"/>
              </w:rPr>
              <w:t>Are all positions, trades and unsettled exposures included?</w:t>
            </w:r>
          </w:p>
        </w:tc>
      </w:tr>
      <w:tr>
        <w:trPr>
          <w:cantSplit/>
        </w:trPr>
        <w:tc>
          <w:tcPr>
            <w:tcW w:type="dxa" w:w="5054"/>
            <w:vAlign w:val="center"/>
          </w:tcPr>
          <w:p>
            <w:r/>
            <w:r>
              <w:rPr>
                <w:b w:val="0"/>
                <w:sz w:val="16"/>
              </w:rPr>
              <w:t>Accuracy</w:t>
            </w:r>
          </w:p>
        </w:tc>
        <w:tc>
          <w:tcPr>
            <w:tcW w:type="dxa" w:w="5054"/>
            <w:vAlign w:val="center"/>
          </w:tcPr>
          <w:p>
            <w:r/>
            <w:r>
              <w:rPr>
                <w:b w:val="0"/>
                <w:sz w:val="16"/>
              </w:rPr>
              <w:t>Do sampled calculations agree to independent recomputation?</w:t>
            </w:r>
          </w:p>
        </w:tc>
      </w:tr>
      <w:tr>
        <w:trPr>
          <w:cantSplit/>
        </w:trPr>
        <w:tc>
          <w:tcPr>
            <w:tcW w:type="dxa" w:w="5054"/>
            <w:vAlign w:val="center"/>
          </w:tcPr>
          <w:p>
            <w:r/>
            <w:r>
              <w:rPr>
                <w:b w:val="0"/>
                <w:sz w:val="16"/>
              </w:rPr>
              <w:t>Mappings</w:t>
            </w:r>
          </w:p>
        </w:tc>
        <w:tc>
          <w:tcPr>
            <w:tcW w:type="dxa" w:w="5054"/>
            <w:vAlign w:val="center"/>
          </w:tcPr>
          <w:p>
            <w:r/>
            <w:r>
              <w:rPr>
                <w:b w:val="0"/>
                <w:sz w:val="16"/>
              </w:rPr>
              <w:t>Are issuer/group/sector classifications current and evidenced?</w:t>
            </w:r>
          </w:p>
        </w:tc>
      </w:tr>
      <w:tr>
        <w:trPr>
          <w:cantSplit/>
        </w:trPr>
        <w:tc>
          <w:tcPr>
            <w:tcW w:type="dxa" w:w="5054"/>
            <w:vAlign w:val="center"/>
          </w:tcPr>
          <w:p>
            <w:r/>
            <w:r>
              <w:rPr>
                <w:b w:val="0"/>
                <w:sz w:val="16"/>
              </w:rPr>
              <w:t>Exceptions</w:t>
            </w:r>
          </w:p>
        </w:tc>
        <w:tc>
          <w:tcPr>
            <w:tcW w:type="dxa" w:w="5054"/>
            <w:vAlign w:val="center"/>
          </w:tcPr>
          <w:p>
            <w:r/>
            <w:r>
              <w:rPr>
                <w:b w:val="0"/>
                <w:sz w:val="16"/>
              </w:rPr>
              <w:t>Are expired approvals excluded promptly?</w:t>
            </w:r>
          </w:p>
        </w:tc>
      </w:tr>
      <w:tr>
        <w:trPr>
          <w:cantSplit/>
        </w:trPr>
        <w:tc>
          <w:tcPr>
            <w:tcW w:type="dxa" w:w="5054"/>
            <w:vAlign w:val="center"/>
          </w:tcPr>
          <w:p>
            <w:r/>
            <w:r>
              <w:rPr>
                <w:b w:val="0"/>
                <w:sz w:val="16"/>
              </w:rPr>
              <w:t>Breach timing</w:t>
            </w:r>
          </w:p>
        </w:tc>
        <w:tc>
          <w:tcPr>
            <w:tcW w:type="dxa" w:w="5054"/>
            <w:vAlign w:val="center"/>
          </w:tcPr>
          <w:p>
            <w:r/>
            <w:r>
              <w:rPr>
                <w:b w:val="0"/>
                <w:sz w:val="16"/>
              </w:rPr>
              <w:t>Were required notifications and records created on time?</w:t>
            </w:r>
          </w:p>
        </w:tc>
      </w:tr>
      <w:tr>
        <w:trPr>
          <w:cantSplit/>
        </w:trPr>
        <w:tc>
          <w:tcPr>
            <w:tcW w:type="dxa" w:w="5054"/>
            <w:vAlign w:val="center"/>
          </w:tcPr>
          <w:p>
            <w:r/>
            <w:r>
              <w:rPr>
                <w:b w:val="0"/>
                <w:sz w:val="16"/>
              </w:rPr>
              <w:t>Watchlist</w:t>
            </w:r>
          </w:p>
        </w:tc>
        <w:tc>
          <w:tcPr>
            <w:tcW w:type="dxa" w:w="5054"/>
            <w:vAlign w:val="center"/>
          </w:tcPr>
          <w:p>
            <w:r/>
            <w:r>
              <w:rPr>
                <w:b w:val="0"/>
                <w:sz w:val="16"/>
              </w:rPr>
              <w:t>Are review dates current and restrictions actually enforced?</w:t>
            </w:r>
          </w:p>
        </w:tc>
      </w:tr>
      <w:tr>
        <w:trPr>
          <w:cantSplit/>
        </w:trPr>
        <w:tc>
          <w:tcPr>
            <w:tcW w:type="dxa" w:w="5054"/>
            <w:vAlign w:val="center"/>
          </w:tcPr>
          <w:p>
            <w:r/>
            <w:r>
              <w:rPr>
                <w:b w:val="0"/>
                <w:sz w:val="16"/>
              </w:rPr>
              <w:t>Valuation</w:t>
            </w:r>
          </w:p>
        </w:tc>
        <w:tc>
          <w:tcPr>
            <w:tcW w:type="dxa" w:w="5054"/>
            <w:vAlign w:val="center"/>
          </w:tcPr>
          <w:p>
            <w:r/>
            <w:r>
              <w:rPr>
                <w:b w:val="0"/>
                <w:sz w:val="16"/>
              </w:rPr>
              <w:t>Were material price exceptions independently challenged?</w:t>
            </w:r>
          </w:p>
        </w:tc>
      </w:tr>
      <w:tr>
        <w:trPr>
          <w:cantSplit/>
        </w:trPr>
        <w:tc>
          <w:tcPr>
            <w:tcW w:type="dxa" w:w="5054"/>
            <w:vAlign w:val="center"/>
          </w:tcPr>
          <w:p>
            <w:r/>
            <w:r>
              <w:rPr>
                <w:b w:val="0"/>
                <w:sz w:val="16"/>
              </w:rPr>
              <w:t>Reporting</w:t>
            </w:r>
          </w:p>
        </w:tc>
        <w:tc>
          <w:tcPr>
            <w:tcW w:type="dxa" w:w="5054"/>
            <w:vAlign w:val="center"/>
          </w:tcPr>
          <w:p>
            <w:r/>
            <w:r>
              <w:rPr>
                <w:b w:val="0"/>
                <w:sz w:val="16"/>
              </w:rPr>
              <w:t>Do committee packs prioritize significant decisions and unresolved risk?</w:t>
            </w:r>
          </w:p>
        </w:tc>
      </w:tr>
    </w:tbl>
    <w:p/>
    <w:sectPr w:rsidR="00FC693F" w:rsidRPr="0006063C" w:rsidSect="00034616">
      <w:headerReference w:type="default" r:id="rId9"/>
      <w:footerReference w:type="default" r:id="rId10"/>
      <w:pgSz w:w="12240" w:h="15840"/>
      <w:pgMar w:top="1037" w:right="1066" w:bottom="979" w:left="106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3"/>
      </w:rPr>
      <w:t>Northstar Financial — Synthetic Internal Document. This document is fictional and created solely for educational and software-development purposes. It does not represent an actual financial institution, regulatory requirement, legal obligation, or financial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NORTHSTAR FINANCIAL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5F9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