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Investment Policy</w:t>
      </w:r>
    </w:p>
    <w:p>
      <w:pPr>
        <w:jc w:val="center"/>
      </w:pPr>
      <w:r>
        <w:rPr>
          <w:sz w:val="20"/>
        </w:rPr>
        <w:t>INV-010  |  Version 2.0  |  Internal — Confidential</w:t>
      </w:r>
    </w:p>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D9EAF7"/>
          </w:tcPr>
          <w:p>
            <w:r>
              <w:rPr>
                <w:sz w:val="16"/>
              </w:rPr>
            </w:r>
            <w:r>
              <w:rPr>
                <w:b/>
                <w:color w:val="17365D"/>
                <w:sz w:val="17"/>
              </w:rPr>
              <w:t>Document ID</w:t>
            </w:r>
          </w:p>
        </w:tc>
        <w:tc>
          <w:tcPr>
            <w:tcW w:type="dxa" w:w="5155"/>
            <w:vAlign w:val="center"/>
          </w:tcPr>
          <w:p>
            <w:r>
              <w:rPr>
                <w:sz w:val="16"/>
              </w:rPr>
            </w:r>
            <w:r>
              <w:rPr>
                <w:b w:val="0"/>
                <w:sz w:val="17"/>
              </w:rPr>
              <w:t>INV-010</w:t>
            </w:r>
          </w:p>
        </w:tc>
      </w:tr>
      <w:tr>
        <w:trPr>
          <w:cantSplit/>
        </w:trPr>
        <w:tc>
          <w:tcPr>
            <w:tcW w:type="dxa" w:w="5155"/>
            <w:vAlign w:val="center"/>
            <w:shd w:fill="D9EAF7"/>
          </w:tcPr>
          <w:p>
            <w:r>
              <w:rPr>
                <w:sz w:val="16"/>
              </w:rPr>
            </w:r>
            <w:r>
              <w:rPr>
                <w:b/>
                <w:color w:val="17365D"/>
                <w:sz w:val="17"/>
              </w:rPr>
              <w:t>Document Title</w:t>
            </w:r>
          </w:p>
        </w:tc>
        <w:tc>
          <w:tcPr>
            <w:tcW w:type="dxa" w:w="5155"/>
            <w:vAlign w:val="center"/>
          </w:tcPr>
          <w:p>
            <w:r>
              <w:rPr>
                <w:sz w:val="16"/>
              </w:rPr>
            </w:r>
            <w:r>
              <w:rPr>
                <w:b w:val="0"/>
                <w:sz w:val="17"/>
              </w:rPr>
              <w:t>Investment Policy</w:t>
            </w:r>
          </w:p>
        </w:tc>
      </w:tr>
      <w:tr>
        <w:trPr>
          <w:cantSplit/>
        </w:trPr>
        <w:tc>
          <w:tcPr>
            <w:tcW w:type="dxa" w:w="5155"/>
            <w:vAlign w:val="center"/>
            <w:shd w:fill="D9EAF7"/>
          </w:tcPr>
          <w:p>
            <w:r>
              <w:rPr>
                <w:sz w:val="16"/>
              </w:rPr>
            </w:r>
            <w:r>
              <w:rPr>
                <w:b/>
                <w:color w:val="17365D"/>
                <w:sz w:val="17"/>
              </w:rPr>
              <w:t>Version</w:t>
            </w:r>
          </w:p>
        </w:tc>
        <w:tc>
          <w:tcPr>
            <w:tcW w:type="dxa" w:w="5155"/>
            <w:vAlign w:val="center"/>
          </w:tcPr>
          <w:p>
            <w:r>
              <w:rPr>
                <w:sz w:val="16"/>
              </w:rPr>
            </w:r>
            <w:r>
              <w:rPr>
                <w:b w:val="0"/>
                <w:sz w:val="17"/>
              </w:rPr>
              <w:t>2.0</w:t>
            </w:r>
          </w:p>
        </w:tc>
      </w:tr>
      <w:tr>
        <w:trPr>
          <w:cantSplit/>
        </w:trPr>
        <w:tc>
          <w:tcPr>
            <w:tcW w:type="dxa" w:w="5155"/>
            <w:vAlign w:val="center"/>
            <w:shd w:fill="D9EAF7"/>
          </w:tcPr>
          <w:p>
            <w:r>
              <w:rPr>
                <w:sz w:val="16"/>
              </w:rPr>
            </w:r>
            <w:r>
              <w:rPr>
                <w:b/>
                <w:color w:val="17365D"/>
                <w:sz w:val="17"/>
              </w:rPr>
              <w:t>Policy Owner</w:t>
            </w:r>
          </w:p>
        </w:tc>
        <w:tc>
          <w:tcPr>
            <w:tcW w:type="dxa" w:w="5155"/>
            <w:vAlign w:val="center"/>
          </w:tcPr>
          <w:p>
            <w:r>
              <w:rPr>
                <w:sz w:val="16"/>
              </w:rPr>
            </w:r>
            <w:r>
              <w:rPr>
                <w:b w:val="0"/>
                <w:sz w:val="17"/>
              </w:rPr>
              <w:t>Priya Nair — Head of Investment Management</w:t>
            </w:r>
          </w:p>
        </w:tc>
      </w:tr>
      <w:tr>
        <w:trPr>
          <w:cantSplit/>
        </w:trPr>
        <w:tc>
          <w:tcPr>
            <w:tcW w:type="dxa" w:w="5155"/>
            <w:vAlign w:val="center"/>
            <w:shd w:fill="D9EAF7"/>
          </w:tcPr>
          <w:p>
            <w:r>
              <w:rPr>
                <w:sz w:val="16"/>
              </w:rPr>
            </w:r>
            <w:r>
              <w:rPr>
                <w:b/>
                <w:color w:val="17365D"/>
                <w:sz w:val="17"/>
              </w:rPr>
              <w:t>Business Unit</w:t>
            </w:r>
          </w:p>
        </w:tc>
        <w:tc>
          <w:tcPr>
            <w:tcW w:type="dxa" w:w="5155"/>
            <w:vAlign w:val="center"/>
          </w:tcPr>
          <w:p>
            <w:r>
              <w:rPr>
                <w:sz w:val="16"/>
              </w:rPr>
            </w:r>
            <w:r>
              <w:rPr>
                <w:b w:val="0"/>
                <w:sz w:val="17"/>
              </w:rPr>
              <w:t>Investment Management / Treasury</w:t>
            </w:r>
          </w:p>
        </w:tc>
      </w:tr>
      <w:tr>
        <w:trPr>
          <w:cantSplit/>
        </w:trPr>
        <w:tc>
          <w:tcPr>
            <w:tcW w:type="dxa" w:w="5155"/>
            <w:vAlign w:val="center"/>
            <w:shd w:fill="D9EAF7"/>
          </w:tcPr>
          <w:p>
            <w:r>
              <w:rPr>
                <w:sz w:val="16"/>
              </w:rPr>
            </w:r>
            <w:r>
              <w:rPr>
                <w:b/>
                <w:color w:val="17365D"/>
                <w:sz w:val="17"/>
              </w:rPr>
              <w:t>Approving Authority</w:t>
            </w:r>
          </w:p>
        </w:tc>
        <w:tc>
          <w:tcPr>
            <w:tcW w:type="dxa" w:w="5155"/>
            <w:vAlign w:val="center"/>
          </w:tcPr>
          <w:p>
            <w:r>
              <w:rPr>
                <w:sz w:val="16"/>
              </w:rPr>
            </w:r>
            <w:r>
              <w:rPr>
                <w:b w:val="0"/>
                <w:sz w:val="17"/>
              </w:rPr>
              <w:t>Board Risk Committee</w:t>
            </w:r>
          </w:p>
        </w:tc>
      </w:tr>
      <w:tr>
        <w:trPr>
          <w:cantSplit/>
        </w:trPr>
        <w:tc>
          <w:tcPr>
            <w:tcW w:type="dxa" w:w="5155"/>
            <w:vAlign w:val="center"/>
            <w:shd w:fill="D9EAF7"/>
          </w:tcPr>
          <w:p>
            <w:r>
              <w:rPr>
                <w:sz w:val="16"/>
              </w:rPr>
            </w:r>
            <w:r>
              <w:rPr>
                <w:b/>
                <w:color w:val="17365D"/>
                <w:sz w:val="17"/>
              </w:rPr>
              <w:t>Effective Date</w:t>
            </w:r>
          </w:p>
        </w:tc>
        <w:tc>
          <w:tcPr>
            <w:tcW w:type="dxa" w:w="5155"/>
            <w:vAlign w:val="center"/>
          </w:tcPr>
          <w:p>
            <w:r>
              <w:rPr>
                <w:sz w:val="16"/>
              </w:rPr>
            </w:r>
            <w:r>
              <w:rPr>
                <w:b w:val="0"/>
                <w:sz w:val="17"/>
              </w:rPr>
              <w:t>1 January 2026</w:t>
            </w:r>
          </w:p>
        </w:tc>
      </w:tr>
      <w:tr>
        <w:trPr>
          <w:cantSplit/>
        </w:trPr>
        <w:tc>
          <w:tcPr>
            <w:tcW w:type="dxa" w:w="5155"/>
            <w:vAlign w:val="center"/>
            <w:shd w:fill="D9EAF7"/>
          </w:tcPr>
          <w:p>
            <w:r>
              <w:rPr>
                <w:sz w:val="16"/>
              </w:rPr>
            </w:r>
            <w:r>
              <w:rPr>
                <w:b/>
                <w:color w:val="17365D"/>
                <w:sz w:val="17"/>
              </w:rPr>
              <w:t>Previous Version</w:t>
            </w:r>
          </w:p>
        </w:tc>
        <w:tc>
          <w:tcPr>
            <w:tcW w:type="dxa" w:w="5155"/>
            <w:vAlign w:val="center"/>
          </w:tcPr>
          <w:p>
            <w:r>
              <w:rPr>
                <w:sz w:val="16"/>
              </w:rPr>
            </w:r>
            <w:r>
              <w:rPr>
                <w:b w:val="0"/>
                <w:sz w:val="17"/>
              </w:rPr>
              <w:t>1.6</w:t>
            </w:r>
          </w:p>
        </w:tc>
      </w:tr>
      <w:tr>
        <w:trPr>
          <w:cantSplit/>
        </w:trPr>
        <w:tc>
          <w:tcPr>
            <w:tcW w:type="dxa" w:w="5155"/>
            <w:vAlign w:val="center"/>
            <w:shd w:fill="D9EAF7"/>
          </w:tcPr>
          <w:p>
            <w:r>
              <w:rPr>
                <w:sz w:val="16"/>
              </w:rPr>
            </w:r>
            <w:r>
              <w:rPr>
                <w:b/>
                <w:color w:val="17365D"/>
                <w:sz w:val="17"/>
              </w:rPr>
              <w:t>Review Frequency</w:t>
            </w:r>
          </w:p>
        </w:tc>
        <w:tc>
          <w:tcPr>
            <w:tcW w:type="dxa" w:w="5155"/>
            <w:vAlign w:val="center"/>
          </w:tcPr>
          <w:p>
            <w:r>
              <w:rPr>
                <w:sz w:val="16"/>
              </w:rPr>
            </w:r>
            <w:r>
              <w:rPr>
                <w:b w:val="0"/>
                <w:sz w:val="17"/>
              </w:rPr>
              <w:t>Annual</w:t>
            </w:r>
          </w:p>
        </w:tc>
      </w:tr>
      <w:tr>
        <w:trPr>
          <w:cantSplit/>
        </w:trPr>
        <w:tc>
          <w:tcPr>
            <w:tcW w:type="dxa" w:w="5155"/>
            <w:vAlign w:val="center"/>
            <w:shd w:fill="D9EAF7"/>
          </w:tcPr>
          <w:p>
            <w:r>
              <w:rPr>
                <w:sz w:val="16"/>
              </w:rPr>
            </w:r>
            <w:r>
              <w:rPr>
                <w:b/>
                <w:color w:val="17365D"/>
                <w:sz w:val="17"/>
              </w:rPr>
              <w:t>Classification</w:t>
            </w:r>
          </w:p>
        </w:tc>
        <w:tc>
          <w:tcPr>
            <w:tcW w:type="dxa" w:w="5155"/>
            <w:vAlign w:val="center"/>
          </w:tcPr>
          <w:p>
            <w:r>
              <w:rPr>
                <w:sz w:val="16"/>
              </w:rPr>
            </w:r>
            <w:r>
              <w:rPr>
                <w:b w:val="0"/>
                <w:sz w:val="17"/>
              </w:rPr>
              <w:t>Internal — Confidential</w:t>
            </w:r>
          </w:p>
        </w:tc>
      </w:tr>
      <w:tr>
        <w:trPr>
          <w:cantSplit/>
        </w:trPr>
        <w:tc>
          <w:tcPr>
            <w:tcW w:type="dxa" w:w="5155"/>
            <w:vAlign w:val="center"/>
            <w:shd w:fill="D9EAF7"/>
          </w:tcPr>
          <w:p>
            <w:r>
              <w:rPr>
                <w:sz w:val="16"/>
              </w:rPr>
            </w:r>
            <w:r>
              <w:rPr>
                <w:b/>
                <w:color w:val="17365D"/>
                <w:sz w:val="17"/>
              </w:rPr>
              <w:t>Status</w:t>
            </w:r>
          </w:p>
        </w:tc>
        <w:tc>
          <w:tcPr>
            <w:tcW w:type="dxa" w:w="5155"/>
            <w:vAlign w:val="center"/>
          </w:tcPr>
          <w:p>
            <w:r>
              <w:rPr>
                <w:sz w:val="16"/>
              </w:rPr>
            </w:r>
            <w:r>
              <w:rPr>
                <w:b w:val="0"/>
                <w:sz w:val="17"/>
              </w:rPr>
              <w:t>Approved</w:t>
            </w:r>
          </w:p>
        </w:tc>
      </w:tr>
      <w:tr>
        <w:trPr>
          <w:cantSplit/>
        </w:trPr>
        <w:tc>
          <w:tcPr>
            <w:tcW w:type="dxa" w:w="5155"/>
            <w:vAlign w:val="center"/>
            <w:shd w:fill="D9EAF7"/>
          </w:tcPr>
          <w:p>
            <w:r>
              <w:rPr>
                <w:sz w:val="16"/>
              </w:rPr>
            </w:r>
            <w:r>
              <w:rPr>
                <w:b/>
                <w:color w:val="17365D"/>
                <w:sz w:val="17"/>
              </w:rPr>
              <w:t>Supersedes</w:t>
            </w:r>
          </w:p>
        </w:tc>
        <w:tc>
          <w:tcPr>
            <w:tcW w:type="dxa" w:w="5155"/>
            <w:vAlign w:val="center"/>
          </w:tcPr>
          <w:p>
            <w:r>
              <w:rPr>
                <w:sz w:val="16"/>
              </w:rPr>
            </w:r>
            <w:r>
              <w:rPr>
                <w:b w:val="0"/>
                <w:sz w:val="17"/>
              </w:rPr>
              <w:t>INV-010 v1.6</w:t>
            </w:r>
          </w:p>
        </w:tc>
      </w:tr>
      <w:tr>
        <w:trPr>
          <w:cantSplit/>
        </w:trPr>
        <w:tc>
          <w:tcPr>
            <w:tcW w:type="dxa" w:w="5155"/>
            <w:vAlign w:val="center"/>
            <w:shd w:fill="D9EAF7"/>
          </w:tcPr>
          <w:p>
            <w:r>
              <w:rPr>
                <w:sz w:val="16"/>
              </w:rPr>
            </w:r>
            <w:r>
              <w:rPr>
                <w:b/>
                <w:color w:val="17365D"/>
                <w:sz w:val="17"/>
              </w:rPr>
              <w:t>Related Documents</w:t>
            </w:r>
          </w:p>
        </w:tc>
        <w:tc>
          <w:tcPr>
            <w:tcW w:type="dxa" w:w="5155"/>
            <w:vAlign w:val="center"/>
          </w:tcPr>
          <w:p>
            <w:r>
              <w:rPr>
                <w:sz w:val="16"/>
              </w:rPr>
            </w:r>
            <w:r>
              <w:rPr>
                <w:b w:val="0"/>
                <w:sz w:val="17"/>
              </w:rPr>
              <w:t>RMF-008; RAS-009; IMP-041; IDS-042; CMP-012</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Version</w:t>
            </w:r>
          </w:p>
        </w:tc>
        <w:tc>
          <w:tcPr>
            <w:tcW w:type="dxa" w:w="2577"/>
            <w:vAlign w:val="center"/>
            <w:shd w:fill="17365D"/>
          </w:tcPr>
          <w:p>
            <w:r>
              <w:rPr>
                <w:sz w:val="16"/>
              </w:rPr>
            </w:r>
            <w:r>
              <w:rPr>
                <w:b/>
                <w:color w:val="FFFFFF"/>
                <w:sz w:val="16"/>
              </w:rPr>
              <w:t>Effective Date</w:t>
            </w:r>
          </w:p>
        </w:tc>
        <w:tc>
          <w:tcPr>
            <w:tcW w:type="dxa" w:w="2577"/>
            <w:vAlign w:val="center"/>
            <w:shd w:fill="17365D"/>
          </w:tcPr>
          <w:p>
            <w:r>
              <w:rPr>
                <w:sz w:val="16"/>
              </w:rPr>
            </w:r>
            <w:r>
              <w:rPr>
                <w:b/>
                <w:color w:val="FFFFFF"/>
                <w:sz w:val="16"/>
              </w:rPr>
              <w:t>Change Summary</w:t>
            </w:r>
          </w:p>
        </w:tc>
        <w:tc>
          <w:tcPr>
            <w:tcW w:type="dxa" w:w="2577"/>
            <w:vAlign w:val="center"/>
            <w:shd w:fill="17365D"/>
          </w:tcPr>
          <w:p>
            <w:r>
              <w:rPr>
                <w:sz w:val="16"/>
              </w:rPr>
            </w:r>
            <w:r>
              <w:rPr>
                <w:b/>
                <w:color w:val="FFFFFF"/>
                <w:sz w:val="16"/>
              </w:rPr>
              <w:t>Approving Authority</w:t>
            </w:r>
          </w:p>
        </w:tc>
      </w:tr>
      <w:tr>
        <w:trPr>
          <w:cantSplit/>
        </w:trPr>
        <w:tc>
          <w:tcPr>
            <w:tcW w:type="dxa" w:w="2577"/>
            <w:vAlign w:val="center"/>
          </w:tcPr>
          <w:p>
            <w:r>
              <w:rPr>
                <w:sz w:val="16"/>
              </w:rPr>
            </w:r>
            <w:r>
              <w:rPr>
                <w:b w:val="0"/>
                <w:sz w:val="16"/>
              </w:rPr>
              <w:t>1.4</w:t>
            </w:r>
          </w:p>
        </w:tc>
        <w:tc>
          <w:tcPr>
            <w:tcW w:type="dxa" w:w="2577"/>
            <w:vAlign w:val="center"/>
          </w:tcPr>
          <w:p>
            <w:r>
              <w:rPr>
                <w:sz w:val="16"/>
              </w:rPr>
            </w:r>
            <w:r>
              <w:rPr>
                <w:b w:val="0"/>
                <w:sz w:val="16"/>
              </w:rPr>
              <w:t>1 Jul 2024</w:t>
            </w:r>
          </w:p>
        </w:tc>
        <w:tc>
          <w:tcPr>
            <w:tcW w:type="dxa" w:w="2577"/>
            <w:vAlign w:val="center"/>
          </w:tcPr>
          <w:p>
            <w:r>
              <w:rPr>
                <w:sz w:val="16"/>
              </w:rPr>
            </w:r>
            <w:r>
              <w:rPr>
                <w:b w:val="0"/>
                <w:sz w:val="16"/>
              </w:rPr>
              <w:t>Updated issuer due diligence and valuation controls.</w:t>
            </w:r>
          </w:p>
        </w:tc>
        <w:tc>
          <w:tcPr>
            <w:tcW w:type="dxa" w:w="2577"/>
            <w:vAlign w:val="center"/>
          </w:tcPr>
          <w:p>
            <w:r>
              <w:rPr>
                <w:sz w:val="16"/>
              </w:rPr>
            </w:r>
            <w:r>
              <w:rPr>
                <w:b w:val="0"/>
                <w:sz w:val="16"/>
              </w:rPr>
              <w:t>Investment &amp; Treasury Committee</w:t>
            </w:r>
          </w:p>
        </w:tc>
      </w:tr>
      <w:tr>
        <w:trPr>
          <w:cantSplit/>
        </w:trPr>
        <w:tc>
          <w:tcPr>
            <w:tcW w:type="dxa" w:w="2577"/>
            <w:vAlign w:val="center"/>
          </w:tcPr>
          <w:p>
            <w:r>
              <w:rPr>
                <w:sz w:val="16"/>
              </w:rPr>
            </w:r>
            <w:r>
              <w:rPr>
                <w:b w:val="0"/>
                <w:sz w:val="16"/>
              </w:rPr>
              <w:t>1.6</w:t>
            </w:r>
          </w:p>
        </w:tc>
        <w:tc>
          <w:tcPr>
            <w:tcW w:type="dxa" w:w="2577"/>
            <w:vAlign w:val="center"/>
          </w:tcPr>
          <w:p>
            <w:r>
              <w:rPr>
                <w:sz w:val="16"/>
              </w:rPr>
            </w:r>
            <w:r>
              <w:rPr>
                <w:b w:val="0"/>
                <w:sz w:val="16"/>
              </w:rPr>
              <w:t>1 Mar 2025</w:t>
            </w:r>
          </w:p>
        </w:tc>
        <w:tc>
          <w:tcPr>
            <w:tcW w:type="dxa" w:w="2577"/>
            <w:vAlign w:val="center"/>
          </w:tcPr>
          <w:p>
            <w:r>
              <w:rPr>
                <w:sz w:val="16"/>
              </w:rPr>
            </w:r>
            <w:r>
              <w:rPr>
                <w:b w:val="0"/>
                <w:sz w:val="16"/>
              </w:rPr>
              <w:t>Revised liquidity bands and counterparty review cadence.</w:t>
            </w:r>
          </w:p>
        </w:tc>
        <w:tc>
          <w:tcPr>
            <w:tcW w:type="dxa" w:w="2577"/>
            <w:vAlign w:val="center"/>
          </w:tcPr>
          <w:p>
            <w:r>
              <w:rPr>
                <w:sz w:val="16"/>
              </w:rPr>
            </w:r>
            <w:r>
              <w:rPr>
                <w:b w:val="0"/>
                <w:sz w:val="16"/>
              </w:rPr>
              <w:t>Board Risk Committee</w:t>
            </w:r>
          </w:p>
        </w:tc>
      </w:tr>
      <w:tr>
        <w:trPr>
          <w:cantSplit/>
        </w:trPr>
        <w:tc>
          <w:tcPr>
            <w:tcW w:type="dxa" w:w="2577"/>
            <w:vAlign w:val="center"/>
          </w:tcPr>
          <w:p>
            <w:r>
              <w:rPr>
                <w:sz w:val="16"/>
              </w:rPr>
            </w:r>
            <w:r>
              <w:rPr>
                <w:b w:val="0"/>
                <w:sz w:val="16"/>
              </w:rPr>
              <w:t>2.0</w:t>
            </w:r>
          </w:p>
        </w:tc>
        <w:tc>
          <w:tcPr>
            <w:tcW w:type="dxa" w:w="2577"/>
            <w:vAlign w:val="center"/>
          </w:tcPr>
          <w:p>
            <w:r>
              <w:rPr>
                <w:sz w:val="16"/>
              </w:rPr>
            </w:r>
            <w:r>
              <w:rPr>
                <w:b w:val="0"/>
                <w:sz w:val="16"/>
              </w:rPr>
              <w:t>1 Jan 2026</w:t>
            </w:r>
          </w:p>
        </w:tc>
        <w:tc>
          <w:tcPr>
            <w:tcW w:type="dxa" w:w="2577"/>
            <w:vAlign w:val="center"/>
          </w:tcPr>
          <w:p>
            <w:r>
              <w:rPr>
                <w:sz w:val="16"/>
              </w:rPr>
            </w:r>
            <w:r>
              <w:rPr>
                <w:b w:val="0"/>
                <w:sz w:val="16"/>
              </w:rPr>
              <w:t>Tightened concentration and duration limits; aligned to RMF-008 v2.0 and RAS-009 v1.5.</w:t>
            </w:r>
          </w:p>
        </w:tc>
        <w:tc>
          <w:tcPr>
            <w:tcW w:type="dxa" w:w="2577"/>
            <w:vAlign w:val="center"/>
          </w:tcPr>
          <w:p>
            <w:r>
              <w:rPr>
                <w:sz w:val="16"/>
              </w:rPr>
            </w:r>
            <w:r>
              <w:rPr>
                <w:b w:val="0"/>
                <w:sz w:val="16"/>
              </w:rPr>
              <w:t>Board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Policy establishes Northstar Financial’s internal requirements for the preservation, deployment and oversight of surplus liquidity and investment assets. It sets eligible instruments, risk limits, governance, valuation and escalation expectations and is not a public investment recommendation.</w:t>
      </w:r>
    </w:p>
    <w:p>
      <w:r>
        <w:t>Investment activity shall support liquidity, capital preservation and controlled income generation. Return objectives shall not override approved credit, market, liquidity, concentration or operational limits.</w:t>
      </w:r>
    </w:p>
    <w:p>
      <w:r>
        <w:t>The Policy applies to balance-sheet investments executed by Investment Management or Treasury and to temporary liquidity placements unless a more specific Board-approved mandate expressly applies.</w:t>
      </w:r>
    </w:p>
    <w:p>
      <w:pPr>
        <w:pStyle w:val="Heading1"/>
      </w:pPr>
      <w:r>
        <w:t>2. Scope and Policy Hierarchy</w:t>
      </w:r>
    </w:p>
    <w:p>
      <w:r>
        <w:t>The Policy applies to investments funded by Northstar Financial and to approved investment vehicles where Northstar is the beneficial owner or bears material risk.</w:t>
      </w:r>
    </w:p>
    <w:p>
      <w:r>
        <w:t>The Risk Appetite Statement establishes enterprise-level appetite. This Policy may be more restrictive. The Investment Delegation Schedule controls decision authority and cannot be expanded by system access, job title or prior practice.</w:t>
      </w:r>
    </w:p>
    <w:p>
      <w:pPr>
        <w:pStyle w:val="ListBullet"/>
      </w:pPr>
      <w:r>
        <w:t>Government securities and treasury-style instruments classified as eligible under this Policy.</w:t>
      </w:r>
    </w:p>
    <w:p>
      <w:pPr>
        <w:pStyle w:val="ListBullet"/>
      </w:pPr>
      <w:r>
        <w:t>Bank deposits and approved money-market placements.</w:t>
      </w:r>
    </w:p>
    <w:p>
      <w:pPr>
        <w:pStyle w:val="ListBullet"/>
      </w:pPr>
      <w:r>
        <w:t>Corporate debt and other approved fixed-income instruments.</w:t>
      </w:r>
    </w:p>
    <w:p>
      <w:pPr>
        <w:pStyle w:val="ListBullet"/>
      </w:pPr>
      <w:r>
        <w:t>Approved short-term liquidity instruments.</w:t>
      </w:r>
    </w:p>
    <w:p>
      <w:pPr>
        <w:pStyle w:val="ListBullet"/>
      </w:pPr>
      <w:r>
        <w:t>Hedging transactions only where separately approved and directly linked to a permitted exposure.</w:t>
      </w:r>
    </w:p>
    <w:p>
      <w:pPr>
        <w:pStyle w:val="Heading1"/>
      </w:pPr>
      <w:r>
        <w:t>3. Investment Objectives</w:t>
      </w:r>
    </w:p>
    <w:p>
      <w:r>
        <w:t>Investment portfolios shall be managed against four ordered objectives: liquidity sufficiency, preservation of principal, diversification and risk-adjusted income.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Objective</w:t>
            </w:r>
          </w:p>
        </w:tc>
        <w:tc>
          <w:tcPr>
            <w:tcW w:type="dxa" w:w="3437"/>
            <w:vAlign w:val="center"/>
            <w:shd w:fill="17365D"/>
          </w:tcPr>
          <w:p>
            <w:r>
              <w:rPr>
                <w:sz w:val="16"/>
              </w:rPr>
            </w:r>
            <w:r>
              <w:rPr>
                <w:b/>
                <w:color w:val="FFFFFF"/>
                <w:sz w:val="16"/>
              </w:rPr>
              <w:t>Operating Interpretation</w:t>
            </w:r>
          </w:p>
        </w:tc>
        <w:tc>
          <w:tcPr>
            <w:tcW w:type="dxa" w:w="3437"/>
            <w:vAlign w:val="center"/>
            <w:shd w:fill="17365D"/>
          </w:tcPr>
          <w:p>
            <w:r>
              <w:rPr>
                <w:sz w:val="16"/>
              </w:rPr>
            </w:r>
            <w:r>
              <w:rPr>
                <w:b/>
                <w:color w:val="FFFFFF"/>
                <w:sz w:val="16"/>
              </w:rPr>
              <w:t>Primary Evidence</w:t>
            </w:r>
          </w:p>
        </w:tc>
      </w:tr>
      <w:tr>
        <w:trPr>
          <w:cantSplit/>
        </w:trPr>
        <w:tc>
          <w:tcPr>
            <w:tcW w:type="dxa" w:w="3437"/>
            <w:vAlign w:val="center"/>
          </w:tcPr>
          <w:p>
            <w:r>
              <w:rPr>
                <w:sz w:val="16"/>
              </w:rPr>
            </w:r>
            <w:r>
              <w:rPr>
                <w:b w:val="0"/>
                <w:sz w:val="16"/>
              </w:rPr>
              <w:t>Liquidity</w:t>
            </w:r>
          </w:p>
        </w:tc>
        <w:tc>
          <w:tcPr>
            <w:tcW w:type="dxa" w:w="3437"/>
            <w:vAlign w:val="center"/>
          </w:tcPr>
          <w:p>
            <w:r>
              <w:rPr>
                <w:sz w:val="16"/>
              </w:rPr>
            </w:r>
            <w:r>
              <w:rPr>
                <w:b w:val="0"/>
                <w:sz w:val="16"/>
              </w:rPr>
              <w:t>Maintain enough assets that can be converted to cash within approved time horizons without material loss.</w:t>
            </w:r>
          </w:p>
        </w:tc>
        <w:tc>
          <w:tcPr>
            <w:tcW w:type="dxa" w:w="3437"/>
            <w:vAlign w:val="center"/>
          </w:tcPr>
          <w:p>
            <w:r>
              <w:rPr>
                <w:sz w:val="16"/>
              </w:rPr>
            </w:r>
            <w:r>
              <w:rPr>
                <w:b w:val="0"/>
                <w:sz w:val="16"/>
              </w:rPr>
              <w:t>Liquidity ladder; stressed coverage; maturity profile</w:t>
            </w:r>
          </w:p>
        </w:tc>
      </w:tr>
      <w:tr>
        <w:trPr>
          <w:cantSplit/>
        </w:trPr>
        <w:tc>
          <w:tcPr>
            <w:tcW w:type="dxa" w:w="3437"/>
            <w:vAlign w:val="center"/>
          </w:tcPr>
          <w:p>
            <w:r>
              <w:rPr>
                <w:sz w:val="16"/>
              </w:rPr>
            </w:r>
            <w:r>
              <w:rPr>
                <w:b w:val="0"/>
                <w:sz w:val="16"/>
              </w:rPr>
              <w:t>Capital preservation</w:t>
            </w:r>
          </w:p>
        </w:tc>
        <w:tc>
          <w:tcPr>
            <w:tcW w:type="dxa" w:w="3437"/>
            <w:vAlign w:val="center"/>
          </w:tcPr>
          <w:p>
            <w:r>
              <w:rPr>
                <w:sz w:val="16"/>
              </w:rPr>
            </w:r>
            <w:r>
              <w:rPr>
                <w:b w:val="0"/>
                <w:sz w:val="16"/>
              </w:rPr>
              <w:t>Avoid speculative positions and control issuer/counterparty loss risk.</w:t>
            </w:r>
          </w:p>
        </w:tc>
        <w:tc>
          <w:tcPr>
            <w:tcW w:type="dxa" w:w="3437"/>
            <w:vAlign w:val="center"/>
          </w:tcPr>
          <w:p>
            <w:r>
              <w:rPr>
                <w:sz w:val="16"/>
              </w:rPr>
            </w:r>
            <w:r>
              <w:rPr>
                <w:b w:val="0"/>
                <w:sz w:val="16"/>
              </w:rPr>
              <w:t>Credit assessment; limits; watchlist</w:t>
            </w:r>
          </w:p>
        </w:tc>
      </w:tr>
      <w:tr>
        <w:trPr>
          <w:cantSplit/>
        </w:trPr>
        <w:tc>
          <w:tcPr>
            <w:tcW w:type="dxa" w:w="3437"/>
            <w:vAlign w:val="center"/>
          </w:tcPr>
          <w:p>
            <w:r>
              <w:rPr>
                <w:sz w:val="16"/>
              </w:rPr>
            </w:r>
            <w:r>
              <w:rPr>
                <w:b w:val="0"/>
                <w:sz w:val="16"/>
              </w:rPr>
              <w:t>Diversification</w:t>
            </w:r>
          </w:p>
        </w:tc>
        <w:tc>
          <w:tcPr>
            <w:tcW w:type="dxa" w:w="3437"/>
            <w:vAlign w:val="center"/>
          </w:tcPr>
          <w:p>
            <w:r>
              <w:rPr>
                <w:sz w:val="16"/>
              </w:rPr>
            </w:r>
            <w:r>
              <w:rPr>
                <w:b w:val="0"/>
                <w:sz w:val="16"/>
              </w:rPr>
              <w:t>Avoid undue dependence on a single issuer, group, sector or tenor.</w:t>
            </w:r>
          </w:p>
        </w:tc>
        <w:tc>
          <w:tcPr>
            <w:tcW w:type="dxa" w:w="3437"/>
            <w:vAlign w:val="center"/>
          </w:tcPr>
          <w:p>
            <w:r>
              <w:rPr>
                <w:sz w:val="16"/>
              </w:rPr>
            </w:r>
            <w:r>
              <w:rPr>
                <w:b w:val="0"/>
                <w:sz w:val="16"/>
              </w:rPr>
              <w:t>Concentration report</w:t>
            </w:r>
          </w:p>
        </w:tc>
      </w:tr>
      <w:tr>
        <w:trPr>
          <w:cantSplit/>
        </w:trPr>
        <w:tc>
          <w:tcPr>
            <w:tcW w:type="dxa" w:w="3437"/>
            <w:vAlign w:val="center"/>
          </w:tcPr>
          <w:p>
            <w:r>
              <w:rPr>
                <w:sz w:val="16"/>
              </w:rPr>
            </w:r>
            <w:r>
              <w:rPr>
                <w:b w:val="0"/>
                <w:sz w:val="16"/>
              </w:rPr>
              <w:t>Income</w:t>
            </w:r>
          </w:p>
        </w:tc>
        <w:tc>
          <w:tcPr>
            <w:tcW w:type="dxa" w:w="3437"/>
            <w:vAlign w:val="center"/>
          </w:tcPr>
          <w:p>
            <w:r>
              <w:rPr>
                <w:sz w:val="16"/>
              </w:rPr>
            </w:r>
            <w:r>
              <w:rPr>
                <w:b w:val="0"/>
                <w:sz w:val="16"/>
              </w:rPr>
              <w:t>Seek reasonable return only after the first three objectives are satisfied.</w:t>
            </w:r>
          </w:p>
        </w:tc>
        <w:tc>
          <w:tcPr>
            <w:tcW w:type="dxa" w:w="3437"/>
            <w:vAlign w:val="center"/>
          </w:tcPr>
          <w:p>
            <w:r>
              <w:rPr>
                <w:sz w:val="16"/>
              </w:rPr>
            </w:r>
            <w:r>
              <w:rPr>
                <w:b w:val="0"/>
                <w:sz w:val="16"/>
              </w:rPr>
              <w:t>Yield and benchmark report</w:t>
            </w:r>
          </w:p>
        </w:tc>
      </w:tr>
    </w:tbl>
    <w:p/>
    <w:p>
      <w:pPr>
        <w:pStyle w:val="Heading1"/>
      </w:pPr>
      <w:r>
        <w:t>4. Governance and Three Lines</w:t>
      </w:r>
    </w:p>
    <w:p>
      <w:r>
        <w:t>Investment risk is governed through the three-lines model in RMF-008.</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Role</w:t>
            </w:r>
          </w:p>
        </w:tc>
        <w:tc>
          <w:tcPr>
            <w:tcW w:type="dxa" w:w="5155"/>
            <w:vAlign w:val="center"/>
            <w:shd w:fill="17365D"/>
          </w:tcPr>
          <w:p>
            <w:r>
              <w:rPr>
                <w:sz w:val="16"/>
              </w:rPr>
            </w:r>
            <w:r>
              <w:rPr>
                <w:b/>
                <w:color w:val="FFFFFF"/>
                <w:sz w:val="16"/>
              </w:rPr>
              <w:t>Responsibilities</w:t>
            </w:r>
          </w:p>
        </w:tc>
      </w:tr>
      <w:tr>
        <w:trPr>
          <w:cantSplit/>
        </w:trPr>
        <w:tc>
          <w:tcPr>
            <w:tcW w:type="dxa" w:w="5155"/>
            <w:vAlign w:val="center"/>
          </w:tcPr>
          <w:p>
            <w:r>
              <w:rPr>
                <w:sz w:val="16"/>
              </w:rPr>
            </w:r>
            <w:r>
              <w:rPr>
                <w:b w:val="0"/>
                <w:sz w:val="16"/>
              </w:rPr>
              <w:t>Board Risk Committee</w:t>
            </w:r>
          </w:p>
        </w:tc>
        <w:tc>
          <w:tcPr>
            <w:tcW w:type="dxa" w:w="5155"/>
            <w:vAlign w:val="center"/>
          </w:tcPr>
          <w:p>
            <w:r>
              <w:rPr>
                <w:sz w:val="16"/>
              </w:rPr>
            </w:r>
            <w:r>
              <w:rPr>
                <w:b w:val="0"/>
                <w:sz w:val="16"/>
              </w:rPr>
              <w:t>Approve this Policy and material changes; oversee investment risk against RAS-009.</w:t>
            </w:r>
          </w:p>
        </w:tc>
      </w:tr>
      <w:tr>
        <w:trPr>
          <w:cantSplit/>
        </w:trPr>
        <w:tc>
          <w:tcPr>
            <w:tcW w:type="dxa" w:w="5155"/>
            <w:vAlign w:val="center"/>
          </w:tcPr>
          <w:p>
            <w:r>
              <w:rPr>
                <w:sz w:val="16"/>
              </w:rPr>
            </w:r>
            <w:r>
              <w:rPr>
                <w:b w:val="0"/>
                <w:sz w:val="16"/>
              </w:rPr>
              <w:t>Investment &amp; Treasury Committee</w:t>
            </w:r>
          </w:p>
        </w:tc>
        <w:tc>
          <w:tcPr>
            <w:tcW w:type="dxa" w:w="5155"/>
            <w:vAlign w:val="center"/>
          </w:tcPr>
          <w:p>
            <w:r>
              <w:rPr>
                <w:sz w:val="16"/>
              </w:rPr>
            </w:r>
            <w:r>
              <w:rPr>
                <w:b w:val="0"/>
                <w:sz w:val="16"/>
              </w:rPr>
              <w:t>Approve portfolio strategy within Board limits; review breaches, watchlist and liquidity.</w:t>
            </w:r>
          </w:p>
        </w:tc>
      </w:tr>
      <w:tr>
        <w:trPr>
          <w:cantSplit/>
        </w:trPr>
        <w:tc>
          <w:tcPr>
            <w:tcW w:type="dxa" w:w="5155"/>
            <w:vAlign w:val="center"/>
          </w:tcPr>
          <w:p>
            <w:r>
              <w:rPr>
                <w:sz w:val="16"/>
              </w:rPr>
            </w:r>
            <w:r>
              <w:rPr>
                <w:b w:val="0"/>
                <w:sz w:val="16"/>
              </w:rPr>
              <w:t>Head of Investment Management</w:t>
            </w:r>
          </w:p>
        </w:tc>
        <w:tc>
          <w:tcPr>
            <w:tcW w:type="dxa" w:w="5155"/>
            <w:vAlign w:val="center"/>
          </w:tcPr>
          <w:p>
            <w:r>
              <w:rPr>
                <w:sz w:val="16"/>
              </w:rPr>
            </w:r>
            <w:r>
              <w:rPr>
                <w:b w:val="0"/>
                <w:sz w:val="16"/>
              </w:rPr>
              <w:t>Own portfolio construction, first-line credit judgement and execution quality.</w:t>
            </w:r>
          </w:p>
        </w:tc>
      </w:tr>
      <w:tr>
        <w:trPr>
          <w:cantSplit/>
        </w:trPr>
        <w:tc>
          <w:tcPr>
            <w:tcW w:type="dxa" w:w="5155"/>
            <w:vAlign w:val="center"/>
          </w:tcPr>
          <w:p>
            <w:r>
              <w:rPr>
                <w:sz w:val="16"/>
              </w:rPr>
            </w:r>
            <w:r>
              <w:rPr>
                <w:b w:val="0"/>
                <w:sz w:val="16"/>
              </w:rPr>
              <w:t>Treasury</w:t>
            </w:r>
          </w:p>
        </w:tc>
        <w:tc>
          <w:tcPr>
            <w:tcW w:type="dxa" w:w="5155"/>
            <w:vAlign w:val="center"/>
          </w:tcPr>
          <w:p>
            <w:r>
              <w:rPr>
                <w:sz w:val="16"/>
              </w:rPr>
            </w:r>
            <w:r>
              <w:rPr>
                <w:b w:val="0"/>
                <w:sz w:val="16"/>
              </w:rPr>
              <w:t>Manage liquidity forecasts, funding requirements and short-term placements.</w:t>
            </w:r>
          </w:p>
        </w:tc>
      </w:tr>
      <w:tr>
        <w:trPr>
          <w:cantSplit/>
        </w:trPr>
        <w:tc>
          <w:tcPr>
            <w:tcW w:type="dxa" w:w="5155"/>
            <w:vAlign w:val="center"/>
          </w:tcPr>
          <w:p>
            <w:r>
              <w:rPr>
                <w:sz w:val="16"/>
              </w:rPr>
            </w:r>
            <w:r>
              <w:rPr>
                <w:b w:val="0"/>
                <w:sz w:val="16"/>
              </w:rPr>
              <w:t>Enterprise Risk</w:t>
            </w:r>
          </w:p>
        </w:tc>
        <w:tc>
          <w:tcPr>
            <w:tcW w:type="dxa" w:w="5155"/>
            <w:vAlign w:val="center"/>
          </w:tcPr>
          <w:p>
            <w:r>
              <w:rPr>
                <w:sz w:val="16"/>
              </w:rPr>
            </w:r>
            <w:r>
              <w:rPr>
                <w:b w:val="0"/>
                <w:sz w:val="16"/>
              </w:rPr>
              <w:t>Independent limit oversight, challenge and aggregation.</w:t>
            </w:r>
          </w:p>
        </w:tc>
      </w:tr>
      <w:tr>
        <w:trPr>
          <w:cantSplit/>
        </w:trPr>
        <w:tc>
          <w:tcPr>
            <w:tcW w:type="dxa" w:w="5155"/>
            <w:vAlign w:val="center"/>
          </w:tcPr>
          <w:p>
            <w:r>
              <w:rPr>
                <w:sz w:val="16"/>
              </w:rPr>
            </w:r>
            <w:r>
              <w:rPr>
                <w:b w:val="0"/>
                <w:sz w:val="16"/>
              </w:rPr>
              <w:t>Compliance</w:t>
            </w:r>
          </w:p>
        </w:tc>
        <w:tc>
          <w:tcPr>
            <w:tcW w:type="dxa" w:w="5155"/>
            <w:vAlign w:val="center"/>
          </w:tcPr>
          <w:p>
            <w:r>
              <w:rPr>
                <w:sz w:val="16"/>
              </w:rPr>
            </w:r>
            <w:r>
              <w:rPr>
                <w:b w:val="0"/>
                <w:sz w:val="16"/>
              </w:rPr>
              <w:t>Monitor policy adherence and applicable internal obligations; assess breaches where required.</w:t>
            </w:r>
          </w:p>
        </w:tc>
      </w:tr>
      <w:tr>
        <w:trPr>
          <w:cantSplit/>
        </w:trPr>
        <w:tc>
          <w:tcPr>
            <w:tcW w:type="dxa" w:w="5155"/>
            <w:vAlign w:val="center"/>
          </w:tcPr>
          <w:p>
            <w:r>
              <w:rPr>
                <w:sz w:val="16"/>
              </w:rPr>
            </w:r>
            <w:r>
              <w:rPr>
                <w:b w:val="0"/>
                <w:sz w:val="16"/>
              </w:rPr>
              <w:t>Internal Audit</w:t>
            </w:r>
          </w:p>
        </w:tc>
        <w:tc>
          <w:tcPr>
            <w:tcW w:type="dxa" w:w="5155"/>
            <w:vAlign w:val="center"/>
          </w:tcPr>
          <w:p>
            <w:r>
              <w:rPr>
                <w:sz w:val="16"/>
              </w:rPr>
            </w:r>
            <w:r>
              <w:rPr>
                <w:b w:val="0"/>
                <w:sz w:val="16"/>
              </w:rPr>
              <w:t>Independent assurance over governance, controls and records.</w:t>
            </w:r>
          </w:p>
        </w:tc>
      </w:tr>
    </w:tbl>
    <w:p/>
    <w:p>
      <w:pPr>
        <w:pStyle w:val="Heading1"/>
      </w:pPr>
      <w:r>
        <w:t>5. Eligible Instruments</w:t>
      </w:r>
    </w:p>
    <w:p>
      <w:r>
        <w:t>Only instruments listed below are ordinarily eligible. New instrument types require documented product approval before first use.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Instrument</w:t>
            </w:r>
          </w:p>
        </w:tc>
        <w:tc>
          <w:tcPr>
            <w:tcW w:type="dxa" w:w="3437"/>
            <w:vAlign w:val="center"/>
            <w:shd w:fill="17365D"/>
          </w:tcPr>
          <w:p>
            <w:r>
              <w:rPr>
                <w:sz w:val="16"/>
              </w:rPr>
            </w:r>
            <w:r>
              <w:rPr>
                <w:b/>
                <w:color w:val="FFFFFF"/>
                <w:sz w:val="16"/>
              </w:rPr>
              <w:t>Eligibility</w:t>
            </w:r>
          </w:p>
        </w:tc>
        <w:tc>
          <w:tcPr>
            <w:tcW w:type="dxa" w:w="3437"/>
            <w:vAlign w:val="center"/>
            <w:shd w:fill="17365D"/>
          </w:tcPr>
          <w:p>
            <w:r>
              <w:rPr>
                <w:sz w:val="16"/>
              </w:rPr>
            </w:r>
            <w:r>
              <w:rPr>
                <w:b/>
                <w:color w:val="FFFFFF"/>
                <w:sz w:val="16"/>
              </w:rPr>
              <w:t>Key Conditions</w:t>
            </w:r>
          </w:p>
        </w:tc>
      </w:tr>
      <w:tr>
        <w:trPr>
          <w:cantSplit/>
        </w:trPr>
        <w:tc>
          <w:tcPr>
            <w:tcW w:type="dxa" w:w="3437"/>
            <w:vAlign w:val="center"/>
          </w:tcPr>
          <w:p>
            <w:r>
              <w:rPr>
                <w:sz w:val="16"/>
              </w:rPr>
            </w:r>
            <w:r>
              <w:rPr>
                <w:b w:val="0"/>
                <w:sz w:val="16"/>
              </w:rPr>
              <w:t>Government securities</w:t>
            </w:r>
          </w:p>
        </w:tc>
        <w:tc>
          <w:tcPr>
            <w:tcW w:type="dxa" w:w="3437"/>
            <w:vAlign w:val="center"/>
          </w:tcPr>
          <w:p>
            <w:r>
              <w:rPr>
                <w:sz w:val="16"/>
              </w:rPr>
            </w:r>
            <w:r>
              <w:rPr>
                <w:b w:val="0"/>
                <w:sz w:val="16"/>
              </w:rPr>
              <w:t>Eligible</w:t>
            </w:r>
          </w:p>
        </w:tc>
        <w:tc>
          <w:tcPr>
            <w:tcW w:type="dxa" w:w="3437"/>
            <w:vAlign w:val="center"/>
          </w:tcPr>
          <w:p>
            <w:r>
              <w:rPr>
                <w:sz w:val="16"/>
              </w:rPr>
            </w:r>
            <w:r>
              <w:rPr>
                <w:b w:val="0"/>
                <w:sz w:val="16"/>
              </w:rPr>
              <w:t>Subject to duration, liquidity and market-risk limits.</w:t>
            </w:r>
          </w:p>
        </w:tc>
      </w:tr>
      <w:tr>
        <w:trPr>
          <w:cantSplit/>
        </w:trPr>
        <w:tc>
          <w:tcPr>
            <w:tcW w:type="dxa" w:w="3437"/>
            <w:vAlign w:val="center"/>
          </w:tcPr>
          <w:p>
            <w:r>
              <w:rPr>
                <w:sz w:val="16"/>
              </w:rPr>
            </w:r>
            <w:r>
              <w:rPr>
                <w:b w:val="0"/>
                <w:sz w:val="16"/>
              </w:rPr>
              <w:t>Treasury-style short-term government instruments</w:t>
            </w:r>
          </w:p>
        </w:tc>
        <w:tc>
          <w:tcPr>
            <w:tcW w:type="dxa" w:w="3437"/>
            <w:vAlign w:val="center"/>
          </w:tcPr>
          <w:p>
            <w:r>
              <w:rPr>
                <w:sz w:val="16"/>
              </w:rPr>
            </w:r>
            <w:r>
              <w:rPr>
                <w:b w:val="0"/>
                <w:sz w:val="16"/>
              </w:rPr>
              <w:t>Eligible</w:t>
            </w:r>
          </w:p>
        </w:tc>
        <w:tc>
          <w:tcPr>
            <w:tcW w:type="dxa" w:w="3437"/>
            <w:vAlign w:val="center"/>
          </w:tcPr>
          <w:p>
            <w:r>
              <w:rPr>
                <w:sz w:val="16"/>
              </w:rPr>
            </w:r>
            <w:r>
              <w:rPr>
                <w:b w:val="0"/>
                <w:sz w:val="16"/>
              </w:rPr>
              <w:t>Approved dealing channel and settlement controls.</w:t>
            </w:r>
          </w:p>
        </w:tc>
      </w:tr>
      <w:tr>
        <w:trPr>
          <w:cantSplit/>
        </w:trPr>
        <w:tc>
          <w:tcPr>
            <w:tcW w:type="dxa" w:w="3437"/>
            <w:vAlign w:val="center"/>
          </w:tcPr>
          <w:p>
            <w:r>
              <w:rPr>
                <w:sz w:val="16"/>
              </w:rPr>
            </w:r>
            <w:r>
              <w:rPr>
                <w:b w:val="0"/>
                <w:sz w:val="16"/>
              </w:rPr>
              <w:t>Scheduled bank deposits / equivalent approved bank placements</w:t>
            </w:r>
          </w:p>
        </w:tc>
        <w:tc>
          <w:tcPr>
            <w:tcW w:type="dxa" w:w="3437"/>
            <w:vAlign w:val="center"/>
          </w:tcPr>
          <w:p>
            <w:r>
              <w:rPr>
                <w:sz w:val="16"/>
              </w:rPr>
            </w:r>
            <w:r>
              <w:rPr>
                <w:b w:val="0"/>
                <w:sz w:val="16"/>
              </w:rPr>
              <w:t>Eligible</w:t>
            </w:r>
          </w:p>
        </w:tc>
        <w:tc>
          <w:tcPr>
            <w:tcW w:type="dxa" w:w="3437"/>
            <w:vAlign w:val="center"/>
          </w:tcPr>
          <w:p>
            <w:r>
              <w:rPr>
                <w:sz w:val="16"/>
              </w:rPr>
            </w:r>
            <w:r>
              <w:rPr>
                <w:b w:val="0"/>
                <w:sz w:val="16"/>
              </w:rPr>
              <w:t>Counterparty on approved list; tenor and concentration limits.</w:t>
            </w:r>
          </w:p>
        </w:tc>
      </w:tr>
      <w:tr>
        <w:trPr>
          <w:cantSplit/>
        </w:trPr>
        <w:tc>
          <w:tcPr>
            <w:tcW w:type="dxa" w:w="3437"/>
            <w:vAlign w:val="center"/>
          </w:tcPr>
          <w:p>
            <w:r>
              <w:rPr>
                <w:sz w:val="16"/>
              </w:rPr>
            </w:r>
            <w:r>
              <w:rPr>
                <w:b w:val="0"/>
                <w:sz w:val="16"/>
              </w:rPr>
              <w:t>Money-market instruments</w:t>
            </w:r>
          </w:p>
        </w:tc>
        <w:tc>
          <w:tcPr>
            <w:tcW w:type="dxa" w:w="3437"/>
            <w:vAlign w:val="center"/>
          </w:tcPr>
          <w:p>
            <w:r>
              <w:rPr>
                <w:sz w:val="16"/>
              </w:rPr>
            </w:r>
            <w:r>
              <w:rPr>
                <w:b w:val="0"/>
                <w:sz w:val="16"/>
              </w:rPr>
              <w:t>Eligible with conditions</w:t>
            </w:r>
          </w:p>
        </w:tc>
        <w:tc>
          <w:tcPr>
            <w:tcW w:type="dxa" w:w="3437"/>
            <w:vAlign w:val="center"/>
          </w:tcPr>
          <w:p>
            <w:r>
              <w:rPr>
                <w:sz w:val="16"/>
              </w:rPr>
            </w:r>
            <w:r>
              <w:rPr>
                <w:b w:val="0"/>
                <w:sz w:val="16"/>
              </w:rPr>
              <w:t>Issuer/counterparty approved; maturity normally ≤365 days.</w:t>
            </w:r>
          </w:p>
        </w:tc>
      </w:tr>
      <w:tr>
        <w:trPr>
          <w:cantSplit/>
        </w:trPr>
        <w:tc>
          <w:tcPr>
            <w:tcW w:type="dxa" w:w="3437"/>
            <w:vAlign w:val="center"/>
          </w:tcPr>
          <w:p>
            <w:r>
              <w:rPr>
                <w:sz w:val="16"/>
              </w:rPr>
            </w:r>
            <w:r>
              <w:rPr>
                <w:b w:val="0"/>
                <w:sz w:val="16"/>
              </w:rPr>
              <w:t>Corporate debt</w:t>
            </w:r>
          </w:p>
        </w:tc>
        <w:tc>
          <w:tcPr>
            <w:tcW w:type="dxa" w:w="3437"/>
            <w:vAlign w:val="center"/>
          </w:tcPr>
          <w:p>
            <w:r>
              <w:rPr>
                <w:sz w:val="16"/>
              </w:rPr>
            </w:r>
            <w:r>
              <w:rPr>
                <w:b w:val="0"/>
                <w:sz w:val="16"/>
              </w:rPr>
              <w:t>Eligible with conditions</w:t>
            </w:r>
          </w:p>
        </w:tc>
        <w:tc>
          <w:tcPr>
            <w:tcW w:type="dxa" w:w="3437"/>
            <w:vAlign w:val="center"/>
          </w:tcPr>
          <w:p>
            <w:r>
              <w:rPr>
                <w:sz w:val="16"/>
              </w:rPr>
            </w:r>
            <w:r>
              <w:rPr>
                <w:b w:val="0"/>
                <w:sz w:val="16"/>
              </w:rPr>
              <w:t>Internal investment grade IG1–IG3; approved issuer and concentration headroom.</w:t>
            </w:r>
          </w:p>
        </w:tc>
      </w:tr>
      <w:tr>
        <w:trPr>
          <w:cantSplit/>
        </w:trPr>
        <w:tc>
          <w:tcPr>
            <w:tcW w:type="dxa" w:w="3437"/>
            <w:vAlign w:val="center"/>
          </w:tcPr>
          <w:p>
            <w:r>
              <w:rPr>
                <w:sz w:val="16"/>
              </w:rPr>
            </w:r>
            <w:r>
              <w:rPr>
                <w:b w:val="0"/>
                <w:sz w:val="16"/>
              </w:rPr>
              <w:t>Securitised / structured credit</w:t>
            </w:r>
          </w:p>
        </w:tc>
        <w:tc>
          <w:tcPr>
            <w:tcW w:type="dxa" w:w="3437"/>
            <w:vAlign w:val="center"/>
          </w:tcPr>
          <w:p>
            <w:r>
              <w:rPr>
                <w:sz w:val="16"/>
              </w:rPr>
            </w:r>
            <w:r>
              <w:rPr>
                <w:b w:val="0"/>
                <w:sz w:val="16"/>
              </w:rPr>
              <w:t>Restricted</w:t>
            </w:r>
          </w:p>
        </w:tc>
        <w:tc>
          <w:tcPr>
            <w:tcW w:type="dxa" w:w="3437"/>
            <w:vAlign w:val="center"/>
          </w:tcPr>
          <w:p>
            <w:r>
              <w:rPr>
                <w:sz w:val="16"/>
              </w:rPr>
            </w:r>
            <w:r>
              <w:rPr>
                <w:b w:val="0"/>
                <w:sz w:val="16"/>
              </w:rPr>
              <w:t>Only if specifically approved by Board Risk Committee mandate.</w:t>
            </w:r>
          </w:p>
        </w:tc>
      </w:tr>
      <w:tr>
        <w:trPr>
          <w:cantSplit/>
        </w:trPr>
        <w:tc>
          <w:tcPr>
            <w:tcW w:type="dxa" w:w="3437"/>
            <w:vAlign w:val="center"/>
          </w:tcPr>
          <w:p>
            <w:r>
              <w:rPr>
                <w:sz w:val="16"/>
              </w:rPr>
            </w:r>
            <w:r>
              <w:rPr>
                <w:b w:val="0"/>
                <w:sz w:val="16"/>
              </w:rPr>
              <w:t>Equities / equity derivatives</w:t>
            </w:r>
          </w:p>
        </w:tc>
        <w:tc>
          <w:tcPr>
            <w:tcW w:type="dxa" w:w="3437"/>
            <w:vAlign w:val="center"/>
          </w:tcPr>
          <w:p>
            <w:r>
              <w:rPr>
                <w:sz w:val="16"/>
              </w:rPr>
            </w:r>
            <w:r>
              <w:rPr>
                <w:b w:val="0"/>
                <w:sz w:val="16"/>
              </w:rPr>
              <w:t>Prohibited for treasury investment book</w:t>
            </w:r>
          </w:p>
        </w:tc>
        <w:tc>
          <w:tcPr>
            <w:tcW w:type="dxa" w:w="3437"/>
            <w:vAlign w:val="center"/>
          </w:tcPr>
          <w:p>
            <w:r>
              <w:rPr>
                <w:sz w:val="16"/>
              </w:rPr>
            </w:r>
            <w:r>
              <w:rPr>
                <w:b w:val="0"/>
                <w:sz w:val="16"/>
              </w:rPr>
              <w:t>No speculative equity risk.</w:t>
            </w:r>
          </w:p>
        </w:tc>
      </w:tr>
      <w:tr>
        <w:trPr>
          <w:cantSplit/>
        </w:trPr>
        <w:tc>
          <w:tcPr>
            <w:tcW w:type="dxa" w:w="3437"/>
            <w:vAlign w:val="center"/>
          </w:tcPr>
          <w:p>
            <w:r>
              <w:rPr>
                <w:sz w:val="16"/>
              </w:rPr>
            </w:r>
            <w:r>
              <w:rPr>
                <w:b w:val="0"/>
                <w:sz w:val="16"/>
              </w:rPr>
              <w:t>Unhedged foreign-currency investment</w:t>
            </w:r>
          </w:p>
        </w:tc>
        <w:tc>
          <w:tcPr>
            <w:tcW w:type="dxa" w:w="3437"/>
            <w:vAlign w:val="center"/>
          </w:tcPr>
          <w:p>
            <w:r>
              <w:rPr>
                <w:sz w:val="16"/>
              </w:rPr>
            </w:r>
            <w:r>
              <w:rPr>
                <w:b w:val="0"/>
                <w:sz w:val="16"/>
              </w:rPr>
              <w:t>Prohibited</w:t>
            </w:r>
          </w:p>
        </w:tc>
        <w:tc>
          <w:tcPr>
            <w:tcW w:type="dxa" w:w="3437"/>
            <w:vAlign w:val="center"/>
          </w:tcPr>
          <w:p>
            <w:r>
              <w:rPr>
                <w:sz w:val="16"/>
              </w:rPr>
            </w:r>
            <w:r>
              <w:rPr>
                <w:b w:val="0"/>
                <w:sz w:val="16"/>
              </w:rPr>
              <w:t>Board-approved exception mandate required.</w:t>
            </w:r>
          </w:p>
        </w:tc>
      </w:tr>
      <w:tr>
        <w:trPr>
          <w:cantSplit/>
        </w:trPr>
        <w:tc>
          <w:tcPr>
            <w:tcW w:type="dxa" w:w="3437"/>
            <w:vAlign w:val="center"/>
          </w:tcPr>
          <w:p>
            <w:r>
              <w:rPr>
                <w:sz w:val="16"/>
              </w:rPr>
            </w:r>
            <w:r>
              <w:rPr>
                <w:b w:val="0"/>
                <w:sz w:val="16"/>
              </w:rPr>
              <w:t>Crypto-assets / virtual assets</w:t>
            </w:r>
          </w:p>
        </w:tc>
        <w:tc>
          <w:tcPr>
            <w:tcW w:type="dxa" w:w="3437"/>
            <w:vAlign w:val="center"/>
          </w:tcPr>
          <w:p>
            <w:r>
              <w:rPr>
                <w:sz w:val="16"/>
              </w:rPr>
            </w:r>
            <w:r>
              <w:rPr>
                <w:b w:val="0"/>
                <w:sz w:val="16"/>
              </w:rPr>
              <w:t>Prohibited</w:t>
            </w:r>
          </w:p>
        </w:tc>
        <w:tc>
          <w:tcPr>
            <w:tcW w:type="dxa" w:w="3437"/>
            <w:vAlign w:val="center"/>
          </w:tcPr>
          <w:p>
            <w:r>
              <w:rPr>
                <w:sz w:val="16"/>
              </w:rPr>
            </w:r>
            <w:r>
              <w:rPr>
                <w:b w:val="0"/>
                <w:sz w:val="16"/>
              </w:rPr>
              <w:t>Outside Northstar investment mandate.</w:t>
            </w:r>
          </w:p>
        </w:tc>
      </w:tr>
    </w:tbl>
    <w:p/>
    <w:p>
      <w:pPr>
        <w:pStyle w:val="Heading1"/>
      </w:pPr>
      <w:r>
        <w:t>6. Internal Investment Credit Grades</w:t>
      </w:r>
    </w:p>
    <w:p>
      <w:r>
        <w:t>Investment Management shall assign or confirm an internal investment credit grade before acquiring non-government credit instruments.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Grade</w:t>
            </w:r>
          </w:p>
        </w:tc>
        <w:tc>
          <w:tcPr>
            <w:tcW w:type="dxa" w:w="3437"/>
            <w:vAlign w:val="center"/>
            <w:shd w:fill="17365D"/>
          </w:tcPr>
          <w:p>
            <w:r>
              <w:rPr>
                <w:sz w:val="16"/>
              </w:rPr>
            </w:r>
            <w:r>
              <w:rPr>
                <w:b/>
                <w:color w:val="FFFFFF"/>
                <w:sz w:val="16"/>
              </w:rPr>
              <w:t>Internal Meaning</w:t>
            </w:r>
          </w:p>
        </w:tc>
        <w:tc>
          <w:tcPr>
            <w:tcW w:type="dxa" w:w="3437"/>
            <w:vAlign w:val="center"/>
            <w:shd w:fill="17365D"/>
          </w:tcPr>
          <w:p>
            <w:r>
              <w:rPr>
                <w:sz w:val="16"/>
              </w:rPr>
            </w:r>
            <w:r>
              <w:rPr>
                <w:b/>
                <w:color w:val="FFFFFF"/>
                <w:sz w:val="16"/>
              </w:rPr>
              <w:t>Ordinary Treatment</w:t>
            </w:r>
          </w:p>
        </w:tc>
      </w:tr>
      <w:tr>
        <w:trPr>
          <w:cantSplit/>
        </w:trPr>
        <w:tc>
          <w:tcPr>
            <w:tcW w:type="dxa" w:w="3437"/>
            <w:vAlign w:val="center"/>
          </w:tcPr>
          <w:p>
            <w:r>
              <w:rPr>
                <w:sz w:val="16"/>
              </w:rPr>
            </w:r>
            <w:r>
              <w:rPr>
                <w:b w:val="0"/>
                <w:sz w:val="16"/>
              </w:rPr>
              <w:t>IG1</w:t>
            </w:r>
          </w:p>
        </w:tc>
        <w:tc>
          <w:tcPr>
            <w:tcW w:type="dxa" w:w="3437"/>
            <w:vAlign w:val="center"/>
          </w:tcPr>
          <w:p>
            <w:r>
              <w:rPr>
                <w:sz w:val="16"/>
              </w:rPr>
            </w:r>
            <w:r>
              <w:rPr>
                <w:b w:val="0"/>
                <w:sz w:val="16"/>
              </w:rPr>
              <w:t>Very strong capacity; low expected credit deterioration under normal stress.</w:t>
            </w:r>
          </w:p>
        </w:tc>
        <w:tc>
          <w:tcPr>
            <w:tcW w:type="dxa" w:w="3437"/>
            <w:vAlign w:val="center"/>
          </w:tcPr>
          <w:p>
            <w:r>
              <w:rPr>
                <w:sz w:val="16"/>
              </w:rPr>
            </w:r>
            <w:r>
              <w:rPr>
                <w:b w:val="0"/>
                <w:sz w:val="16"/>
              </w:rPr>
              <w:t>Eligible, subject to limits.</w:t>
            </w:r>
          </w:p>
        </w:tc>
      </w:tr>
      <w:tr>
        <w:trPr>
          <w:cantSplit/>
        </w:trPr>
        <w:tc>
          <w:tcPr>
            <w:tcW w:type="dxa" w:w="3437"/>
            <w:vAlign w:val="center"/>
          </w:tcPr>
          <w:p>
            <w:r>
              <w:rPr>
                <w:sz w:val="16"/>
              </w:rPr>
            </w:r>
            <w:r>
              <w:rPr>
                <w:b w:val="0"/>
                <w:sz w:val="16"/>
              </w:rPr>
              <w:t>IG2</w:t>
            </w:r>
          </w:p>
        </w:tc>
        <w:tc>
          <w:tcPr>
            <w:tcW w:type="dxa" w:w="3437"/>
            <w:vAlign w:val="center"/>
          </w:tcPr>
          <w:p>
            <w:r>
              <w:rPr>
                <w:sz w:val="16"/>
              </w:rPr>
            </w:r>
            <w:r>
              <w:rPr>
                <w:b w:val="0"/>
                <w:sz w:val="16"/>
              </w:rPr>
              <w:t>Strong capacity with manageable sensitivity to adverse conditions.</w:t>
            </w:r>
          </w:p>
        </w:tc>
        <w:tc>
          <w:tcPr>
            <w:tcW w:type="dxa" w:w="3437"/>
            <w:vAlign w:val="center"/>
          </w:tcPr>
          <w:p>
            <w:r>
              <w:rPr>
                <w:sz w:val="16"/>
              </w:rPr>
            </w:r>
            <w:r>
              <w:rPr>
                <w:b w:val="0"/>
                <w:sz w:val="16"/>
              </w:rPr>
              <w:t>Eligible, subject to tighter issuer/tenor review where applicable.</w:t>
            </w:r>
          </w:p>
        </w:tc>
      </w:tr>
      <w:tr>
        <w:trPr>
          <w:cantSplit/>
        </w:trPr>
        <w:tc>
          <w:tcPr>
            <w:tcW w:type="dxa" w:w="3437"/>
            <w:vAlign w:val="center"/>
          </w:tcPr>
          <w:p>
            <w:r>
              <w:rPr>
                <w:sz w:val="16"/>
              </w:rPr>
            </w:r>
            <w:r>
              <w:rPr>
                <w:b w:val="0"/>
                <w:sz w:val="16"/>
              </w:rPr>
              <w:t>IG3</w:t>
            </w:r>
          </w:p>
        </w:tc>
        <w:tc>
          <w:tcPr>
            <w:tcW w:type="dxa" w:w="3437"/>
            <w:vAlign w:val="center"/>
          </w:tcPr>
          <w:p>
            <w:r>
              <w:rPr>
                <w:sz w:val="16"/>
              </w:rPr>
            </w:r>
            <w:r>
              <w:rPr>
                <w:b w:val="0"/>
                <w:sz w:val="16"/>
              </w:rPr>
              <w:t>Adequate capacity but greater sensitivity to adverse conditions.</w:t>
            </w:r>
          </w:p>
        </w:tc>
        <w:tc>
          <w:tcPr>
            <w:tcW w:type="dxa" w:w="3437"/>
            <w:vAlign w:val="center"/>
          </w:tcPr>
          <w:p>
            <w:r>
              <w:rPr>
                <w:sz w:val="16"/>
              </w:rPr>
            </w:r>
            <w:r>
              <w:rPr>
                <w:b w:val="0"/>
                <w:sz w:val="16"/>
              </w:rPr>
              <w:t>Eligible only within restricted limits and enhanced monitoring.</w:t>
            </w:r>
          </w:p>
        </w:tc>
      </w:tr>
      <w:tr>
        <w:trPr>
          <w:cantSplit/>
        </w:trPr>
        <w:tc>
          <w:tcPr>
            <w:tcW w:type="dxa" w:w="3437"/>
            <w:vAlign w:val="center"/>
          </w:tcPr>
          <w:p>
            <w:r>
              <w:rPr>
                <w:sz w:val="16"/>
              </w:rPr>
            </w:r>
            <w:r>
              <w:rPr>
                <w:b w:val="0"/>
                <w:sz w:val="16"/>
              </w:rPr>
              <w:t>IG4</w:t>
            </w:r>
          </w:p>
        </w:tc>
        <w:tc>
          <w:tcPr>
            <w:tcW w:type="dxa" w:w="3437"/>
            <w:vAlign w:val="center"/>
          </w:tcPr>
          <w:p>
            <w:r>
              <w:rPr>
                <w:sz w:val="16"/>
              </w:rPr>
            </w:r>
            <w:r>
              <w:rPr>
                <w:b w:val="0"/>
                <w:sz w:val="16"/>
              </w:rPr>
              <w:t>Weak or uncertain capacity.</w:t>
            </w:r>
          </w:p>
        </w:tc>
        <w:tc>
          <w:tcPr>
            <w:tcW w:type="dxa" w:w="3437"/>
            <w:vAlign w:val="center"/>
          </w:tcPr>
          <w:p>
            <w:r>
              <w:rPr>
                <w:sz w:val="16"/>
              </w:rPr>
            </w:r>
            <w:r>
              <w:rPr>
                <w:b w:val="0"/>
                <w:sz w:val="16"/>
              </w:rPr>
              <w:t>No new purchase; hold/sell decision by committee.</w:t>
            </w:r>
          </w:p>
        </w:tc>
      </w:tr>
      <w:tr>
        <w:trPr>
          <w:cantSplit/>
        </w:trPr>
        <w:tc>
          <w:tcPr>
            <w:tcW w:type="dxa" w:w="3437"/>
            <w:vAlign w:val="center"/>
          </w:tcPr>
          <w:p>
            <w:r>
              <w:rPr>
                <w:sz w:val="16"/>
              </w:rPr>
            </w:r>
            <w:r>
              <w:rPr>
                <w:b w:val="0"/>
                <w:sz w:val="16"/>
              </w:rPr>
              <w:t>IG5</w:t>
            </w:r>
          </w:p>
        </w:tc>
        <w:tc>
          <w:tcPr>
            <w:tcW w:type="dxa" w:w="3437"/>
            <w:vAlign w:val="center"/>
          </w:tcPr>
          <w:p>
            <w:r>
              <w:rPr>
                <w:sz w:val="16"/>
              </w:rPr>
            </w:r>
            <w:r>
              <w:rPr>
                <w:b w:val="0"/>
                <w:sz w:val="16"/>
              </w:rPr>
              <w:t>Defaulted, distressed or unacceptable.</w:t>
            </w:r>
          </w:p>
        </w:tc>
        <w:tc>
          <w:tcPr>
            <w:tcW w:type="dxa" w:w="3437"/>
            <w:vAlign w:val="center"/>
          </w:tcPr>
          <w:p>
            <w:r>
              <w:rPr>
                <w:sz w:val="16"/>
              </w:rPr>
            </w:r>
            <w:r>
              <w:rPr>
                <w:b w:val="0"/>
                <w:sz w:val="16"/>
              </w:rPr>
              <w:t>No purchase; immediate escalation and impairment/workout assessment.</w:t>
            </w:r>
          </w:p>
        </w:tc>
      </w:tr>
    </w:tbl>
    <w:p/>
    <w:p>
      <w:pPr>
        <w:pStyle w:val="Heading1"/>
      </w:pPr>
      <w:r>
        <w:t>7. Portfolio Concentration Limits</w:t>
      </w:r>
    </w:p>
    <w:p>
      <w:r>
        <w:t>Concentration limits are designed to prevent correlated loss and liquidity stress. Limits are measured against the applicable investment portfolio unless otherwise stated.</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Exposure</w:t>
            </w:r>
          </w:p>
        </w:tc>
        <w:tc>
          <w:tcPr>
            <w:tcW w:type="dxa" w:w="3437"/>
            <w:vAlign w:val="center"/>
            <w:shd w:fill="17365D"/>
          </w:tcPr>
          <w:p>
            <w:r>
              <w:rPr>
                <w:sz w:val="16"/>
              </w:rPr>
            </w:r>
            <w:r>
              <w:rPr>
                <w:b/>
                <w:color w:val="FFFFFF"/>
                <w:sz w:val="16"/>
              </w:rPr>
              <w:t>Current Limit</w:t>
            </w:r>
          </w:p>
        </w:tc>
        <w:tc>
          <w:tcPr>
            <w:tcW w:type="dxa" w:w="3437"/>
            <w:vAlign w:val="center"/>
            <w:shd w:fill="17365D"/>
          </w:tcPr>
          <w:p>
            <w:r>
              <w:rPr>
                <w:sz w:val="16"/>
              </w:rPr>
            </w:r>
            <w:r>
              <w:rPr>
                <w:b/>
                <w:color w:val="FFFFFF"/>
                <w:sz w:val="16"/>
              </w:rPr>
              <w:t>Historical / Note</w:t>
            </w:r>
          </w:p>
        </w:tc>
      </w:tr>
      <w:tr>
        <w:trPr>
          <w:cantSplit/>
        </w:trPr>
        <w:tc>
          <w:tcPr>
            <w:tcW w:type="dxa" w:w="3437"/>
            <w:vAlign w:val="center"/>
          </w:tcPr>
          <w:p>
            <w:r>
              <w:rPr>
                <w:sz w:val="16"/>
              </w:rPr>
            </w:r>
            <w:r>
              <w:rPr>
                <w:b w:val="0"/>
                <w:sz w:val="16"/>
              </w:rPr>
              <w:t>Single corporate issuer</w:t>
            </w:r>
          </w:p>
        </w:tc>
        <w:tc>
          <w:tcPr>
            <w:tcW w:type="dxa" w:w="3437"/>
            <w:vAlign w:val="center"/>
          </w:tcPr>
          <w:p>
            <w:r>
              <w:rPr>
                <w:sz w:val="16"/>
              </w:rPr>
            </w:r>
            <w:r>
              <w:rPr>
                <w:b w:val="0"/>
                <w:sz w:val="16"/>
              </w:rPr>
              <w:t>≤7.5%</w:t>
            </w:r>
          </w:p>
        </w:tc>
        <w:tc>
          <w:tcPr>
            <w:tcW w:type="dxa" w:w="3437"/>
            <w:vAlign w:val="center"/>
          </w:tcPr>
          <w:p>
            <w:r>
              <w:rPr>
                <w:sz w:val="16"/>
              </w:rPr>
            </w:r>
            <w:r>
              <w:rPr>
                <w:b w:val="0"/>
                <w:sz w:val="16"/>
              </w:rPr>
              <w:t>INV-010 v1.6 permitted up to 10%.</w:t>
            </w:r>
          </w:p>
        </w:tc>
      </w:tr>
      <w:tr>
        <w:trPr>
          <w:cantSplit/>
        </w:trPr>
        <w:tc>
          <w:tcPr>
            <w:tcW w:type="dxa" w:w="3437"/>
            <w:vAlign w:val="center"/>
          </w:tcPr>
          <w:p>
            <w:r>
              <w:rPr>
                <w:sz w:val="16"/>
              </w:rPr>
            </w:r>
            <w:r>
              <w:rPr>
                <w:b w:val="0"/>
                <w:sz w:val="16"/>
              </w:rPr>
              <w:t>Connected corporate group</w:t>
            </w:r>
          </w:p>
        </w:tc>
        <w:tc>
          <w:tcPr>
            <w:tcW w:type="dxa" w:w="3437"/>
            <w:vAlign w:val="center"/>
          </w:tcPr>
          <w:p>
            <w:r>
              <w:rPr>
                <w:sz w:val="16"/>
              </w:rPr>
            </w:r>
            <w:r>
              <w:rPr>
                <w:b w:val="0"/>
                <w:sz w:val="16"/>
              </w:rPr>
              <w:t>≤12.5%</w:t>
            </w:r>
          </w:p>
        </w:tc>
        <w:tc>
          <w:tcPr>
            <w:tcW w:type="dxa" w:w="3437"/>
            <w:vAlign w:val="center"/>
          </w:tcPr>
          <w:p>
            <w:r>
              <w:rPr>
                <w:sz w:val="16"/>
              </w:rPr>
            </w:r>
            <w:r>
              <w:rPr>
                <w:b w:val="0"/>
                <w:sz w:val="16"/>
              </w:rPr>
              <w:t>v1.6 permitted up to 15%.</w:t>
            </w:r>
          </w:p>
        </w:tc>
      </w:tr>
      <w:tr>
        <w:trPr>
          <w:cantSplit/>
        </w:trPr>
        <w:tc>
          <w:tcPr>
            <w:tcW w:type="dxa" w:w="3437"/>
            <w:vAlign w:val="center"/>
          </w:tcPr>
          <w:p>
            <w:r>
              <w:rPr>
                <w:sz w:val="16"/>
              </w:rPr>
            </w:r>
            <w:r>
              <w:rPr>
                <w:b w:val="0"/>
                <w:sz w:val="16"/>
              </w:rPr>
              <w:t>Single approved bank counterparty</w:t>
            </w:r>
          </w:p>
        </w:tc>
        <w:tc>
          <w:tcPr>
            <w:tcW w:type="dxa" w:w="3437"/>
            <w:vAlign w:val="center"/>
          </w:tcPr>
          <w:p>
            <w:r>
              <w:rPr>
                <w:sz w:val="16"/>
              </w:rPr>
            </w:r>
            <w:r>
              <w:rPr>
                <w:b w:val="0"/>
                <w:sz w:val="16"/>
              </w:rPr>
              <w:t>≤10%</w:t>
            </w:r>
          </w:p>
        </w:tc>
        <w:tc>
          <w:tcPr>
            <w:tcW w:type="dxa" w:w="3437"/>
            <w:vAlign w:val="center"/>
          </w:tcPr>
          <w:p>
            <w:r>
              <w:rPr>
                <w:sz w:val="16"/>
              </w:rPr>
            </w:r>
            <w:r>
              <w:rPr>
                <w:b w:val="0"/>
                <w:sz w:val="16"/>
              </w:rPr>
              <w:t>May be lower under IDS-042 or committee decision.</w:t>
            </w:r>
          </w:p>
        </w:tc>
      </w:tr>
      <w:tr>
        <w:trPr>
          <w:cantSplit/>
        </w:trPr>
        <w:tc>
          <w:tcPr>
            <w:tcW w:type="dxa" w:w="3437"/>
            <w:vAlign w:val="center"/>
          </w:tcPr>
          <w:p>
            <w:r>
              <w:rPr>
                <w:sz w:val="16"/>
              </w:rPr>
            </w:r>
            <w:r>
              <w:rPr>
                <w:b w:val="0"/>
                <w:sz w:val="16"/>
              </w:rPr>
              <w:t>Aggregate non-government credit exposure</w:t>
            </w:r>
          </w:p>
        </w:tc>
        <w:tc>
          <w:tcPr>
            <w:tcW w:type="dxa" w:w="3437"/>
            <w:vAlign w:val="center"/>
          </w:tcPr>
          <w:p>
            <w:r>
              <w:rPr>
                <w:sz w:val="16"/>
              </w:rPr>
            </w:r>
            <w:r>
              <w:rPr>
                <w:b w:val="0"/>
                <w:sz w:val="16"/>
              </w:rPr>
              <w:t>≤45%</w:t>
            </w:r>
          </w:p>
        </w:tc>
        <w:tc>
          <w:tcPr>
            <w:tcW w:type="dxa" w:w="3437"/>
            <w:vAlign w:val="center"/>
          </w:tcPr>
          <w:p>
            <w:r>
              <w:rPr>
                <w:sz w:val="16"/>
              </w:rPr>
            </w:r>
            <w:r>
              <w:rPr>
                <w:b w:val="0"/>
                <w:sz w:val="16"/>
              </w:rPr>
              <w:t>Excludes qualifying government securities.</w:t>
            </w:r>
          </w:p>
        </w:tc>
      </w:tr>
      <w:tr>
        <w:trPr>
          <w:cantSplit/>
        </w:trPr>
        <w:tc>
          <w:tcPr>
            <w:tcW w:type="dxa" w:w="3437"/>
            <w:vAlign w:val="center"/>
          </w:tcPr>
          <w:p>
            <w:r>
              <w:rPr>
                <w:sz w:val="16"/>
              </w:rPr>
            </w:r>
            <w:r>
              <w:rPr>
                <w:b w:val="0"/>
                <w:sz w:val="16"/>
              </w:rPr>
              <w:t>Aggregate IG3 exposure</w:t>
            </w:r>
          </w:p>
        </w:tc>
        <w:tc>
          <w:tcPr>
            <w:tcW w:type="dxa" w:w="3437"/>
            <w:vAlign w:val="center"/>
          </w:tcPr>
          <w:p>
            <w:r>
              <w:rPr>
                <w:sz w:val="16"/>
              </w:rPr>
            </w:r>
            <w:r>
              <w:rPr>
                <w:b w:val="0"/>
                <w:sz w:val="16"/>
              </w:rPr>
              <w:t>≤15%</w:t>
            </w:r>
          </w:p>
        </w:tc>
        <w:tc>
          <w:tcPr>
            <w:tcW w:type="dxa" w:w="3437"/>
            <w:vAlign w:val="center"/>
          </w:tcPr>
          <w:p>
            <w:r>
              <w:rPr>
                <w:sz w:val="16"/>
              </w:rPr>
            </w:r>
            <w:r>
              <w:rPr>
                <w:b w:val="0"/>
                <w:sz w:val="16"/>
              </w:rPr>
              <w:t>New IG3 purchase prohibited if limit would be exceeded.</w:t>
            </w:r>
          </w:p>
        </w:tc>
      </w:tr>
      <w:tr>
        <w:trPr>
          <w:cantSplit/>
        </w:trPr>
        <w:tc>
          <w:tcPr>
            <w:tcW w:type="dxa" w:w="3437"/>
            <w:vAlign w:val="center"/>
          </w:tcPr>
          <w:p>
            <w:r>
              <w:rPr>
                <w:sz w:val="16"/>
              </w:rPr>
            </w:r>
            <w:r>
              <w:rPr>
                <w:b w:val="0"/>
                <w:sz w:val="16"/>
              </w:rPr>
              <w:t>Single sector non-government exposure</w:t>
            </w:r>
          </w:p>
        </w:tc>
        <w:tc>
          <w:tcPr>
            <w:tcW w:type="dxa" w:w="3437"/>
            <w:vAlign w:val="center"/>
          </w:tcPr>
          <w:p>
            <w:r>
              <w:rPr>
                <w:sz w:val="16"/>
              </w:rPr>
            </w:r>
            <w:r>
              <w:rPr>
                <w:b w:val="0"/>
                <w:sz w:val="16"/>
              </w:rPr>
              <w:t>≤20%</w:t>
            </w:r>
          </w:p>
        </w:tc>
        <w:tc>
          <w:tcPr>
            <w:tcW w:type="dxa" w:w="3437"/>
            <w:vAlign w:val="center"/>
          </w:tcPr>
          <w:p>
            <w:r>
              <w:rPr>
                <w:sz w:val="16"/>
              </w:rPr>
            </w:r>
            <w:r>
              <w:rPr>
                <w:b w:val="0"/>
                <w:sz w:val="16"/>
              </w:rPr>
              <w:t>Sector mapping maintained by Investment Risk.</w:t>
            </w:r>
          </w:p>
        </w:tc>
      </w:tr>
      <w:tr>
        <w:trPr>
          <w:cantSplit/>
        </w:trPr>
        <w:tc>
          <w:tcPr>
            <w:tcW w:type="dxa" w:w="3437"/>
            <w:vAlign w:val="center"/>
          </w:tcPr>
          <w:p>
            <w:r>
              <w:rPr>
                <w:sz w:val="16"/>
              </w:rPr>
            </w:r>
            <w:r>
              <w:rPr>
                <w:b w:val="0"/>
                <w:sz w:val="16"/>
              </w:rPr>
              <w:t>Unsecured financial-sector exposure</w:t>
            </w:r>
          </w:p>
        </w:tc>
        <w:tc>
          <w:tcPr>
            <w:tcW w:type="dxa" w:w="3437"/>
            <w:vAlign w:val="center"/>
          </w:tcPr>
          <w:p>
            <w:r>
              <w:rPr>
                <w:sz w:val="16"/>
              </w:rPr>
            </w:r>
            <w:r>
              <w:rPr>
                <w:b w:val="0"/>
                <w:sz w:val="16"/>
              </w:rPr>
              <w:t>≤25%</w:t>
            </w:r>
          </w:p>
        </w:tc>
        <w:tc>
          <w:tcPr>
            <w:tcW w:type="dxa" w:w="3437"/>
            <w:vAlign w:val="center"/>
          </w:tcPr>
          <w:p>
            <w:r>
              <w:rPr>
                <w:sz w:val="16"/>
              </w:rPr>
            </w:r>
            <w:r>
              <w:rPr>
                <w:b w:val="0"/>
                <w:sz w:val="16"/>
              </w:rPr>
              <w:t>Aggregate portfolio limit.</w:t>
            </w:r>
          </w:p>
        </w:tc>
      </w:tr>
    </w:tbl>
    <w:p/>
    <w:p>
      <w:pPr>
        <w:pStyle w:val="Heading1"/>
      </w:pPr>
      <w:r>
        <w:t>8. Liquidity and Maturity</w:t>
      </w:r>
    </w:p>
    <w:p>
      <w:r>
        <w:t>The portfolio shall maintain liquidity appropriate to deposit, lending and operational cash-flow requirements.</w:t>
      </w:r>
    </w:p>
    <w:p>
      <w:r>
        <w:t>INV-010 v1.6 used a 15% 30-day liquidity floor and a 4.0-year duration ceiling. Those historical limits remain relevant to decisions made before 1 January 2026 but do not apply to current purchases.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Metric</w:t>
            </w:r>
          </w:p>
        </w:tc>
        <w:tc>
          <w:tcPr>
            <w:tcW w:type="dxa" w:w="5155"/>
            <w:vAlign w:val="center"/>
            <w:shd w:fill="17365D"/>
          </w:tcPr>
          <w:p>
            <w:r>
              <w:rPr>
                <w:sz w:val="16"/>
              </w:rPr>
            </w:r>
            <w:r>
              <w:rPr>
                <w:b/>
                <w:color w:val="FFFFFF"/>
                <w:sz w:val="16"/>
              </w:rPr>
              <w:t>Policy Limit / Standard</w:t>
            </w:r>
          </w:p>
        </w:tc>
      </w:tr>
      <w:tr>
        <w:trPr>
          <w:cantSplit/>
        </w:trPr>
        <w:tc>
          <w:tcPr>
            <w:tcW w:type="dxa" w:w="5155"/>
            <w:vAlign w:val="center"/>
          </w:tcPr>
          <w:p>
            <w:r>
              <w:rPr>
                <w:sz w:val="16"/>
              </w:rPr>
            </w:r>
            <w:r>
              <w:rPr>
                <w:b w:val="0"/>
                <w:sz w:val="16"/>
              </w:rPr>
              <w:t>Assets realisable or maturing within 30 days</w:t>
            </w:r>
          </w:p>
        </w:tc>
        <w:tc>
          <w:tcPr>
            <w:tcW w:type="dxa" w:w="5155"/>
            <w:vAlign w:val="center"/>
          </w:tcPr>
          <w:p>
            <w:r>
              <w:rPr>
                <w:sz w:val="16"/>
              </w:rPr>
            </w:r>
            <w:r>
              <w:rPr>
                <w:b w:val="0"/>
                <w:sz w:val="16"/>
              </w:rPr>
              <w:t>At least 20% of investment portfolio</w:t>
            </w:r>
          </w:p>
        </w:tc>
      </w:tr>
      <w:tr>
        <w:trPr>
          <w:cantSplit/>
        </w:trPr>
        <w:tc>
          <w:tcPr>
            <w:tcW w:type="dxa" w:w="5155"/>
            <w:vAlign w:val="center"/>
          </w:tcPr>
          <w:p>
            <w:r>
              <w:rPr>
                <w:sz w:val="16"/>
              </w:rPr>
            </w:r>
            <w:r>
              <w:rPr>
                <w:b w:val="0"/>
                <w:sz w:val="16"/>
              </w:rPr>
              <w:t>Assets realisable or maturing within 90 days</w:t>
            </w:r>
          </w:p>
        </w:tc>
        <w:tc>
          <w:tcPr>
            <w:tcW w:type="dxa" w:w="5155"/>
            <w:vAlign w:val="center"/>
          </w:tcPr>
          <w:p>
            <w:r>
              <w:rPr>
                <w:sz w:val="16"/>
              </w:rPr>
            </w:r>
            <w:r>
              <w:rPr>
                <w:b w:val="0"/>
                <w:sz w:val="16"/>
              </w:rPr>
              <w:t>At least 35%</w:t>
            </w:r>
          </w:p>
        </w:tc>
      </w:tr>
      <w:tr>
        <w:trPr>
          <w:cantSplit/>
        </w:trPr>
        <w:tc>
          <w:tcPr>
            <w:tcW w:type="dxa" w:w="5155"/>
            <w:vAlign w:val="center"/>
          </w:tcPr>
          <w:p>
            <w:r>
              <w:rPr>
                <w:sz w:val="16"/>
              </w:rPr>
            </w:r>
            <w:r>
              <w:rPr>
                <w:b w:val="0"/>
                <w:sz w:val="16"/>
              </w:rPr>
              <w:t>Portfolio weighted-average modified duration</w:t>
            </w:r>
          </w:p>
        </w:tc>
        <w:tc>
          <w:tcPr>
            <w:tcW w:type="dxa" w:w="5155"/>
            <w:vAlign w:val="center"/>
          </w:tcPr>
          <w:p>
            <w:r>
              <w:rPr>
                <w:sz w:val="16"/>
              </w:rPr>
            </w:r>
            <w:r>
              <w:rPr>
                <w:b w:val="0"/>
                <w:sz w:val="16"/>
              </w:rPr>
              <w:t>≤3.5 years</w:t>
            </w:r>
          </w:p>
        </w:tc>
      </w:tr>
      <w:tr>
        <w:trPr>
          <w:cantSplit/>
        </w:trPr>
        <w:tc>
          <w:tcPr>
            <w:tcW w:type="dxa" w:w="5155"/>
            <w:vAlign w:val="center"/>
          </w:tcPr>
          <w:p>
            <w:r>
              <w:rPr>
                <w:sz w:val="16"/>
              </w:rPr>
            </w:r>
            <w:r>
              <w:rPr>
                <w:b w:val="0"/>
                <w:sz w:val="16"/>
              </w:rPr>
              <w:t>Single non-government security legal final maturity</w:t>
            </w:r>
          </w:p>
        </w:tc>
        <w:tc>
          <w:tcPr>
            <w:tcW w:type="dxa" w:w="5155"/>
            <w:vAlign w:val="center"/>
          </w:tcPr>
          <w:p>
            <w:r>
              <w:rPr>
                <w:sz w:val="16"/>
              </w:rPr>
            </w:r>
            <w:r>
              <w:rPr>
                <w:b w:val="0"/>
                <w:sz w:val="16"/>
              </w:rPr>
              <w:t>Normally ≤7 years</w:t>
            </w:r>
          </w:p>
        </w:tc>
      </w:tr>
      <w:tr>
        <w:trPr>
          <w:cantSplit/>
        </w:trPr>
        <w:tc>
          <w:tcPr>
            <w:tcW w:type="dxa" w:w="5155"/>
            <w:vAlign w:val="center"/>
          </w:tcPr>
          <w:p>
            <w:r>
              <w:rPr>
                <w:sz w:val="16"/>
              </w:rPr>
            </w:r>
            <w:r>
              <w:rPr>
                <w:b w:val="0"/>
                <w:sz w:val="16"/>
              </w:rPr>
              <w:t>Single government security maturity</w:t>
            </w:r>
          </w:p>
        </w:tc>
        <w:tc>
          <w:tcPr>
            <w:tcW w:type="dxa" w:w="5155"/>
            <w:vAlign w:val="center"/>
          </w:tcPr>
          <w:p>
            <w:r>
              <w:rPr>
                <w:sz w:val="16"/>
              </w:rPr>
            </w:r>
            <w:r>
              <w:rPr>
                <w:b w:val="0"/>
                <w:sz w:val="16"/>
              </w:rPr>
              <w:t>≤15 years, subject to duration appetite</w:t>
            </w:r>
          </w:p>
        </w:tc>
      </w:tr>
      <w:tr>
        <w:trPr>
          <w:cantSplit/>
        </w:trPr>
        <w:tc>
          <w:tcPr>
            <w:tcW w:type="dxa" w:w="5155"/>
            <w:vAlign w:val="center"/>
          </w:tcPr>
          <w:p>
            <w:r>
              <w:rPr>
                <w:sz w:val="16"/>
              </w:rPr>
            </w:r>
            <w:r>
              <w:rPr>
                <w:b w:val="0"/>
                <w:sz w:val="16"/>
              </w:rPr>
              <w:t>Money-market instrument maturity</w:t>
            </w:r>
          </w:p>
        </w:tc>
        <w:tc>
          <w:tcPr>
            <w:tcW w:type="dxa" w:w="5155"/>
            <w:vAlign w:val="center"/>
          </w:tcPr>
          <w:p>
            <w:r>
              <w:rPr>
                <w:sz w:val="16"/>
              </w:rPr>
            </w:r>
            <w:r>
              <w:rPr>
                <w:b w:val="0"/>
                <w:sz w:val="16"/>
              </w:rPr>
              <w:t>Normally ≤365 days</w:t>
            </w:r>
          </w:p>
        </w:tc>
      </w:tr>
    </w:tbl>
    <w:p/>
    <w:p>
      <w:pPr>
        <w:pStyle w:val="Heading1"/>
      </w:pPr>
      <w:r>
        <w:t>9. Issuer and Counterparty Due Diligence</w:t>
      </w:r>
    </w:p>
    <w:p>
      <w:r>
        <w:t>Before first investment and at scheduled review, the first line shall assess financial capacity, ownership, governance, market access, liquidity, adverse information, group exposure and any material legal/compliance concerns.</w:t>
      </w:r>
    </w:p>
    <w:p>
      <w:pPr>
        <w:pStyle w:val="ListBullet"/>
      </w:pPr>
      <w:r>
        <w:t>Annual review for IG1–IG2 issuers unless a shorter period is imposed.</w:t>
      </w:r>
    </w:p>
    <w:p>
      <w:pPr>
        <w:pStyle w:val="ListBullet"/>
      </w:pPr>
      <w:r>
        <w:t>At least semiannual review for IG3 issuers.</w:t>
      </w:r>
    </w:p>
    <w:p>
      <w:pPr>
        <w:pStyle w:val="ListBullet"/>
      </w:pPr>
      <w:r>
        <w:t>Immediate trigger review following material downgrade, covenant breach, payment delay, restructuring, fraud concern or severe adverse information.</w:t>
      </w:r>
    </w:p>
    <w:p>
      <w:pPr>
        <w:pStyle w:val="ListBullet"/>
      </w:pPr>
      <w:r>
        <w:t>Independent Risk challenge for material new issuers or exposures approaching concentration limits.</w:t>
      </w:r>
    </w:p>
    <w:p>
      <w:pPr>
        <w:pStyle w:val="Heading1"/>
      </w:pPr>
      <w:r>
        <w:t>10. Approval of New Instruments and Issuers</w:t>
      </w:r>
    </w:p>
    <w:p>
      <w:r>
        <w:t>An instrument may be eligible by type but still require issuer approval and delegated authority. Product eligibility does not create purchase authority.</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Decision</w:t>
            </w:r>
          </w:p>
        </w:tc>
        <w:tc>
          <w:tcPr>
            <w:tcW w:type="dxa" w:w="5155"/>
            <w:vAlign w:val="center"/>
            <w:shd w:fill="17365D"/>
          </w:tcPr>
          <w:p>
            <w:r>
              <w:rPr>
                <w:sz w:val="16"/>
              </w:rPr>
            </w:r>
            <w:r>
              <w:rPr>
                <w:b/>
                <w:color w:val="FFFFFF"/>
                <w:sz w:val="16"/>
              </w:rPr>
              <w:t>Minimum Approval</w:t>
            </w:r>
          </w:p>
        </w:tc>
      </w:tr>
      <w:tr>
        <w:trPr>
          <w:cantSplit/>
        </w:trPr>
        <w:tc>
          <w:tcPr>
            <w:tcW w:type="dxa" w:w="5155"/>
            <w:vAlign w:val="center"/>
          </w:tcPr>
          <w:p>
            <w:r>
              <w:rPr>
                <w:sz w:val="16"/>
              </w:rPr>
            </w:r>
            <w:r>
              <w:rPr>
                <w:b w:val="0"/>
                <w:sz w:val="16"/>
              </w:rPr>
              <w:t>New issuer within existing eligible instrument class</w:t>
            </w:r>
          </w:p>
        </w:tc>
        <w:tc>
          <w:tcPr>
            <w:tcW w:type="dxa" w:w="5155"/>
            <w:vAlign w:val="center"/>
          </w:tcPr>
          <w:p>
            <w:r>
              <w:rPr>
                <w:sz w:val="16"/>
              </w:rPr>
            </w:r>
            <w:r>
              <w:rPr>
                <w:b w:val="0"/>
                <w:sz w:val="16"/>
              </w:rPr>
              <w:t>Investment Credit Committee or delegated authority under IDS-042</w:t>
            </w:r>
          </w:p>
        </w:tc>
      </w:tr>
      <w:tr>
        <w:trPr>
          <w:cantSplit/>
        </w:trPr>
        <w:tc>
          <w:tcPr>
            <w:tcW w:type="dxa" w:w="5155"/>
            <w:vAlign w:val="center"/>
          </w:tcPr>
          <w:p>
            <w:r>
              <w:rPr>
                <w:sz w:val="16"/>
              </w:rPr>
            </w:r>
            <w:r>
              <w:rPr>
                <w:b w:val="0"/>
                <w:sz w:val="16"/>
              </w:rPr>
              <w:t>New instrument structure within approved class</w:t>
            </w:r>
          </w:p>
        </w:tc>
        <w:tc>
          <w:tcPr>
            <w:tcW w:type="dxa" w:w="5155"/>
            <w:vAlign w:val="center"/>
          </w:tcPr>
          <w:p>
            <w:r>
              <w:rPr>
                <w:sz w:val="16"/>
              </w:rPr>
            </w:r>
            <w:r>
              <w:rPr>
                <w:b w:val="0"/>
                <w:sz w:val="16"/>
              </w:rPr>
              <w:t>Head Investment Management + Risk concurrence</w:t>
            </w:r>
          </w:p>
        </w:tc>
      </w:tr>
      <w:tr>
        <w:trPr>
          <w:cantSplit/>
        </w:trPr>
        <w:tc>
          <w:tcPr>
            <w:tcW w:type="dxa" w:w="5155"/>
            <w:vAlign w:val="center"/>
          </w:tcPr>
          <w:p>
            <w:r>
              <w:rPr>
                <w:sz w:val="16"/>
              </w:rPr>
            </w:r>
            <w:r>
              <w:rPr>
                <w:b w:val="0"/>
                <w:sz w:val="16"/>
              </w:rPr>
              <w:t>Restricted structured credit</w:t>
            </w:r>
          </w:p>
        </w:tc>
        <w:tc>
          <w:tcPr>
            <w:tcW w:type="dxa" w:w="5155"/>
            <w:vAlign w:val="center"/>
          </w:tcPr>
          <w:p>
            <w:r>
              <w:rPr>
                <w:sz w:val="16"/>
              </w:rPr>
            </w:r>
            <w:r>
              <w:rPr>
                <w:b w:val="0"/>
                <w:sz w:val="16"/>
              </w:rPr>
              <w:t>Board Risk Committee</w:t>
            </w:r>
          </w:p>
        </w:tc>
      </w:tr>
      <w:tr>
        <w:trPr>
          <w:cantSplit/>
        </w:trPr>
        <w:tc>
          <w:tcPr>
            <w:tcW w:type="dxa" w:w="5155"/>
            <w:vAlign w:val="center"/>
          </w:tcPr>
          <w:p>
            <w:r>
              <w:rPr>
                <w:sz w:val="16"/>
              </w:rPr>
            </w:r>
            <w:r>
              <w:rPr>
                <w:b w:val="0"/>
                <w:sz w:val="16"/>
              </w:rPr>
              <w:t>Exception to Policy limit</w:t>
            </w:r>
          </w:p>
        </w:tc>
        <w:tc>
          <w:tcPr>
            <w:tcW w:type="dxa" w:w="5155"/>
            <w:vAlign w:val="center"/>
          </w:tcPr>
          <w:p>
            <w:r>
              <w:rPr>
                <w:sz w:val="16"/>
              </w:rPr>
            </w:r>
            <w:r>
              <w:rPr>
                <w:b w:val="0"/>
                <w:sz w:val="16"/>
              </w:rPr>
              <w:t>Authority specified in IDS-042; material exceptions may require Board Risk Committee</w:t>
            </w:r>
          </w:p>
        </w:tc>
      </w:tr>
      <w:tr>
        <w:trPr>
          <w:cantSplit/>
        </w:trPr>
        <w:tc>
          <w:tcPr>
            <w:tcW w:type="dxa" w:w="5155"/>
            <w:vAlign w:val="center"/>
          </w:tcPr>
          <w:p>
            <w:r>
              <w:rPr>
                <w:sz w:val="16"/>
              </w:rPr>
            </w:r>
            <w:r>
              <w:rPr>
                <w:b w:val="0"/>
                <w:sz w:val="16"/>
              </w:rPr>
              <w:t>Re-entry of previously suspended issuer</w:t>
            </w:r>
          </w:p>
        </w:tc>
        <w:tc>
          <w:tcPr>
            <w:tcW w:type="dxa" w:w="5155"/>
            <w:vAlign w:val="center"/>
          </w:tcPr>
          <w:p>
            <w:r>
              <w:rPr>
                <w:sz w:val="16"/>
              </w:rPr>
            </w:r>
            <w:r>
              <w:rPr>
                <w:b w:val="0"/>
                <w:sz w:val="16"/>
              </w:rPr>
              <w:t>Investment &amp; Treasury Committee with Risk concurrence</w:t>
            </w:r>
          </w:p>
        </w:tc>
      </w:tr>
    </w:tbl>
    <w:p/>
    <w:p>
      <w:pPr>
        <w:pStyle w:val="Heading1"/>
      </w:pPr>
      <w:r>
        <w:t>11. Valuation and Independent Price Verification</w:t>
      </w:r>
    </w:p>
    <w:p>
      <w:r>
        <w:t>Investments shall be valued using approved sources and methods. Material valuation uncertainty must be escalated before performance or risk reports are finalized.</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Condition</w:t>
            </w:r>
          </w:p>
        </w:tc>
        <w:tc>
          <w:tcPr>
            <w:tcW w:type="dxa" w:w="5155"/>
            <w:vAlign w:val="center"/>
            <w:shd w:fill="17365D"/>
          </w:tcPr>
          <w:p>
            <w:r>
              <w:rPr>
                <w:sz w:val="16"/>
              </w:rPr>
            </w:r>
            <w:r>
              <w:rPr>
                <w:b/>
                <w:color w:val="FFFFFF"/>
                <w:sz w:val="16"/>
              </w:rPr>
              <w:t>Required Action</w:t>
            </w:r>
          </w:p>
        </w:tc>
      </w:tr>
      <w:tr>
        <w:trPr>
          <w:cantSplit/>
        </w:trPr>
        <w:tc>
          <w:tcPr>
            <w:tcW w:type="dxa" w:w="5155"/>
            <w:vAlign w:val="center"/>
          </w:tcPr>
          <w:p>
            <w:r>
              <w:rPr>
                <w:sz w:val="16"/>
              </w:rPr>
            </w:r>
            <w:r>
              <w:rPr>
                <w:b w:val="0"/>
                <w:sz w:val="16"/>
              </w:rPr>
              <w:t>Primary vs independent price difference ≤0.50%</w:t>
            </w:r>
          </w:p>
        </w:tc>
        <w:tc>
          <w:tcPr>
            <w:tcW w:type="dxa" w:w="5155"/>
            <w:vAlign w:val="center"/>
          </w:tcPr>
          <w:p>
            <w:r>
              <w:rPr>
                <w:sz w:val="16"/>
              </w:rPr>
            </w:r>
            <w:r>
              <w:rPr>
                <w:b w:val="0"/>
                <w:sz w:val="16"/>
              </w:rPr>
              <w:t>Record; no escalation unless trend indicates issue.</w:t>
            </w:r>
          </w:p>
        </w:tc>
      </w:tr>
      <w:tr>
        <w:trPr>
          <w:cantSplit/>
        </w:trPr>
        <w:tc>
          <w:tcPr>
            <w:tcW w:type="dxa" w:w="5155"/>
            <w:vAlign w:val="center"/>
          </w:tcPr>
          <w:p>
            <w:r>
              <w:rPr>
                <w:sz w:val="16"/>
              </w:rPr>
            </w:r>
            <w:r>
              <w:rPr>
                <w:b w:val="0"/>
                <w:sz w:val="16"/>
              </w:rPr>
              <w:t>Difference &gt;0.50% to 0.75%</w:t>
            </w:r>
          </w:p>
        </w:tc>
        <w:tc>
          <w:tcPr>
            <w:tcW w:type="dxa" w:w="5155"/>
            <w:vAlign w:val="center"/>
          </w:tcPr>
          <w:p>
            <w:r>
              <w:rPr>
                <w:sz w:val="16"/>
              </w:rPr>
            </w:r>
            <w:r>
              <w:rPr>
                <w:b w:val="0"/>
                <w:sz w:val="16"/>
              </w:rPr>
              <w:t>Dealer/operations review and source validation.</w:t>
            </w:r>
          </w:p>
        </w:tc>
      </w:tr>
      <w:tr>
        <w:trPr>
          <w:cantSplit/>
        </w:trPr>
        <w:tc>
          <w:tcPr>
            <w:tcW w:type="dxa" w:w="5155"/>
            <w:vAlign w:val="center"/>
          </w:tcPr>
          <w:p>
            <w:r>
              <w:rPr>
                <w:sz w:val="16"/>
              </w:rPr>
            </w:r>
            <w:r>
              <w:rPr>
                <w:b w:val="0"/>
                <w:sz w:val="16"/>
              </w:rPr>
              <w:t>Difference &gt;0.75%</w:t>
            </w:r>
          </w:p>
        </w:tc>
        <w:tc>
          <w:tcPr>
            <w:tcW w:type="dxa" w:w="5155"/>
            <w:vAlign w:val="center"/>
          </w:tcPr>
          <w:p>
            <w:r>
              <w:rPr>
                <w:sz w:val="16"/>
              </w:rPr>
            </w:r>
            <w:r>
              <w:rPr>
                <w:b w:val="0"/>
                <w:sz w:val="16"/>
              </w:rPr>
              <w:t>Independent Price Verification exception and Risk notification.</w:t>
            </w:r>
          </w:p>
        </w:tc>
      </w:tr>
      <w:tr>
        <w:trPr>
          <w:cantSplit/>
        </w:trPr>
        <w:tc>
          <w:tcPr>
            <w:tcW w:type="dxa" w:w="5155"/>
            <w:vAlign w:val="center"/>
          </w:tcPr>
          <w:p>
            <w:r>
              <w:rPr>
                <w:sz w:val="16"/>
              </w:rPr>
            </w:r>
            <w:r>
              <w:rPr>
                <w:b w:val="0"/>
                <w:sz w:val="16"/>
              </w:rPr>
              <w:t>Illiquid or no reliable external price</w:t>
            </w:r>
          </w:p>
        </w:tc>
        <w:tc>
          <w:tcPr>
            <w:tcW w:type="dxa" w:w="5155"/>
            <w:vAlign w:val="center"/>
          </w:tcPr>
          <w:p>
            <w:r>
              <w:rPr>
                <w:sz w:val="16"/>
              </w:rPr>
            </w:r>
            <w:r>
              <w:rPr>
                <w:b w:val="0"/>
                <w:sz w:val="16"/>
              </w:rPr>
              <w:t>Approved valuation methodology and documented valuation committee review.</w:t>
            </w:r>
          </w:p>
        </w:tc>
      </w:tr>
      <w:tr>
        <w:trPr>
          <w:cantSplit/>
        </w:trPr>
        <w:tc>
          <w:tcPr>
            <w:tcW w:type="dxa" w:w="5155"/>
            <w:vAlign w:val="center"/>
          </w:tcPr>
          <w:p>
            <w:r>
              <w:rPr>
                <w:sz w:val="16"/>
              </w:rPr>
            </w:r>
            <w:r>
              <w:rPr>
                <w:b w:val="0"/>
                <w:sz w:val="16"/>
              </w:rPr>
              <w:t>Material valuation model change</w:t>
            </w:r>
          </w:p>
        </w:tc>
        <w:tc>
          <w:tcPr>
            <w:tcW w:type="dxa" w:w="5155"/>
            <w:vAlign w:val="center"/>
          </w:tcPr>
          <w:p>
            <w:r>
              <w:rPr>
                <w:sz w:val="16"/>
              </w:rPr>
            </w:r>
            <w:r>
              <w:rPr>
                <w:b w:val="0"/>
                <w:sz w:val="16"/>
              </w:rPr>
              <w:t>Model Risk review under RMF-008 where applicable.</w:t>
            </w:r>
          </w:p>
        </w:tc>
      </w:tr>
    </w:tbl>
    <w:p/>
    <w:p>
      <w:pPr>
        <w:pStyle w:val="Heading1"/>
      </w:pPr>
      <w:r>
        <w:t>12. Market Risk and Interest-Rate Risk</w:t>
      </w:r>
    </w:p>
    <w:p>
      <w:r>
        <w:t>Investment Management shall monitor duration, repricing, mark-to-market sensitivity and stress loss. Positions shall not be constructed solely to increase reported yield by taking hidden duration or liquidity risk.</w:t>
      </w:r>
    </w:p>
    <w:p>
      <w:pPr>
        <w:pStyle w:val="ListBullet"/>
      </w:pPr>
      <w:r>
        <w:t>Daily duration and valuation monitoring for actively managed portfolios.</w:t>
      </w:r>
    </w:p>
    <w:p>
      <w:pPr>
        <w:pStyle w:val="ListBullet"/>
      </w:pPr>
      <w:r>
        <w:t>Weekly parallel and non-parallel rate-shock analysis for material fixed-income books.</w:t>
      </w:r>
    </w:p>
    <w:p>
      <w:pPr>
        <w:pStyle w:val="ListBullet"/>
      </w:pPr>
      <w:r>
        <w:t>Monthly concentration and stress reporting to the Investment &amp; Treasury Committee.</w:t>
      </w:r>
    </w:p>
    <w:p>
      <w:pPr>
        <w:pStyle w:val="ListBullet"/>
      </w:pPr>
      <w:r>
        <w:t>Immediate escalation of material loss or limit breach.</w:t>
      </w:r>
    </w:p>
    <w:p>
      <w:pPr>
        <w:pStyle w:val="Heading1"/>
      </w:pPr>
      <w:r>
        <w:t>13. Foreign Exchange and Hedging</w:t>
      </w:r>
    </w:p>
    <w:p>
      <w:r>
        <w:t>Foreign-currency exposure is not an ordinary investment objective. Any permitted hedge shall be linked to an identified underlying exposure, documented and executed within delegated authority.</w:t>
      </w:r>
    </w:p>
    <w:p>
      <w:r>
        <w:t>A derivative or hedge used to create leveraged directional exposure is prohibited. Hedging documentation shall identify the underlying exposure, notional, tenor, counterparty, authority and expected risk reduction.</w:t>
      </w:r>
    </w:p>
    <w:p>
      <w:pPr>
        <w:pStyle w:val="Heading1"/>
      </w:pPr>
      <w:r>
        <w:t>14. Pre-Trade Controls</w:t>
      </w:r>
    </w:p>
    <w:p>
      <w:r>
        <w:t>Before execution, the maker shall confirm instrument eligibility, issuer approval, limit headroom, price reasonableness, authority and settlement instructions.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Control</w:t>
            </w:r>
          </w:p>
        </w:tc>
        <w:tc>
          <w:tcPr>
            <w:tcW w:type="dxa" w:w="3437"/>
            <w:vAlign w:val="center"/>
            <w:shd w:fill="17365D"/>
          </w:tcPr>
          <w:p>
            <w:r>
              <w:rPr>
                <w:sz w:val="16"/>
              </w:rPr>
            </w:r>
            <w:r>
              <w:rPr>
                <w:b/>
                <w:color w:val="FFFFFF"/>
                <w:sz w:val="16"/>
              </w:rPr>
              <w:t>Maker Evidence</w:t>
            </w:r>
          </w:p>
        </w:tc>
        <w:tc>
          <w:tcPr>
            <w:tcW w:type="dxa" w:w="3437"/>
            <w:vAlign w:val="center"/>
            <w:shd w:fill="17365D"/>
          </w:tcPr>
          <w:p>
            <w:r>
              <w:rPr>
                <w:sz w:val="16"/>
              </w:rPr>
            </w:r>
            <w:r>
              <w:rPr>
                <w:b/>
                <w:color w:val="FFFFFF"/>
                <w:sz w:val="16"/>
              </w:rPr>
              <w:t>Checker Evidence</w:t>
            </w:r>
          </w:p>
        </w:tc>
      </w:tr>
      <w:tr>
        <w:trPr>
          <w:cantSplit/>
        </w:trPr>
        <w:tc>
          <w:tcPr>
            <w:tcW w:type="dxa" w:w="3437"/>
            <w:vAlign w:val="center"/>
          </w:tcPr>
          <w:p>
            <w:r>
              <w:rPr>
                <w:sz w:val="16"/>
              </w:rPr>
            </w:r>
            <w:r>
              <w:rPr>
                <w:b w:val="0"/>
                <w:sz w:val="16"/>
              </w:rPr>
              <w:t>Eligibility</w:t>
            </w:r>
          </w:p>
        </w:tc>
        <w:tc>
          <w:tcPr>
            <w:tcW w:type="dxa" w:w="3437"/>
            <w:vAlign w:val="center"/>
          </w:tcPr>
          <w:p>
            <w:r>
              <w:rPr>
                <w:sz w:val="16"/>
              </w:rPr>
            </w:r>
            <w:r>
              <w:rPr>
                <w:b w:val="0"/>
                <w:sz w:val="16"/>
              </w:rPr>
              <w:t>Approved instrument/issuer list</w:t>
            </w:r>
          </w:p>
        </w:tc>
        <w:tc>
          <w:tcPr>
            <w:tcW w:type="dxa" w:w="3437"/>
            <w:vAlign w:val="center"/>
          </w:tcPr>
          <w:p>
            <w:r>
              <w:rPr>
                <w:sz w:val="16"/>
              </w:rPr>
            </w:r>
            <w:r>
              <w:rPr>
                <w:b w:val="0"/>
                <w:sz w:val="16"/>
              </w:rPr>
              <w:t>Independent status check</w:t>
            </w:r>
          </w:p>
        </w:tc>
      </w:tr>
      <w:tr>
        <w:trPr>
          <w:cantSplit/>
        </w:trPr>
        <w:tc>
          <w:tcPr>
            <w:tcW w:type="dxa" w:w="3437"/>
            <w:vAlign w:val="center"/>
          </w:tcPr>
          <w:p>
            <w:r>
              <w:rPr>
                <w:sz w:val="16"/>
              </w:rPr>
            </w:r>
            <w:r>
              <w:rPr>
                <w:b w:val="0"/>
                <w:sz w:val="16"/>
              </w:rPr>
              <w:t>Limit headroom</w:t>
            </w:r>
          </w:p>
        </w:tc>
        <w:tc>
          <w:tcPr>
            <w:tcW w:type="dxa" w:w="3437"/>
            <w:vAlign w:val="center"/>
          </w:tcPr>
          <w:p>
            <w:r>
              <w:rPr>
                <w:sz w:val="16"/>
              </w:rPr>
            </w:r>
            <w:r>
              <w:rPr>
                <w:b w:val="0"/>
                <w:sz w:val="16"/>
              </w:rPr>
              <w:t>Pre-trade limit calculation</w:t>
            </w:r>
          </w:p>
        </w:tc>
        <w:tc>
          <w:tcPr>
            <w:tcW w:type="dxa" w:w="3437"/>
            <w:vAlign w:val="center"/>
          </w:tcPr>
          <w:p>
            <w:r>
              <w:rPr>
                <w:sz w:val="16"/>
              </w:rPr>
            </w:r>
            <w:r>
              <w:rPr>
                <w:b w:val="0"/>
                <w:sz w:val="16"/>
              </w:rPr>
              <w:t>Risk/operations system validation</w:t>
            </w:r>
          </w:p>
        </w:tc>
      </w:tr>
      <w:tr>
        <w:trPr>
          <w:cantSplit/>
        </w:trPr>
        <w:tc>
          <w:tcPr>
            <w:tcW w:type="dxa" w:w="3437"/>
            <w:vAlign w:val="center"/>
          </w:tcPr>
          <w:p>
            <w:r>
              <w:rPr>
                <w:sz w:val="16"/>
              </w:rPr>
            </w:r>
            <w:r>
              <w:rPr>
                <w:b w:val="0"/>
                <w:sz w:val="16"/>
              </w:rPr>
              <w:t>Authority</w:t>
            </w:r>
          </w:p>
        </w:tc>
        <w:tc>
          <w:tcPr>
            <w:tcW w:type="dxa" w:w="3437"/>
            <w:vAlign w:val="center"/>
          </w:tcPr>
          <w:p>
            <w:r>
              <w:rPr>
                <w:sz w:val="16"/>
              </w:rPr>
            </w:r>
            <w:r>
              <w:rPr>
                <w:b w:val="0"/>
                <w:sz w:val="16"/>
              </w:rPr>
              <w:t>IDS-042 level and approver</w:t>
            </w:r>
          </w:p>
        </w:tc>
        <w:tc>
          <w:tcPr>
            <w:tcW w:type="dxa" w:w="3437"/>
            <w:vAlign w:val="center"/>
          </w:tcPr>
          <w:p>
            <w:r>
              <w:rPr>
                <w:sz w:val="16"/>
              </w:rPr>
            </w:r>
            <w:r>
              <w:rPr>
                <w:b w:val="0"/>
                <w:sz w:val="16"/>
              </w:rPr>
              <w:t>Authority confirmation</w:t>
            </w:r>
          </w:p>
        </w:tc>
      </w:tr>
      <w:tr>
        <w:trPr>
          <w:cantSplit/>
        </w:trPr>
        <w:tc>
          <w:tcPr>
            <w:tcW w:type="dxa" w:w="3437"/>
            <w:vAlign w:val="center"/>
          </w:tcPr>
          <w:p>
            <w:r>
              <w:rPr>
                <w:sz w:val="16"/>
              </w:rPr>
            </w:r>
            <w:r>
              <w:rPr>
                <w:b w:val="0"/>
                <w:sz w:val="16"/>
              </w:rPr>
              <w:t>Price</w:t>
            </w:r>
          </w:p>
        </w:tc>
        <w:tc>
          <w:tcPr>
            <w:tcW w:type="dxa" w:w="3437"/>
            <w:vAlign w:val="center"/>
          </w:tcPr>
          <w:p>
            <w:r>
              <w:rPr>
                <w:sz w:val="16"/>
              </w:rPr>
            </w:r>
            <w:r>
              <w:rPr>
                <w:b w:val="0"/>
                <w:sz w:val="16"/>
              </w:rPr>
              <w:t>Market quote / approved source</w:t>
            </w:r>
          </w:p>
        </w:tc>
        <w:tc>
          <w:tcPr>
            <w:tcW w:type="dxa" w:w="3437"/>
            <w:vAlign w:val="center"/>
          </w:tcPr>
          <w:p>
            <w:r>
              <w:rPr>
                <w:sz w:val="16"/>
              </w:rPr>
            </w:r>
            <w:r>
              <w:rPr>
                <w:b w:val="0"/>
                <w:sz w:val="16"/>
              </w:rPr>
              <w:t>Reasonableness check where required</w:t>
            </w:r>
          </w:p>
        </w:tc>
      </w:tr>
      <w:tr>
        <w:trPr>
          <w:cantSplit/>
        </w:trPr>
        <w:tc>
          <w:tcPr>
            <w:tcW w:type="dxa" w:w="3437"/>
            <w:vAlign w:val="center"/>
          </w:tcPr>
          <w:p>
            <w:r>
              <w:rPr>
                <w:sz w:val="16"/>
              </w:rPr>
            </w:r>
            <w:r>
              <w:rPr>
                <w:b w:val="0"/>
                <w:sz w:val="16"/>
              </w:rPr>
              <w:t>Settlement</w:t>
            </w:r>
          </w:p>
        </w:tc>
        <w:tc>
          <w:tcPr>
            <w:tcW w:type="dxa" w:w="3437"/>
            <w:vAlign w:val="center"/>
          </w:tcPr>
          <w:p>
            <w:r>
              <w:rPr>
                <w:sz w:val="16"/>
              </w:rPr>
            </w:r>
            <w:r>
              <w:rPr>
                <w:b w:val="0"/>
                <w:sz w:val="16"/>
              </w:rPr>
              <w:t>Standing instruction / approved beneficiary</w:t>
            </w:r>
          </w:p>
        </w:tc>
        <w:tc>
          <w:tcPr>
            <w:tcW w:type="dxa" w:w="3437"/>
            <w:vAlign w:val="center"/>
          </w:tcPr>
          <w:p>
            <w:r>
              <w:rPr>
                <w:sz w:val="16"/>
              </w:rPr>
            </w:r>
            <w:r>
              <w:rPr>
                <w:b w:val="0"/>
                <w:sz w:val="16"/>
              </w:rPr>
              <w:t>Independent beneficiary verification</w:t>
            </w:r>
          </w:p>
        </w:tc>
      </w:tr>
    </w:tbl>
    <w:p/>
    <w:p>
      <w:pPr>
        <w:pStyle w:val="Heading1"/>
      </w:pPr>
      <w:r>
        <w:t>15. Post-Trade Controls</w:t>
      </w:r>
    </w:p>
    <w:p>
      <w:r>
        <w:t>Executed trades shall be independently confirmed, settled, reconciled and recorded. The person who executes a trade shall not unilaterally complete all confirmation, settlement and reconciliation controls.</w:t>
      </w:r>
    </w:p>
    <w:p>
      <w:r>
        <w:t>Failed settlements, mismatches and unauthorized amendments shall be escalated to Investment Operations and, where material, to Compliance and Enterprise Risk.</w:t>
      </w:r>
    </w:p>
    <w:p>
      <w:pPr>
        <w:pStyle w:val="Heading1"/>
      </w:pPr>
      <w:r>
        <w:t>16. Investment Exceptions and Breaches</w:t>
      </w:r>
    </w:p>
    <w:p>
      <w:r>
        <w:t>A prospective exception requires approval before execution. A trade executed outside an applicable limit without timely approval is a breach even if the trade might have qualified for an exception.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Event</w:t>
            </w:r>
          </w:p>
        </w:tc>
        <w:tc>
          <w:tcPr>
            <w:tcW w:type="dxa" w:w="5155"/>
            <w:vAlign w:val="center"/>
            <w:shd w:fill="17365D"/>
          </w:tcPr>
          <w:p>
            <w:r>
              <w:rPr>
                <w:sz w:val="16"/>
              </w:rPr>
            </w:r>
            <w:r>
              <w:rPr>
                <w:b/>
                <w:color w:val="FFFFFF"/>
                <w:sz w:val="16"/>
              </w:rPr>
              <w:t>Treatment</w:t>
            </w:r>
          </w:p>
        </w:tc>
      </w:tr>
      <w:tr>
        <w:trPr>
          <w:cantSplit/>
        </w:trPr>
        <w:tc>
          <w:tcPr>
            <w:tcW w:type="dxa" w:w="5155"/>
            <w:vAlign w:val="center"/>
          </w:tcPr>
          <w:p>
            <w:r>
              <w:rPr>
                <w:sz w:val="16"/>
              </w:rPr>
            </w:r>
            <w:r>
              <w:rPr>
                <w:b w:val="0"/>
                <w:sz w:val="16"/>
              </w:rPr>
              <w:t>Approved prospective exception</w:t>
            </w:r>
          </w:p>
        </w:tc>
        <w:tc>
          <w:tcPr>
            <w:tcW w:type="dxa" w:w="5155"/>
            <w:vAlign w:val="center"/>
          </w:tcPr>
          <w:p>
            <w:r>
              <w:rPr>
                <w:sz w:val="16"/>
              </w:rPr>
            </w:r>
            <w:r>
              <w:rPr>
                <w:b w:val="0"/>
                <w:sz w:val="16"/>
              </w:rPr>
              <w:t>Record exception ID, scope, rationale, expiry and authority before trade.</w:t>
            </w:r>
          </w:p>
        </w:tc>
      </w:tr>
      <w:tr>
        <w:trPr>
          <w:cantSplit/>
        </w:trPr>
        <w:tc>
          <w:tcPr>
            <w:tcW w:type="dxa" w:w="5155"/>
            <w:vAlign w:val="center"/>
          </w:tcPr>
          <w:p>
            <w:r>
              <w:rPr>
                <w:sz w:val="16"/>
              </w:rPr>
            </w:r>
            <w:r>
              <w:rPr>
                <w:b w:val="0"/>
                <w:sz w:val="16"/>
              </w:rPr>
              <w:t>Inadvertent passive breach from market movement</w:t>
            </w:r>
          </w:p>
        </w:tc>
        <w:tc>
          <w:tcPr>
            <w:tcW w:type="dxa" w:w="5155"/>
            <w:vAlign w:val="center"/>
          </w:tcPr>
          <w:p>
            <w:r>
              <w:rPr>
                <w:sz w:val="16"/>
              </w:rPr>
            </w:r>
            <w:r>
              <w:rPr>
                <w:b w:val="0"/>
                <w:sz w:val="16"/>
              </w:rPr>
              <w:t>Freeze new risk-increasing trades; assess remediation and timing.</w:t>
            </w:r>
          </w:p>
        </w:tc>
      </w:tr>
      <w:tr>
        <w:trPr>
          <w:cantSplit/>
        </w:trPr>
        <w:tc>
          <w:tcPr>
            <w:tcW w:type="dxa" w:w="5155"/>
            <w:vAlign w:val="center"/>
          </w:tcPr>
          <w:p>
            <w:r>
              <w:rPr>
                <w:sz w:val="16"/>
              </w:rPr>
            </w:r>
            <w:r>
              <w:rPr>
                <w:b w:val="0"/>
                <w:sz w:val="16"/>
              </w:rPr>
              <w:t>Active breach from new transaction</w:t>
            </w:r>
          </w:p>
        </w:tc>
        <w:tc>
          <w:tcPr>
            <w:tcW w:type="dxa" w:w="5155"/>
            <w:vAlign w:val="center"/>
          </w:tcPr>
          <w:p>
            <w:r>
              <w:rPr>
                <w:sz w:val="16"/>
              </w:rPr>
            </w:r>
            <w:r>
              <w:rPr>
                <w:b w:val="0"/>
                <w:sz w:val="16"/>
              </w:rPr>
              <w:t>Immediate escalation; no retrospective relabeling as timely exception.</w:t>
            </w:r>
          </w:p>
        </w:tc>
      </w:tr>
      <w:tr>
        <w:trPr>
          <w:cantSplit/>
        </w:trPr>
        <w:tc>
          <w:tcPr>
            <w:tcW w:type="dxa" w:w="5155"/>
            <w:vAlign w:val="center"/>
          </w:tcPr>
          <w:p>
            <w:r>
              <w:rPr>
                <w:sz w:val="16"/>
              </w:rPr>
            </w:r>
            <w:r>
              <w:rPr>
                <w:b w:val="0"/>
                <w:sz w:val="16"/>
              </w:rPr>
              <w:t>System permitted but authority absent</w:t>
            </w:r>
          </w:p>
        </w:tc>
        <w:tc>
          <w:tcPr>
            <w:tcW w:type="dxa" w:w="5155"/>
            <w:vAlign w:val="center"/>
          </w:tcPr>
          <w:p>
            <w:r>
              <w:rPr>
                <w:sz w:val="16"/>
              </w:rPr>
            </w:r>
            <w:r>
              <w:rPr>
                <w:b w:val="0"/>
                <w:sz w:val="16"/>
              </w:rPr>
              <w:t>Unauthorized action; system entitlement is not delegated authority.</w:t>
            </w:r>
          </w:p>
        </w:tc>
      </w:tr>
    </w:tbl>
    <w:p/>
    <w:p>
      <w:pPr>
        <w:pStyle w:val="Heading1"/>
      </w:pPr>
      <w:r>
        <w:t>17. Watchlist and Credit Deterioration</w:t>
      </w:r>
    </w:p>
    <w:p>
      <w:r>
        <w:t>Issuer deterioration may require placement on Investment Watchlist, suspension of new purchases, reduced limits, shorter monitoring cadence, sale evaluation or impairment assessment.</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Trigger</w:t>
            </w:r>
          </w:p>
        </w:tc>
        <w:tc>
          <w:tcPr>
            <w:tcW w:type="dxa" w:w="5155"/>
            <w:vAlign w:val="center"/>
            <w:shd w:fill="17365D"/>
          </w:tcPr>
          <w:p>
            <w:r>
              <w:rPr>
                <w:sz w:val="16"/>
              </w:rPr>
            </w:r>
            <w:r>
              <w:rPr>
                <w:b/>
                <w:color w:val="FFFFFF"/>
                <w:sz w:val="16"/>
              </w:rPr>
              <w:t>Typical Response</w:t>
            </w:r>
          </w:p>
        </w:tc>
      </w:tr>
      <w:tr>
        <w:trPr>
          <w:cantSplit/>
        </w:trPr>
        <w:tc>
          <w:tcPr>
            <w:tcW w:type="dxa" w:w="5155"/>
            <w:vAlign w:val="center"/>
          </w:tcPr>
          <w:p>
            <w:r>
              <w:rPr>
                <w:sz w:val="16"/>
              </w:rPr>
            </w:r>
            <w:r>
              <w:rPr>
                <w:b w:val="0"/>
                <w:sz w:val="16"/>
              </w:rPr>
              <w:t>Internal grade migration to IG3</w:t>
            </w:r>
          </w:p>
        </w:tc>
        <w:tc>
          <w:tcPr>
            <w:tcW w:type="dxa" w:w="5155"/>
            <w:vAlign w:val="center"/>
          </w:tcPr>
          <w:p>
            <w:r>
              <w:rPr>
                <w:sz w:val="16"/>
              </w:rPr>
            </w:r>
            <w:r>
              <w:rPr>
                <w:b w:val="0"/>
                <w:sz w:val="16"/>
              </w:rPr>
              <w:t>Enhanced monitoring; review new-purchase headroom.</w:t>
            </w:r>
          </w:p>
        </w:tc>
      </w:tr>
      <w:tr>
        <w:trPr>
          <w:cantSplit/>
        </w:trPr>
        <w:tc>
          <w:tcPr>
            <w:tcW w:type="dxa" w:w="5155"/>
            <w:vAlign w:val="center"/>
          </w:tcPr>
          <w:p>
            <w:r>
              <w:rPr>
                <w:sz w:val="16"/>
              </w:rPr>
            </w:r>
            <w:r>
              <w:rPr>
                <w:b w:val="0"/>
                <w:sz w:val="16"/>
              </w:rPr>
              <w:t>Migration to IG4</w:t>
            </w:r>
          </w:p>
        </w:tc>
        <w:tc>
          <w:tcPr>
            <w:tcW w:type="dxa" w:w="5155"/>
            <w:vAlign w:val="center"/>
          </w:tcPr>
          <w:p>
            <w:r>
              <w:rPr>
                <w:sz w:val="16"/>
              </w:rPr>
            </w:r>
            <w:r>
              <w:rPr>
                <w:b w:val="0"/>
                <w:sz w:val="16"/>
              </w:rPr>
              <w:t>No new purchase; committee hold/sell decision.</w:t>
            </w:r>
          </w:p>
        </w:tc>
      </w:tr>
      <w:tr>
        <w:trPr>
          <w:cantSplit/>
        </w:trPr>
        <w:tc>
          <w:tcPr>
            <w:tcW w:type="dxa" w:w="5155"/>
            <w:vAlign w:val="center"/>
          </w:tcPr>
          <w:p>
            <w:r>
              <w:rPr>
                <w:sz w:val="16"/>
              </w:rPr>
            </w:r>
            <w:r>
              <w:rPr>
                <w:b w:val="0"/>
                <w:sz w:val="16"/>
              </w:rPr>
              <w:t>Payment delay / covenant breach</w:t>
            </w:r>
          </w:p>
        </w:tc>
        <w:tc>
          <w:tcPr>
            <w:tcW w:type="dxa" w:w="5155"/>
            <w:vAlign w:val="center"/>
          </w:tcPr>
          <w:p>
            <w:r>
              <w:rPr>
                <w:sz w:val="16"/>
              </w:rPr>
            </w:r>
            <w:r>
              <w:rPr>
                <w:b w:val="0"/>
                <w:sz w:val="16"/>
              </w:rPr>
              <w:t>Immediate stop-buy and escalation.</w:t>
            </w:r>
          </w:p>
        </w:tc>
      </w:tr>
      <w:tr>
        <w:trPr>
          <w:cantSplit/>
        </w:trPr>
        <w:tc>
          <w:tcPr>
            <w:tcW w:type="dxa" w:w="5155"/>
            <w:vAlign w:val="center"/>
          </w:tcPr>
          <w:p>
            <w:r>
              <w:rPr>
                <w:sz w:val="16"/>
              </w:rPr>
            </w:r>
            <w:r>
              <w:rPr>
                <w:b w:val="0"/>
                <w:sz w:val="16"/>
              </w:rPr>
              <w:t>Severe adverse governance event</w:t>
            </w:r>
          </w:p>
        </w:tc>
        <w:tc>
          <w:tcPr>
            <w:tcW w:type="dxa" w:w="5155"/>
            <w:vAlign w:val="center"/>
          </w:tcPr>
          <w:p>
            <w:r>
              <w:rPr>
                <w:sz w:val="16"/>
              </w:rPr>
            </w:r>
            <w:r>
              <w:rPr>
                <w:b w:val="0"/>
                <w:sz w:val="16"/>
              </w:rPr>
              <w:t>Independent review and possible suspension.</w:t>
            </w:r>
          </w:p>
        </w:tc>
      </w:tr>
      <w:tr>
        <w:trPr>
          <w:cantSplit/>
        </w:trPr>
        <w:tc>
          <w:tcPr>
            <w:tcW w:type="dxa" w:w="5155"/>
            <w:vAlign w:val="center"/>
          </w:tcPr>
          <w:p>
            <w:r>
              <w:rPr>
                <w:sz w:val="16"/>
              </w:rPr>
            </w:r>
            <w:r>
              <w:rPr>
                <w:b w:val="0"/>
                <w:sz w:val="16"/>
              </w:rPr>
              <w:t>Market spread widening beyond desk trigger</w:t>
            </w:r>
          </w:p>
        </w:tc>
        <w:tc>
          <w:tcPr>
            <w:tcW w:type="dxa" w:w="5155"/>
            <w:vAlign w:val="center"/>
          </w:tcPr>
          <w:p>
            <w:r>
              <w:rPr>
                <w:sz w:val="16"/>
              </w:rPr>
            </w:r>
            <w:r>
              <w:rPr>
                <w:b w:val="0"/>
                <w:sz w:val="16"/>
              </w:rPr>
              <w:t>Credit reassessment; not an automatic default classification.</w:t>
            </w:r>
          </w:p>
        </w:tc>
      </w:tr>
    </w:tbl>
    <w:p/>
    <w:p>
      <w:pPr>
        <w:pStyle w:val="Heading1"/>
      </w:pPr>
      <w:r>
        <w:t>18. Stress Testing</w:t>
      </w:r>
    </w:p>
    <w:p>
      <w:r>
        <w:t>Investment stress testing shall include interest-rate shocks, spread widening, counterparty default, liquidity haircut and concentration events. Stress results inform risk management but do not replace hard limits.</w:t>
      </w:r>
    </w:p>
    <w:p>
      <w:r>
        <w:t>Stress assumptions and outcomes shall be documented and reconciled with RMF-008 enterprise scenario analysis and RAS-009 appetite reporting.</w:t>
      </w:r>
    </w:p>
    <w:p>
      <w:pPr>
        <w:pStyle w:val="Heading1"/>
      </w:pPr>
      <w:r>
        <w:t>19. Reporting</w:t>
      </w:r>
    </w:p>
    <w:p>
      <w:r>
        <w:t>Investment Management and Enterprise Risk shall produce recurring reports appropriate to portfolio scale.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Frequency</w:t>
            </w:r>
          </w:p>
        </w:tc>
        <w:tc>
          <w:tcPr>
            <w:tcW w:type="dxa" w:w="5155"/>
            <w:vAlign w:val="center"/>
            <w:shd w:fill="17365D"/>
          </w:tcPr>
          <w:p>
            <w:r>
              <w:rPr>
                <w:sz w:val="16"/>
              </w:rPr>
            </w:r>
            <w:r>
              <w:rPr>
                <w:b/>
                <w:color w:val="FFFFFF"/>
                <w:sz w:val="16"/>
              </w:rPr>
              <w:t>Report / Control</w:t>
            </w:r>
          </w:p>
        </w:tc>
      </w:tr>
      <w:tr>
        <w:trPr>
          <w:cantSplit/>
        </w:trPr>
        <w:tc>
          <w:tcPr>
            <w:tcW w:type="dxa" w:w="5155"/>
            <w:vAlign w:val="center"/>
          </w:tcPr>
          <w:p>
            <w:r>
              <w:rPr>
                <w:sz w:val="16"/>
              </w:rPr>
            </w:r>
            <w:r>
              <w:rPr>
                <w:b w:val="0"/>
                <w:sz w:val="16"/>
              </w:rPr>
              <w:t>Daily</w:t>
            </w:r>
          </w:p>
        </w:tc>
        <w:tc>
          <w:tcPr>
            <w:tcW w:type="dxa" w:w="5155"/>
            <w:vAlign w:val="center"/>
          </w:tcPr>
          <w:p>
            <w:r>
              <w:rPr>
                <w:sz w:val="16"/>
              </w:rPr>
            </w:r>
            <w:r>
              <w:rPr>
                <w:b w:val="0"/>
                <w:sz w:val="16"/>
              </w:rPr>
              <w:t>Positions, valuation, liquidity, limit headroom and settlement exceptions.</w:t>
            </w:r>
          </w:p>
        </w:tc>
      </w:tr>
      <w:tr>
        <w:trPr>
          <w:cantSplit/>
        </w:trPr>
        <w:tc>
          <w:tcPr>
            <w:tcW w:type="dxa" w:w="5155"/>
            <w:vAlign w:val="center"/>
          </w:tcPr>
          <w:p>
            <w:r>
              <w:rPr>
                <w:sz w:val="16"/>
              </w:rPr>
            </w:r>
            <w:r>
              <w:rPr>
                <w:b w:val="0"/>
                <w:sz w:val="16"/>
              </w:rPr>
              <w:t>Weekly</w:t>
            </w:r>
          </w:p>
        </w:tc>
        <w:tc>
          <w:tcPr>
            <w:tcW w:type="dxa" w:w="5155"/>
            <w:vAlign w:val="center"/>
          </w:tcPr>
          <w:p>
            <w:r>
              <w:rPr>
                <w:sz w:val="16"/>
              </w:rPr>
            </w:r>
            <w:r>
              <w:rPr>
                <w:b w:val="0"/>
                <w:sz w:val="16"/>
              </w:rPr>
              <w:t>Duration, stress sensitivity, watchlist and material market movement.</w:t>
            </w:r>
          </w:p>
        </w:tc>
      </w:tr>
      <w:tr>
        <w:trPr>
          <w:cantSplit/>
        </w:trPr>
        <w:tc>
          <w:tcPr>
            <w:tcW w:type="dxa" w:w="5155"/>
            <w:vAlign w:val="center"/>
          </w:tcPr>
          <w:p>
            <w:r>
              <w:rPr>
                <w:sz w:val="16"/>
              </w:rPr>
            </w:r>
            <w:r>
              <w:rPr>
                <w:b w:val="0"/>
                <w:sz w:val="16"/>
              </w:rPr>
              <w:t>Monthly</w:t>
            </w:r>
          </w:p>
        </w:tc>
        <w:tc>
          <w:tcPr>
            <w:tcW w:type="dxa" w:w="5155"/>
            <w:vAlign w:val="center"/>
          </w:tcPr>
          <w:p>
            <w:r>
              <w:rPr>
                <w:sz w:val="16"/>
              </w:rPr>
            </w:r>
            <w:r>
              <w:rPr>
                <w:b w:val="0"/>
                <w:sz w:val="16"/>
              </w:rPr>
              <w:t>Portfolio performance, concentrations, issuer grades, limit utilization, breaches and exceptions.</w:t>
            </w:r>
          </w:p>
        </w:tc>
      </w:tr>
      <w:tr>
        <w:trPr>
          <w:cantSplit/>
        </w:trPr>
        <w:tc>
          <w:tcPr>
            <w:tcW w:type="dxa" w:w="5155"/>
            <w:vAlign w:val="center"/>
          </w:tcPr>
          <w:p>
            <w:r>
              <w:rPr>
                <w:sz w:val="16"/>
              </w:rPr>
            </w:r>
            <w:r>
              <w:rPr>
                <w:b w:val="0"/>
                <w:sz w:val="16"/>
              </w:rPr>
              <w:t>Quarterly</w:t>
            </w:r>
          </w:p>
        </w:tc>
        <w:tc>
          <w:tcPr>
            <w:tcW w:type="dxa" w:w="5155"/>
            <w:vAlign w:val="center"/>
          </w:tcPr>
          <w:p>
            <w:r>
              <w:rPr>
                <w:sz w:val="16"/>
              </w:rPr>
            </w:r>
            <w:r>
              <w:rPr>
                <w:b w:val="0"/>
                <w:sz w:val="16"/>
              </w:rPr>
              <w:t>Board Risk Committee investment risk summary and RAS-009 alignment.</w:t>
            </w:r>
          </w:p>
        </w:tc>
      </w:tr>
    </w:tbl>
    <w:p/>
    <w:p>
      <w:pPr>
        <w:pStyle w:val="Heading1"/>
      </w:pPr>
      <w:r>
        <w:t>20. Record Retention and Audit Trail</w:t>
      </w:r>
    </w:p>
    <w:p>
      <w:r>
        <w:t>Records shall support reconstruction of the investment decision, approval, execution, valuation, settlement and monitoring history. Altered records shall preserve the reason, user and timestamp where systems permit.</w:t>
      </w:r>
    </w:p>
    <w:p>
      <w:r>
        <w:t>Required records include investment memoranda, issuer assessments, approvals, quotes, trade tickets, confirmations, limit evidence, valuation evidence, exception records, committee minutes and remediation evidence.</w:t>
      </w:r>
    </w:p>
    <w:p>
      <w:pPr>
        <w:pStyle w:val="Heading1"/>
      </w:pPr>
      <w:r>
        <w:t>21. Policy Breach Escalation</w:t>
      </w:r>
    </w:p>
    <w:p>
      <w:r>
        <w:t>Potential non-compliance shall be handled under the Compliance Breach Procedure where applicable. Material risk limit excesses shall also be escalated under RMF-008 and RAS-009.</w:t>
      </w:r>
    </w:p>
    <w:p>
      <w:pPr>
        <w:pStyle w:val="ListBullet"/>
      </w:pPr>
      <w:r>
        <w:t>Do not delay containment while severity is being classified.</w:t>
      </w:r>
    </w:p>
    <w:p>
      <w:pPr>
        <w:pStyle w:val="ListBullet"/>
      </w:pPr>
      <w:r>
        <w:t>Do not delete or overwrite historical system evidence.</w:t>
      </w:r>
    </w:p>
    <w:p>
      <w:pPr>
        <w:pStyle w:val="ListBullet"/>
      </w:pPr>
      <w:r>
        <w:t>Where customer or confidential information is involved, apply Information Security requirements once issued.</w:t>
      </w:r>
    </w:p>
    <w:p>
      <w:pPr>
        <w:pStyle w:val="Heading1"/>
      </w:pPr>
      <w:r>
        <w:t>22. Responsibilities</w:t>
      </w:r>
    </w:p>
    <w:p>
      <w:r>
        <w:t>Each first-line function remains accountable for compliance with controls within its process. Independent Risk and Compliance challenge does not transfer ownership away from the first line.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Function</w:t>
            </w:r>
          </w:p>
        </w:tc>
        <w:tc>
          <w:tcPr>
            <w:tcW w:type="dxa" w:w="5155"/>
            <w:vAlign w:val="center"/>
            <w:shd w:fill="17365D"/>
          </w:tcPr>
          <w:p>
            <w:r>
              <w:rPr>
                <w:sz w:val="16"/>
              </w:rPr>
            </w:r>
            <w:r>
              <w:rPr>
                <w:b/>
                <w:color w:val="FFFFFF"/>
                <w:sz w:val="16"/>
              </w:rPr>
              <w:t>Key Accountability</w:t>
            </w:r>
          </w:p>
        </w:tc>
      </w:tr>
      <w:tr>
        <w:trPr>
          <w:cantSplit/>
        </w:trPr>
        <w:tc>
          <w:tcPr>
            <w:tcW w:type="dxa" w:w="5155"/>
            <w:vAlign w:val="center"/>
          </w:tcPr>
          <w:p>
            <w:r>
              <w:rPr>
                <w:sz w:val="16"/>
              </w:rPr>
            </w:r>
            <w:r>
              <w:rPr>
                <w:b w:val="0"/>
                <w:sz w:val="16"/>
              </w:rPr>
              <w:t>Investment Management</w:t>
            </w:r>
          </w:p>
        </w:tc>
        <w:tc>
          <w:tcPr>
            <w:tcW w:type="dxa" w:w="5155"/>
            <w:vAlign w:val="center"/>
          </w:tcPr>
          <w:p>
            <w:r>
              <w:rPr>
                <w:sz w:val="16"/>
              </w:rPr>
            </w:r>
            <w:r>
              <w:rPr>
                <w:b w:val="0"/>
                <w:sz w:val="16"/>
              </w:rPr>
              <w:t>Portfolio decisions, issuer analysis, trade rationale and first-line limit management.</w:t>
            </w:r>
          </w:p>
        </w:tc>
      </w:tr>
      <w:tr>
        <w:trPr>
          <w:cantSplit/>
        </w:trPr>
        <w:tc>
          <w:tcPr>
            <w:tcW w:type="dxa" w:w="5155"/>
            <w:vAlign w:val="center"/>
          </w:tcPr>
          <w:p>
            <w:r>
              <w:rPr>
                <w:sz w:val="16"/>
              </w:rPr>
            </w:r>
            <w:r>
              <w:rPr>
                <w:b w:val="0"/>
                <w:sz w:val="16"/>
              </w:rPr>
              <w:t>Treasury</w:t>
            </w:r>
          </w:p>
        </w:tc>
        <w:tc>
          <w:tcPr>
            <w:tcW w:type="dxa" w:w="5155"/>
            <w:vAlign w:val="center"/>
          </w:tcPr>
          <w:p>
            <w:r>
              <w:rPr>
                <w:sz w:val="16"/>
              </w:rPr>
            </w:r>
            <w:r>
              <w:rPr>
                <w:b w:val="0"/>
                <w:sz w:val="16"/>
              </w:rPr>
              <w:t>Liquidity needs, funding interface and approved placements.</w:t>
            </w:r>
          </w:p>
        </w:tc>
      </w:tr>
      <w:tr>
        <w:trPr>
          <w:cantSplit/>
        </w:trPr>
        <w:tc>
          <w:tcPr>
            <w:tcW w:type="dxa" w:w="5155"/>
            <w:vAlign w:val="center"/>
          </w:tcPr>
          <w:p>
            <w:r>
              <w:rPr>
                <w:sz w:val="16"/>
              </w:rPr>
            </w:r>
            <w:r>
              <w:rPr>
                <w:b w:val="0"/>
                <w:sz w:val="16"/>
              </w:rPr>
              <w:t>Investment Operations</w:t>
            </w:r>
          </w:p>
        </w:tc>
        <w:tc>
          <w:tcPr>
            <w:tcW w:type="dxa" w:w="5155"/>
            <w:vAlign w:val="center"/>
          </w:tcPr>
          <w:p>
            <w:r>
              <w:rPr>
                <w:sz w:val="16"/>
              </w:rPr>
            </w:r>
            <w:r>
              <w:rPr>
                <w:b w:val="0"/>
                <w:sz w:val="16"/>
              </w:rPr>
              <w:t>Confirmation, settlement, reconciliation and static-data controls.</w:t>
            </w:r>
          </w:p>
        </w:tc>
      </w:tr>
      <w:tr>
        <w:trPr>
          <w:cantSplit/>
        </w:trPr>
        <w:tc>
          <w:tcPr>
            <w:tcW w:type="dxa" w:w="5155"/>
            <w:vAlign w:val="center"/>
          </w:tcPr>
          <w:p>
            <w:r>
              <w:rPr>
                <w:sz w:val="16"/>
              </w:rPr>
            </w:r>
            <w:r>
              <w:rPr>
                <w:b w:val="0"/>
                <w:sz w:val="16"/>
              </w:rPr>
              <w:t>Enterprise Risk</w:t>
            </w:r>
          </w:p>
        </w:tc>
        <w:tc>
          <w:tcPr>
            <w:tcW w:type="dxa" w:w="5155"/>
            <w:vAlign w:val="center"/>
          </w:tcPr>
          <w:p>
            <w:r>
              <w:rPr>
                <w:sz w:val="16"/>
              </w:rPr>
            </w:r>
            <w:r>
              <w:rPr>
                <w:b w:val="0"/>
                <w:sz w:val="16"/>
              </w:rPr>
              <w:t>Independent monitoring, aggregation and challenge.</w:t>
            </w:r>
          </w:p>
        </w:tc>
      </w:tr>
      <w:tr>
        <w:trPr>
          <w:cantSplit/>
        </w:trPr>
        <w:tc>
          <w:tcPr>
            <w:tcW w:type="dxa" w:w="5155"/>
            <w:vAlign w:val="center"/>
          </w:tcPr>
          <w:p>
            <w:r>
              <w:rPr>
                <w:sz w:val="16"/>
              </w:rPr>
            </w:r>
            <w:r>
              <w:rPr>
                <w:b w:val="0"/>
                <w:sz w:val="16"/>
              </w:rPr>
              <w:t>Compliance</w:t>
            </w:r>
          </w:p>
        </w:tc>
        <w:tc>
          <w:tcPr>
            <w:tcW w:type="dxa" w:w="5155"/>
            <w:vAlign w:val="center"/>
          </w:tcPr>
          <w:p>
            <w:r>
              <w:rPr>
                <w:sz w:val="16"/>
              </w:rPr>
            </w:r>
            <w:r>
              <w:rPr>
                <w:b w:val="0"/>
                <w:sz w:val="16"/>
              </w:rPr>
              <w:t>Policy adherence monitoring, breach assessment and regulatory obligation mapping.</w:t>
            </w:r>
          </w:p>
        </w:tc>
      </w:tr>
      <w:tr>
        <w:trPr>
          <w:cantSplit/>
        </w:trPr>
        <w:tc>
          <w:tcPr>
            <w:tcW w:type="dxa" w:w="5155"/>
            <w:vAlign w:val="center"/>
          </w:tcPr>
          <w:p>
            <w:r>
              <w:rPr>
                <w:sz w:val="16"/>
              </w:rPr>
            </w:r>
            <w:r>
              <w:rPr>
                <w:b w:val="0"/>
                <w:sz w:val="16"/>
              </w:rPr>
              <w:t>Finance</w:t>
            </w:r>
          </w:p>
        </w:tc>
        <w:tc>
          <w:tcPr>
            <w:tcW w:type="dxa" w:w="5155"/>
            <w:vAlign w:val="center"/>
          </w:tcPr>
          <w:p>
            <w:r>
              <w:rPr>
                <w:sz w:val="16"/>
              </w:rPr>
            </w:r>
            <w:r>
              <w:rPr>
                <w:b w:val="0"/>
                <w:sz w:val="16"/>
              </w:rPr>
              <w:t>Accounting classification, impairment inputs and financial reporting controls.</w:t>
            </w:r>
          </w:p>
        </w:tc>
      </w:tr>
    </w:tbl>
    <w:p/>
    <w:p>
      <w:pPr>
        <w:pStyle w:val="Heading1"/>
      </w:pPr>
      <w:r>
        <w:t>23. Historical and Transitional Provisions</w:t>
      </w:r>
    </w:p>
    <w:p>
      <w:r>
        <w:t>The following transition provisions apply to the move from v1.6 to v2.0.</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Item</w:t>
            </w:r>
          </w:p>
        </w:tc>
        <w:tc>
          <w:tcPr>
            <w:tcW w:type="dxa" w:w="2577"/>
            <w:vAlign w:val="center"/>
            <w:shd w:fill="17365D"/>
          </w:tcPr>
          <w:p>
            <w:r>
              <w:rPr>
                <w:sz w:val="16"/>
              </w:rPr>
            </w:r>
            <w:r>
              <w:rPr>
                <w:b/>
                <w:color w:val="FFFFFF"/>
                <w:sz w:val="16"/>
              </w:rPr>
              <w:t>v1.6</w:t>
            </w:r>
          </w:p>
        </w:tc>
        <w:tc>
          <w:tcPr>
            <w:tcW w:type="dxa" w:w="2577"/>
            <w:vAlign w:val="center"/>
            <w:shd w:fill="17365D"/>
          </w:tcPr>
          <w:p>
            <w:r>
              <w:rPr>
                <w:sz w:val="16"/>
              </w:rPr>
            </w:r>
            <w:r>
              <w:rPr>
                <w:b/>
                <w:color w:val="FFFFFF"/>
                <w:sz w:val="16"/>
              </w:rPr>
              <w:t>v2.0</w:t>
            </w:r>
          </w:p>
        </w:tc>
        <w:tc>
          <w:tcPr>
            <w:tcW w:type="dxa" w:w="2577"/>
            <w:vAlign w:val="center"/>
            <w:shd w:fill="17365D"/>
          </w:tcPr>
          <w:p>
            <w:r>
              <w:rPr>
                <w:sz w:val="16"/>
              </w:rPr>
            </w:r>
            <w:r>
              <w:rPr>
                <w:b/>
                <w:color w:val="FFFFFF"/>
                <w:sz w:val="16"/>
              </w:rPr>
              <w:t>Transition</w:t>
            </w:r>
          </w:p>
        </w:tc>
      </w:tr>
      <w:tr>
        <w:trPr>
          <w:cantSplit/>
        </w:trPr>
        <w:tc>
          <w:tcPr>
            <w:tcW w:type="dxa" w:w="2577"/>
            <w:vAlign w:val="center"/>
          </w:tcPr>
          <w:p>
            <w:r>
              <w:rPr>
                <w:sz w:val="16"/>
              </w:rPr>
            </w:r>
            <w:r>
              <w:rPr>
                <w:b w:val="0"/>
                <w:sz w:val="16"/>
              </w:rPr>
              <w:t>Single corporate issuer</w:t>
            </w:r>
          </w:p>
        </w:tc>
        <w:tc>
          <w:tcPr>
            <w:tcW w:type="dxa" w:w="2577"/>
            <w:vAlign w:val="center"/>
          </w:tcPr>
          <w:p>
            <w:r>
              <w:rPr>
                <w:sz w:val="16"/>
              </w:rPr>
            </w:r>
            <w:r>
              <w:rPr>
                <w:b w:val="0"/>
                <w:sz w:val="16"/>
              </w:rPr>
              <w:t>10%</w:t>
            </w:r>
          </w:p>
        </w:tc>
        <w:tc>
          <w:tcPr>
            <w:tcW w:type="dxa" w:w="2577"/>
            <w:vAlign w:val="center"/>
          </w:tcPr>
          <w:p>
            <w:r>
              <w:rPr>
                <w:sz w:val="16"/>
              </w:rPr>
            </w:r>
            <w:r>
              <w:rPr>
                <w:b w:val="0"/>
                <w:sz w:val="16"/>
              </w:rPr>
              <w:t>7.5%</w:t>
            </w:r>
          </w:p>
        </w:tc>
        <w:tc>
          <w:tcPr>
            <w:tcW w:type="dxa" w:w="2577"/>
            <w:vAlign w:val="center"/>
          </w:tcPr>
          <w:p>
            <w:r>
              <w:rPr>
                <w:sz w:val="16"/>
              </w:rPr>
            </w:r>
            <w:r>
              <w:rPr>
                <w:b w:val="0"/>
                <w:sz w:val="16"/>
              </w:rPr>
              <w:t>Existing positions &gt;7.5% but ≤10% at 1 Jan 2026 are grandfathered from forced sale for 90 days; no increase.</w:t>
            </w:r>
          </w:p>
        </w:tc>
      </w:tr>
      <w:tr>
        <w:trPr>
          <w:cantSplit/>
        </w:trPr>
        <w:tc>
          <w:tcPr>
            <w:tcW w:type="dxa" w:w="2577"/>
            <w:vAlign w:val="center"/>
          </w:tcPr>
          <w:p>
            <w:r>
              <w:rPr>
                <w:sz w:val="16"/>
              </w:rPr>
            </w:r>
            <w:r>
              <w:rPr>
                <w:b w:val="0"/>
                <w:sz w:val="16"/>
              </w:rPr>
              <w:t>Connected group</w:t>
            </w:r>
          </w:p>
        </w:tc>
        <w:tc>
          <w:tcPr>
            <w:tcW w:type="dxa" w:w="2577"/>
            <w:vAlign w:val="center"/>
          </w:tcPr>
          <w:p>
            <w:r>
              <w:rPr>
                <w:sz w:val="16"/>
              </w:rPr>
            </w:r>
            <w:r>
              <w:rPr>
                <w:b w:val="0"/>
                <w:sz w:val="16"/>
              </w:rPr>
              <w:t>15%</w:t>
            </w:r>
          </w:p>
        </w:tc>
        <w:tc>
          <w:tcPr>
            <w:tcW w:type="dxa" w:w="2577"/>
            <w:vAlign w:val="center"/>
          </w:tcPr>
          <w:p>
            <w:r>
              <w:rPr>
                <w:sz w:val="16"/>
              </w:rPr>
            </w:r>
            <w:r>
              <w:rPr>
                <w:b w:val="0"/>
                <w:sz w:val="16"/>
              </w:rPr>
              <w:t>12.5%</w:t>
            </w:r>
          </w:p>
        </w:tc>
        <w:tc>
          <w:tcPr>
            <w:tcW w:type="dxa" w:w="2577"/>
            <w:vAlign w:val="center"/>
          </w:tcPr>
          <w:p>
            <w:r>
              <w:rPr>
                <w:sz w:val="16"/>
              </w:rPr>
            </w:r>
            <w:r>
              <w:rPr>
                <w:b w:val="0"/>
                <w:sz w:val="16"/>
              </w:rPr>
              <w:t>Same 90-day no-increase treatment subject to committee plan.</w:t>
            </w:r>
          </w:p>
        </w:tc>
      </w:tr>
      <w:tr>
        <w:trPr>
          <w:cantSplit/>
        </w:trPr>
        <w:tc>
          <w:tcPr>
            <w:tcW w:type="dxa" w:w="2577"/>
            <w:vAlign w:val="center"/>
          </w:tcPr>
          <w:p>
            <w:r>
              <w:rPr>
                <w:sz w:val="16"/>
              </w:rPr>
            </w:r>
            <w:r>
              <w:rPr>
                <w:b w:val="0"/>
                <w:sz w:val="16"/>
              </w:rPr>
              <w:t>30-day liquidity floor</w:t>
            </w:r>
          </w:p>
        </w:tc>
        <w:tc>
          <w:tcPr>
            <w:tcW w:type="dxa" w:w="2577"/>
            <w:vAlign w:val="center"/>
          </w:tcPr>
          <w:p>
            <w:r>
              <w:rPr>
                <w:sz w:val="16"/>
              </w:rPr>
            </w:r>
            <w:r>
              <w:rPr>
                <w:b w:val="0"/>
                <w:sz w:val="16"/>
              </w:rPr>
              <w:t>15%</w:t>
            </w:r>
          </w:p>
        </w:tc>
        <w:tc>
          <w:tcPr>
            <w:tcW w:type="dxa" w:w="2577"/>
            <w:vAlign w:val="center"/>
          </w:tcPr>
          <w:p>
            <w:r>
              <w:rPr>
                <w:sz w:val="16"/>
              </w:rPr>
            </w:r>
            <w:r>
              <w:rPr>
                <w:b w:val="0"/>
                <w:sz w:val="16"/>
              </w:rPr>
              <w:t>20%</w:t>
            </w:r>
          </w:p>
        </w:tc>
        <w:tc>
          <w:tcPr>
            <w:tcW w:type="dxa" w:w="2577"/>
            <w:vAlign w:val="center"/>
          </w:tcPr>
          <w:p>
            <w:r>
              <w:rPr>
                <w:sz w:val="16"/>
              </w:rPr>
            </w:r>
            <w:r>
              <w:rPr>
                <w:b w:val="0"/>
                <w:sz w:val="16"/>
              </w:rPr>
              <w:t>Portfolio expected to comply by 31 Jan 2026.</w:t>
            </w:r>
          </w:p>
        </w:tc>
      </w:tr>
      <w:tr>
        <w:trPr>
          <w:cantSplit/>
        </w:trPr>
        <w:tc>
          <w:tcPr>
            <w:tcW w:type="dxa" w:w="2577"/>
            <w:vAlign w:val="center"/>
          </w:tcPr>
          <w:p>
            <w:r>
              <w:rPr>
                <w:sz w:val="16"/>
              </w:rPr>
            </w:r>
            <w:r>
              <w:rPr>
                <w:b w:val="0"/>
                <w:sz w:val="16"/>
              </w:rPr>
              <w:t>Duration ceiling</w:t>
            </w:r>
          </w:p>
        </w:tc>
        <w:tc>
          <w:tcPr>
            <w:tcW w:type="dxa" w:w="2577"/>
            <w:vAlign w:val="center"/>
          </w:tcPr>
          <w:p>
            <w:r>
              <w:rPr>
                <w:sz w:val="16"/>
              </w:rPr>
            </w:r>
            <w:r>
              <w:rPr>
                <w:b w:val="0"/>
                <w:sz w:val="16"/>
              </w:rPr>
              <w:t>4.0 years</w:t>
            </w:r>
          </w:p>
        </w:tc>
        <w:tc>
          <w:tcPr>
            <w:tcW w:type="dxa" w:w="2577"/>
            <w:vAlign w:val="center"/>
          </w:tcPr>
          <w:p>
            <w:r>
              <w:rPr>
                <w:sz w:val="16"/>
              </w:rPr>
            </w:r>
            <w:r>
              <w:rPr>
                <w:b w:val="0"/>
                <w:sz w:val="16"/>
              </w:rPr>
              <w:t>3.5 years</w:t>
            </w:r>
          </w:p>
        </w:tc>
        <w:tc>
          <w:tcPr>
            <w:tcW w:type="dxa" w:w="2577"/>
            <w:vAlign w:val="center"/>
          </w:tcPr>
          <w:p>
            <w:r>
              <w:rPr>
                <w:sz w:val="16"/>
              </w:rPr>
            </w:r>
            <w:r>
              <w:rPr>
                <w:b w:val="0"/>
                <w:sz w:val="16"/>
              </w:rPr>
              <w:t>New purchases from 1 Jan must not worsen an existing excess; remediation plan due within 10 business days.</w:t>
            </w:r>
          </w:p>
        </w:tc>
      </w:tr>
    </w:tbl>
    <w:p/>
    <w:p>
      <w:pPr>
        <w:pStyle w:val="Heading1"/>
      </w:pPr>
      <w:r>
        <w:t>24. Appendix A — Investment Limit Matrix</w:t>
      </w:r>
    </w:p>
    <w:p>
      <w:r>
        <w:t>This appendix consolidates key operating limits. More restrictive limits may be set by the Risk Appetite Statement, Delegation Schedule, issuer approval or committee decision.</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Category</w:t>
            </w:r>
          </w:p>
        </w:tc>
        <w:tc>
          <w:tcPr>
            <w:tcW w:type="dxa" w:w="2577"/>
            <w:vAlign w:val="center"/>
            <w:shd w:fill="17365D"/>
          </w:tcPr>
          <w:p>
            <w:r>
              <w:rPr>
                <w:sz w:val="16"/>
              </w:rPr>
            </w:r>
            <w:r>
              <w:rPr>
                <w:b/>
                <w:color w:val="FFFFFF"/>
                <w:sz w:val="16"/>
              </w:rPr>
              <w:t>Limit</w:t>
            </w:r>
          </w:p>
        </w:tc>
        <w:tc>
          <w:tcPr>
            <w:tcW w:type="dxa" w:w="2577"/>
            <w:vAlign w:val="center"/>
            <w:shd w:fill="17365D"/>
          </w:tcPr>
          <w:p>
            <w:r>
              <w:rPr>
                <w:sz w:val="16"/>
              </w:rPr>
            </w:r>
            <w:r>
              <w:rPr>
                <w:b/>
                <w:color w:val="FFFFFF"/>
                <w:sz w:val="16"/>
              </w:rPr>
              <w:t>Owner</w:t>
            </w:r>
          </w:p>
        </w:tc>
        <w:tc>
          <w:tcPr>
            <w:tcW w:type="dxa" w:w="2577"/>
            <w:vAlign w:val="center"/>
            <w:shd w:fill="17365D"/>
          </w:tcPr>
          <w:p>
            <w:r>
              <w:rPr>
                <w:sz w:val="16"/>
              </w:rPr>
            </w:r>
            <w:r>
              <w:rPr>
                <w:b/>
                <w:color w:val="FFFFFF"/>
                <w:sz w:val="16"/>
              </w:rPr>
              <w:t>Escalation</w:t>
            </w:r>
          </w:p>
        </w:tc>
      </w:tr>
      <w:tr>
        <w:trPr>
          <w:cantSplit/>
        </w:trPr>
        <w:tc>
          <w:tcPr>
            <w:tcW w:type="dxa" w:w="2577"/>
            <w:vAlign w:val="center"/>
          </w:tcPr>
          <w:p>
            <w:r>
              <w:rPr>
                <w:sz w:val="16"/>
              </w:rPr>
            </w:r>
            <w:r>
              <w:rPr>
                <w:b w:val="0"/>
                <w:sz w:val="16"/>
              </w:rPr>
              <w:t>Single corporate issuer</w:t>
            </w:r>
          </w:p>
        </w:tc>
        <w:tc>
          <w:tcPr>
            <w:tcW w:type="dxa" w:w="2577"/>
            <w:vAlign w:val="center"/>
          </w:tcPr>
          <w:p>
            <w:r>
              <w:rPr>
                <w:sz w:val="16"/>
              </w:rPr>
            </w:r>
            <w:r>
              <w:rPr>
                <w:b w:val="0"/>
                <w:sz w:val="16"/>
              </w:rPr>
              <w:t>7.5%</w:t>
            </w:r>
          </w:p>
        </w:tc>
        <w:tc>
          <w:tcPr>
            <w:tcW w:type="dxa" w:w="2577"/>
            <w:vAlign w:val="center"/>
          </w:tcPr>
          <w:p>
            <w:r>
              <w:rPr>
                <w:sz w:val="16"/>
              </w:rPr>
            </w:r>
            <w:r>
              <w:rPr>
                <w:b w:val="0"/>
                <w:sz w:val="16"/>
              </w:rPr>
              <w:t>Investment Management</w:t>
            </w:r>
          </w:p>
        </w:tc>
        <w:tc>
          <w:tcPr>
            <w:tcW w:type="dxa" w:w="2577"/>
            <w:vAlign w:val="center"/>
          </w:tcPr>
          <w:p>
            <w:r>
              <w:rPr>
                <w:sz w:val="16"/>
              </w:rPr>
            </w:r>
            <w:r>
              <w:rPr>
                <w:b w:val="0"/>
                <w:sz w:val="16"/>
              </w:rPr>
              <w:t>&gt;90% utilization to Risk; breach immediately.</w:t>
            </w:r>
          </w:p>
        </w:tc>
      </w:tr>
      <w:tr>
        <w:trPr>
          <w:cantSplit/>
        </w:trPr>
        <w:tc>
          <w:tcPr>
            <w:tcW w:type="dxa" w:w="2577"/>
            <w:vAlign w:val="center"/>
          </w:tcPr>
          <w:p>
            <w:r>
              <w:rPr>
                <w:sz w:val="16"/>
              </w:rPr>
            </w:r>
            <w:r>
              <w:rPr>
                <w:b w:val="0"/>
                <w:sz w:val="16"/>
              </w:rPr>
              <w:t>Connected group</w:t>
            </w:r>
          </w:p>
        </w:tc>
        <w:tc>
          <w:tcPr>
            <w:tcW w:type="dxa" w:w="2577"/>
            <w:vAlign w:val="center"/>
          </w:tcPr>
          <w:p>
            <w:r>
              <w:rPr>
                <w:sz w:val="16"/>
              </w:rPr>
            </w:r>
            <w:r>
              <w:rPr>
                <w:b w:val="0"/>
                <w:sz w:val="16"/>
              </w:rPr>
              <w:t>12.5%</w:t>
            </w:r>
          </w:p>
        </w:tc>
        <w:tc>
          <w:tcPr>
            <w:tcW w:type="dxa" w:w="2577"/>
            <w:vAlign w:val="center"/>
          </w:tcPr>
          <w:p>
            <w:r>
              <w:rPr>
                <w:sz w:val="16"/>
              </w:rPr>
            </w:r>
            <w:r>
              <w:rPr>
                <w:b w:val="0"/>
                <w:sz w:val="16"/>
              </w:rPr>
              <w:t>Investment Management</w:t>
            </w:r>
          </w:p>
        </w:tc>
        <w:tc>
          <w:tcPr>
            <w:tcW w:type="dxa" w:w="2577"/>
            <w:vAlign w:val="center"/>
          </w:tcPr>
          <w:p>
            <w:r>
              <w:rPr>
                <w:sz w:val="16"/>
              </w:rPr>
            </w:r>
            <w:r>
              <w:rPr>
                <w:b w:val="0"/>
                <w:sz w:val="16"/>
              </w:rPr>
              <w:t>Same day on breach.</w:t>
            </w:r>
          </w:p>
        </w:tc>
      </w:tr>
      <w:tr>
        <w:trPr>
          <w:cantSplit/>
        </w:trPr>
        <w:tc>
          <w:tcPr>
            <w:tcW w:type="dxa" w:w="2577"/>
            <w:vAlign w:val="center"/>
          </w:tcPr>
          <w:p>
            <w:r>
              <w:rPr>
                <w:sz w:val="16"/>
              </w:rPr>
            </w:r>
            <w:r>
              <w:rPr>
                <w:b w:val="0"/>
                <w:sz w:val="16"/>
              </w:rPr>
              <w:t>Aggregate IG3</w:t>
            </w:r>
          </w:p>
        </w:tc>
        <w:tc>
          <w:tcPr>
            <w:tcW w:type="dxa" w:w="2577"/>
            <w:vAlign w:val="center"/>
          </w:tcPr>
          <w:p>
            <w:r>
              <w:rPr>
                <w:sz w:val="16"/>
              </w:rPr>
            </w:r>
            <w:r>
              <w:rPr>
                <w:b w:val="0"/>
                <w:sz w:val="16"/>
              </w:rPr>
              <w:t>15%</w:t>
            </w:r>
          </w:p>
        </w:tc>
        <w:tc>
          <w:tcPr>
            <w:tcW w:type="dxa" w:w="2577"/>
            <w:vAlign w:val="center"/>
          </w:tcPr>
          <w:p>
            <w:r>
              <w:rPr>
                <w:sz w:val="16"/>
              </w:rPr>
            </w:r>
            <w:r>
              <w:rPr>
                <w:b w:val="0"/>
                <w:sz w:val="16"/>
              </w:rPr>
              <w:t>Investment Risk</w:t>
            </w:r>
          </w:p>
        </w:tc>
        <w:tc>
          <w:tcPr>
            <w:tcW w:type="dxa" w:w="2577"/>
            <w:vAlign w:val="center"/>
          </w:tcPr>
          <w:p>
            <w:r>
              <w:rPr>
                <w:sz w:val="16"/>
              </w:rPr>
            </w:r>
            <w:r>
              <w:rPr>
                <w:b w:val="0"/>
                <w:sz w:val="16"/>
              </w:rPr>
              <w:t>No new purchase above limit.</w:t>
            </w:r>
          </w:p>
        </w:tc>
      </w:tr>
      <w:tr>
        <w:trPr>
          <w:cantSplit/>
        </w:trPr>
        <w:tc>
          <w:tcPr>
            <w:tcW w:type="dxa" w:w="2577"/>
            <w:vAlign w:val="center"/>
          </w:tcPr>
          <w:p>
            <w:r>
              <w:rPr>
                <w:sz w:val="16"/>
              </w:rPr>
            </w:r>
            <w:r>
              <w:rPr>
                <w:b w:val="0"/>
                <w:sz w:val="16"/>
              </w:rPr>
              <w:t>30-day liquidity</w:t>
            </w:r>
          </w:p>
        </w:tc>
        <w:tc>
          <w:tcPr>
            <w:tcW w:type="dxa" w:w="2577"/>
            <w:vAlign w:val="center"/>
          </w:tcPr>
          <w:p>
            <w:r>
              <w:rPr>
                <w:sz w:val="16"/>
              </w:rPr>
            </w:r>
            <w:r>
              <w:rPr>
                <w:b w:val="0"/>
                <w:sz w:val="16"/>
              </w:rPr>
              <w:t>≥20%</w:t>
            </w:r>
          </w:p>
        </w:tc>
        <w:tc>
          <w:tcPr>
            <w:tcW w:type="dxa" w:w="2577"/>
            <w:vAlign w:val="center"/>
          </w:tcPr>
          <w:p>
            <w:r>
              <w:rPr>
                <w:sz w:val="16"/>
              </w:rPr>
            </w:r>
            <w:r>
              <w:rPr>
                <w:b w:val="0"/>
                <w:sz w:val="16"/>
              </w:rPr>
              <w:t>Treasury</w:t>
            </w:r>
          </w:p>
        </w:tc>
        <w:tc>
          <w:tcPr>
            <w:tcW w:type="dxa" w:w="2577"/>
            <w:vAlign w:val="center"/>
          </w:tcPr>
          <w:p>
            <w:r>
              <w:rPr>
                <w:sz w:val="16"/>
              </w:rPr>
            </w:r>
            <w:r>
              <w:rPr>
                <w:b w:val="0"/>
                <w:sz w:val="16"/>
              </w:rPr>
              <w:t>Daily breach escalation.</w:t>
            </w:r>
          </w:p>
        </w:tc>
      </w:tr>
      <w:tr>
        <w:trPr>
          <w:cantSplit/>
        </w:trPr>
        <w:tc>
          <w:tcPr>
            <w:tcW w:type="dxa" w:w="2577"/>
            <w:vAlign w:val="center"/>
          </w:tcPr>
          <w:p>
            <w:r>
              <w:rPr>
                <w:sz w:val="16"/>
              </w:rPr>
            </w:r>
            <w:r>
              <w:rPr>
                <w:b w:val="0"/>
                <w:sz w:val="16"/>
              </w:rPr>
              <w:t>Duration</w:t>
            </w:r>
          </w:p>
        </w:tc>
        <w:tc>
          <w:tcPr>
            <w:tcW w:type="dxa" w:w="2577"/>
            <w:vAlign w:val="center"/>
          </w:tcPr>
          <w:p>
            <w:r>
              <w:rPr>
                <w:sz w:val="16"/>
              </w:rPr>
            </w:r>
            <w:r>
              <w:rPr>
                <w:b w:val="0"/>
                <w:sz w:val="16"/>
              </w:rPr>
              <w:t>≤3.5 years</w:t>
            </w:r>
          </w:p>
        </w:tc>
        <w:tc>
          <w:tcPr>
            <w:tcW w:type="dxa" w:w="2577"/>
            <w:vAlign w:val="center"/>
          </w:tcPr>
          <w:p>
            <w:r>
              <w:rPr>
                <w:sz w:val="16"/>
              </w:rPr>
            </w:r>
            <w:r>
              <w:rPr>
                <w:b w:val="0"/>
                <w:sz w:val="16"/>
              </w:rPr>
              <w:t>Investment Management</w:t>
            </w:r>
          </w:p>
        </w:tc>
        <w:tc>
          <w:tcPr>
            <w:tcW w:type="dxa" w:w="2577"/>
            <w:vAlign w:val="center"/>
          </w:tcPr>
          <w:p>
            <w:r>
              <w:rPr>
                <w:sz w:val="16"/>
              </w:rPr>
            </w:r>
            <w:r>
              <w:rPr>
                <w:b w:val="0"/>
                <w:sz w:val="16"/>
              </w:rPr>
              <w:t>Daily monitoring.</w:t>
            </w:r>
          </w:p>
        </w:tc>
      </w:tr>
      <w:tr>
        <w:trPr>
          <w:cantSplit/>
        </w:trPr>
        <w:tc>
          <w:tcPr>
            <w:tcW w:type="dxa" w:w="2577"/>
            <w:vAlign w:val="center"/>
          </w:tcPr>
          <w:p>
            <w:r>
              <w:rPr>
                <w:sz w:val="16"/>
              </w:rPr>
            </w:r>
            <w:r>
              <w:rPr>
                <w:b w:val="0"/>
                <w:sz w:val="16"/>
              </w:rPr>
              <w:t>Price variance</w:t>
            </w:r>
          </w:p>
        </w:tc>
        <w:tc>
          <w:tcPr>
            <w:tcW w:type="dxa" w:w="2577"/>
            <w:vAlign w:val="center"/>
          </w:tcPr>
          <w:p>
            <w:r>
              <w:rPr>
                <w:sz w:val="16"/>
              </w:rPr>
            </w:r>
            <w:r>
              <w:rPr>
                <w:b w:val="0"/>
                <w:sz w:val="16"/>
              </w:rPr>
              <w:t>&gt;0.75% exception</w:t>
            </w:r>
          </w:p>
        </w:tc>
        <w:tc>
          <w:tcPr>
            <w:tcW w:type="dxa" w:w="2577"/>
            <w:vAlign w:val="center"/>
          </w:tcPr>
          <w:p>
            <w:r>
              <w:rPr>
                <w:sz w:val="16"/>
              </w:rPr>
            </w:r>
            <w:r>
              <w:rPr>
                <w:b w:val="0"/>
                <w:sz w:val="16"/>
              </w:rPr>
              <w:t>Investment Operations</w:t>
            </w:r>
          </w:p>
        </w:tc>
        <w:tc>
          <w:tcPr>
            <w:tcW w:type="dxa" w:w="2577"/>
            <w:vAlign w:val="center"/>
          </w:tcPr>
          <w:p>
            <w:r>
              <w:rPr>
                <w:sz w:val="16"/>
              </w:rPr>
            </w:r>
            <w:r>
              <w:rPr>
                <w:b w:val="0"/>
                <w:sz w:val="16"/>
              </w:rPr>
              <w:t>Same-day Risk notification.</w:t>
            </w:r>
          </w:p>
        </w:tc>
      </w:tr>
    </w:tbl>
    <w:p/>
    <w:p>
      <w:pPr>
        <w:pStyle w:val="Heading1"/>
      </w:pPr>
      <w:r>
        <w:t>25. Appendix B — Illustrative Control Scenarios</w:t>
      </w:r>
    </w:p>
    <w:p>
      <w:r>
        <w:t>The scenarios below illustrate how the hierarchy is applied; they do not replace the controlled rules.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Scenario</w:t>
            </w:r>
          </w:p>
        </w:tc>
        <w:tc>
          <w:tcPr>
            <w:tcW w:type="dxa" w:w="5155"/>
            <w:vAlign w:val="center"/>
            <w:shd w:fill="17365D"/>
          </w:tcPr>
          <w:p>
            <w:r>
              <w:rPr>
                <w:sz w:val="16"/>
              </w:rPr>
            </w:r>
            <w:r>
              <w:rPr>
                <w:b/>
                <w:color w:val="FFFFFF"/>
                <w:sz w:val="16"/>
              </w:rPr>
              <w:t>Required Treatment</w:t>
            </w:r>
          </w:p>
        </w:tc>
      </w:tr>
      <w:tr>
        <w:trPr>
          <w:cantSplit/>
        </w:trPr>
        <w:tc>
          <w:tcPr>
            <w:tcW w:type="dxa" w:w="5155"/>
            <w:vAlign w:val="center"/>
          </w:tcPr>
          <w:p>
            <w:r>
              <w:rPr>
                <w:sz w:val="16"/>
              </w:rPr>
            </w:r>
            <w:r>
              <w:rPr>
                <w:b w:val="0"/>
                <w:sz w:val="16"/>
              </w:rPr>
              <w:t>Strong yield but issuer would take connected group exposure to 13.1%</w:t>
            </w:r>
          </w:p>
        </w:tc>
        <w:tc>
          <w:tcPr>
            <w:tcW w:type="dxa" w:w="5155"/>
            <w:vAlign w:val="center"/>
          </w:tcPr>
          <w:p>
            <w:r>
              <w:rPr>
                <w:sz w:val="16"/>
              </w:rPr>
            </w:r>
            <w:r>
              <w:rPr>
                <w:b w:val="0"/>
                <w:sz w:val="16"/>
              </w:rPr>
              <w:t>Do not trade without pre-approved limit exception at required authority.</w:t>
            </w:r>
          </w:p>
        </w:tc>
      </w:tr>
      <w:tr>
        <w:trPr>
          <w:cantSplit/>
        </w:trPr>
        <w:tc>
          <w:tcPr>
            <w:tcW w:type="dxa" w:w="5155"/>
            <w:vAlign w:val="center"/>
          </w:tcPr>
          <w:p>
            <w:r>
              <w:rPr>
                <w:sz w:val="16"/>
              </w:rPr>
            </w:r>
            <w:r>
              <w:rPr>
                <w:b w:val="0"/>
                <w:sz w:val="16"/>
              </w:rPr>
              <w:t>Market movement lifts issuer exposure from 7.4% to 7.8% without new purchase</w:t>
            </w:r>
          </w:p>
        </w:tc>
        <w:tc>
          <w:tcPr>
            <w:tcW w:type="dxa" w:w="5155"/>
            <w:vAlign w:val="center"/>
          </w:tcPr>
          <w:p>
            <w:r>
              <w:rPr>
                <w:sz w:val="16"/>
              </w:rPr>
            </w:r>
            <w:r>
              <w:rPr>
                <w:b w:val="0"/>
                <w:sz w:val="16"/>
              </w:rPr>
              <w:t>Treat as passive breach; stop increases and document remediation.</w:t>
            </w:r>
          </w:p>
        </w:tc>
      </w:tr>
      <w:tr>
        <w:trPr>
          <w:cantSplit/>
        </w:trPr>
        <w:tc>
          <w:tcPr>
            <w:tcW w:type="dxa" w:w="5155"/>
            <w:vAlign w:val="center"/>
          </w:tcPr>
          <w:p>
            <w:r>
              <w:rPr>
                <w:sz w:val="16"/>
              </w:rPr>
            </w:r>
            <w:r>
              <w:rPr>
                <w:b w:val="0"/>
                <w:sz w:val="16"/>
              </w:rPr>
              <w:t>Dealer has system access for ₹60 crore trade but IDS-042 limit is ₹25 crore</w:t>
            </w:r>
          </w:p>
        </w:tc>
        <w:tc>
          <w:tcPr>
            <w:tcW w:type="dxa" w:w="5155"/>
            <w:vAlign w:val="center"/>
          </w:tcPr>
          <w:p>
            <w:r>
              <w:rPr>
                <w:sz w:val="16"/>
              </w:rPr>
            </w:r>
            <w:r>
              <w:rPr>
                <w:b w:val="0"/>
                <w:sz w:val="16"/>
              </w:rPr>
              <w:t>System access does not create authority; route to higher approver.</w:t>
            </w:r>
          </w:p>
        </w:tc>
      </w:tr>
      <w:tr>
        <w:trPr>
          <w:cantSplit/>
        </w:trPr>
        <w:tc>
          <w:tcPr>
            <w:tcW w:type="dxa" w:w="5155"/>
            <w:vAlign w:val="center"/>
          </w:tcPr>
          <w:p>
            <w:r>
              <w:rPr>
                <w:sz w:val="16"/>
              </w:rPr>
            </w:r>
            <w:r>
              <w:rPr>
                <w:b w:val="0"/>
                <w:sz w:val="16"/>
              </w:rPr>
              <w:t>Security has no reliable external price for month-end</w:t>
            </w:r>
          </w:p>
        </w:tc>
        <w:tc>
          <w:tcPr>
            <w:tcW w:type="dxa" w:w="5155"/>
            <w:vAlign w:val="center"/>
          </w:tcPr>
          <w:p>
            <w:r>
              <w:rPr>
                <w:sz w:val="16"/>
              </w:rPr>
            </w:r>
            <w:r>
              <w:rPr>
                <w:b w:val="0"/>
                <w:sz w:val="16"/>
              </w:rPr>
              <w:t>Use approved methodology, independent review and document valuation uncertainty.</w:t>
            </w:r>
          </w:p>
        </w:tc>
      </w:tr>
      <w:tr>
        <w:trPr>
          <w:cantSplit/>
        </w:trPr>
        <w:tc>
          <w:tcPr>
            <w:tcW w:type="dxa" w:w="5155"/>
            <w:vAlign w:val="center"/>
          </w:tcPr>
          <w:p>
            <w:r>
              <w:rPr>
                <w:sz w:val="16"/>
              </w:rPr>
            </w:r>
            <w:r>
              <w:rPr>
                <w:b w:val="0"/>
                <w:sz w:val="16"/>
              </w:rPr>
              <w:t>Legacy position was purchased under v1.6 at 9.2% issuer concentration</w:t>
            </w:r>
          </w:p>
        </w:tc>
        <w:tc>
          <w:tcPr>
            <w:tcW w:type="dxa" w:w="5155"/>
            <w:vAlign w:val="center"/>
          </w:tcPr>
          <w:p>
            <w:r>
              <w:rPr>
                <w:sz w:val="16"/>
              </w:rPr>
            </w:r>
            <w:r>
              <w:rPr>
                <w:b w:val="0"/>
                <w:sz w:val="16"/>
              </w:rPr>
              <w:t>Apply transition rule; no increase and remediation plan within transition window.</w:t>
            </w:r>
          </w:p>
        </w:tc>
      </w:tr>
    </w:tbl>
    <w:p/>
    <w:p>
      <w:r>
        <w:br w:type="page"/>
      </w:r>
    </w:p>
    <w:p>
      <w:pPr>
        <w:pStyle w:val="Heading1"/>
      </w:pPr>
      <w:r>
        <w:t>Appendix C — Issuer Due Diligence Standard</w:t>
      </w:r>
    </w:p>
    <w:p>
      <w:pPr>
        <w:spacing w:after="100"/>
      </w:pPr>
      <w:r>
        <w:t>This appendix defines the minimum evidence expected before adding or renewing a non-government issuer. The assessment shall be proportionate to exposure, instrument seniority, tenor and internal grade.</w:t>
      </w:r>
    </w:p>
    <w:p>
      <w:pPr>
        <w:pStyle w:val="Heading2"/>
      </w:pPr>
      <w:r>
        <w:t>C.1 Financial capacity</w:t>
      </w:r>
    </w:p>
    <w:p>
      <w:pPr>
        <w:spacing w:after="100"/>
      </w:pPr>
      <w:r>
        <w:t>The credit memorandum shall analyze earnings quality, leverage, cash-flow coverage, liquidity, debt maturity profile, contingent liabilities and access to funding. A favorable headline profit number is not sufficient where cash conversion or refinancing dependence is weak.</w:t>
      </w:r>
    </w:p>
    <w:p>
      <w:pPr>
        <w:pStyle w:val="Heading2"/>
      </w:pPr>
      <w:r>
        <w:t>C.2 Ownership and governance</w:t>
      </w:r>
    </w:p>
    <w:p>
      <w:pPr>
        <w:spacing w:after="100"/>
      </w:pPr>
      <w:r>
        <w:t>The review shall identify controlling owners, material group entities, related-party exposures, governance quality, management stability and any material conflicts. Complex group structures require an explanation of where cash is generated and where debt obligations sit.</w:t>
      </w:r>
    </w:p>
    <w:p>
      <w:pPr>
        <w:pStyle w:val="Heading2"/>
      </w:pPr>
      <w:r>
        <w:t>C.3 Instrument terms</w:t>
      </w:r>
    </w:p>
    <w:p>
      <w:pPr>
        <w:spacing w:after="100"/>
      </w:pPr>
      <w:r>
        <w:t>The analyst shall assess ranking, security, guarantees, covenants, call/put features, amortization, events of default and any structural subordination. Instrument-level risks may justify a more conservative treatment than the issuer grade alone.</w:t>
      </w:r>
    </w:p>
    <w:p>
      <w:pPr>
        <w:pStyle w:val="Heading2"/>
      </w:pPr>
      <w:r>
        <w:t>C.4 Market and liquidity</w:t>
      </w:r>
    </w:p>
    <w:p>
      <w:pPr>
        <w:spacing w:after="100"/>
      </w:pPr>
      <w:r>
        <w:t>The file shall record observed market depth, dealer support, bid-offer behavior, issue size, investor concentration where known and likely monetization under stress. An instrument can be creditworthy yet unsuitable if it cannot support Northstar liquidity objectives.</w:t>
      </w:r>
    </w:p>
    <w:p>
      <w:pPr>
        <w:pStyle w:val="Heading2"/>
      </w:pPr>
      <w:r>
        <w:t>C.5 Adverse information</w:t>
      </w:r>
    </w:p>
    <w:p>
      <w:pPr>
        <w:spacing w:after="100"/>
      </w:pPr>
      <w:r>
        <w:t>Material litigation, governance controversy, delayed payments, restructuring, fraud concerns, auditor qualifications, abrupt management exits or unusual funding stress shall be specifically evaluated and not buried within generic commentary.</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Evidence Area</w:t>
            </w:r>
          </w:p>
        </w:tc>
        <w:tc>
          <w:tcPr>
            <w:tcW w:type="dxa" w:w="3369"/>
            <w:vAlign w:val="center"/>
            <w:shd w:fill="17365D"/>
          </w:tcPr>
          <w:p>
            <w:r/>
            <w:r>
              <w:rPr>
                <w:b/>
                <w:color w:val="FFFFFF"/>
                <w:sz w:val="16"/>
              </w:rPr>
              <w:t>Minimum Evidence</w:t>
            </w:r>
          </w:p>
        </w:tc>
        <w:tc>
          <w:tcPr>
            <w:tcW w:type="dxa" w:w="3369"/>
            <w:vAlign w:val="center"/>
            <w:shd w:fill="17365D"/>
          </w:tcPr>
          <w:p>
            <w:r/>
            <w:r>
              <w:rPr>
                <w:b/>
                <w:color w:val="FFFFFF"/>
                <w:sz w:val="16"/>
              </w:rPr>
              <w:t>Enhanced Evidence for IG3 / Complex Issuer</w:t>
            </w:r>
          </w:p>
        </w:tc>
      </w:tr>
      <w:tr>
        <w:trPr>
          <w:cantSplit/>
        </w:trPr>
        <w:tc>
          <w:tcPr>
            <w:tcW w:type="dxa" w:w="3369"/>
            <w:vAlign w:val="center"/>
          </w:tcPr>
          <w:p>
            <w:r/>
            <w:r>
              <w:rPr>
                <w:b w:val="0"/>
                <w:sz w:val="16"/>
              </w:rPr>
              <w:t>Financial statements</w:t>
            </w:r>
          </w:p>
        </w:tc>
        <w:tc>
          <w:tcPr>
            <w:tcW w:type="dxa" w:w="3369"/>
            <w:vAlign w:val="center"/>
          </w:tcPr>
          <w:p>
            <w:r/>
            <w:r>
              <w:rPr>
                <w:b w:val="0"/>
                <w:sz w:val="16"/>
              </w:rPr>
              <w:t>Latest audited statements plus current interim information where available</w:t>
            </w:r>
          </w:p>
        </w:tc>
        <w:tc>
          <w:tcPr>
            <w:tcW w:type="dxa" w:w="3369"/>
            <w:vAlign w:val="center"/>
          </w:tcPr>
          <w:p>
            <w:r/>
            <w:r>
              <w:rPr>
                <w:b w:val="0"/>
                <w:sz w:val="16"/>
              </w:rPr>
              <w:t>Cash-flow bridge, covenant headroom and sensitivity analysis</w:t>
            </w:r>
          </w:p>
        </w:tc>
      </w:tr>
      <w:tr>
        <w:trPr>
          <w:cantSplit/>
        </w:trPr>
        <w:tc>
          <w:tcPr>
            <w:tcW w:type="dxa" w:w="3369"/>
            <w:vAlign w:val="center"/>
          </w:tcPr>
          <w:p>
            <w:r/>
            <w:r>
              <w:rPr>
                <w:b w:val="0"/>
                <w:sz w:val="16"/>
              </w:rPr>
              <w:t>Ownership</w:t>
            </w:r>
          </w:p>
        </w:tc>
        <w:tc>
          <w:tcPr>
            <w:tcW w:type="dxa" w:w="3369"/>
            <w:vAlign w:val="center"/>
          </w:tcPr>
          <w:p>
            <w:r/>
            <w:r>
              <w:rPr>
                <w:b w:val="0"/>
                <w:sz w:val="16"/>
              </w:rPr>
              <w:t>Group structure and controlling ownership</w:t>
            </w:r>
          </w:p>
        </w:tc>
        <w:tc>
          <w:tcPr>
            <w:tcW w:type="dxa" w:w="3369"/>
            <w:vAlign w:val="center"/>
          </w:tcPr>
          <w:p>
            <w:r/>
            <w:r>
              <w:rPr>
                <w:b w:val="0"/>
                <w:sz w:val="16"/>
              </w:rPr>
              <w:t>Related-party map and upstream/downstream dependency</w:t>
            </w:r>
          </w:p>
        </w:tc>
      </w:tr>
      <w:tr>
        <w:trPr>
          <w:cantSplit/>
        </w:trPr>
        <w:tc>
          <w:tcPr>
            <w:tcW w:type="dxa" w:w="3369"/>
            <w:vAlign w:val="center"/>
          </w:tcPr>
          <w:p>
            <w:r/>
            <w:r>
              <w:rPr>
                <w:b w:val="0"/>
                <w:sz w:val="16"/>
              </w:rPr>
              <w:t>Funding</w:t>
            </w:r>
          </w:p>
        </w:tc>
        <w:tc>
          <w:tcPr>
            <w:tcW w:type="dxa" w:w="3369"/>
            <w:vAlign w:val="center"/>
          </w:tcPr>
          <w:p>
            <w:r/>
            <w:r>
              <w:rPr>
                <w:b w:val="0"/>
                <w:sz w:val="16"/>
              </w:rPr>
              <w:t>Debt profile and maturity schedule</w:t>
            </w:r>
          </w:p>
        </w:tc>
        <w:tc>
          <w:tcPr>
            <w:tcW w:type="dxa" w:w="3369"/>
            <w:vAlign w:val="center"/>
          </w:tcPr>
          <w:p>
            <w:r/>
            <w:r>
              <w:rPr>
                <w:b w:val="0"/>
                <w:sz w:val="16"/>
              </w:rPr>
              <w:t>Refinancing plan and stressed liquidity analysis</w:t>
            </w:r>
          </w:p>
        </w:tc>
      </w:tr>
      <w:tr>
        <w:trPr>
          <w:cantSplit/>
        </w:trPr>
        <w:tc>
          <w:tcPr>
            <w:tcW w:type="dxa" w:w="3369"/>
            <w:vAlign w:val="center"/>
          </w:tcPr>
          <w:p>
            <w:r/>
            <w:r>
              <w:rPr>
                <w:b w:val="0"/>
                <w:sz w:val="16"/>
              </w:rPr>
              <w:t>Market</w:t>
            </w:r>
          </w:p>
        </w:tc>
        <w:tc>
          <w:tcPr>
            <w:tcW w:type="dxa" w:w="3369"/>
            <w:vAlign w:val="center"/>
          </w:tcPr>
          <w:p>
            <w:r/>
            <w:r>
              <w:rPr>
                <w:b w:val="0"/>
                <w:sz w:val="16"/>
              </w:rPr>
              <w:t>Price/yield history and tradability</w:t>
            </w:r>
          </w:p>
        </w:tc>
        <w:tc>
          <w:tcPr>
            <w:tcW w:type="dxa" w:w="3369"/>
            <w:vAlign w:val="center"/>
          </w:tcPr>
          <w:p>
            <w:r/>
            <w:r>
              <w:rPr>
                <w:b w:val="0"/>
                <w:sz w:val="16"/>
              </w:rPr>
              <w:t>Dealer depth, stressed haircut and exit-time estimate</w:t>
            </w:r>
          </w:p>
        </w:tc>
      </w:tr>
      <w:tr>
        <w:trPr>
          <w:cantSplit/>
        </w:trPr>
        <w:tc>
          <w:tcPr>
            <w:tcW w:type="dxa" w:w="3369"/>
            <w:vAlign w:val="center"/>
          </w:tcPr>
          <w:p>
            <w:r/>
            <w:r>
              <w:rPr>
                <w:b w:val="0"/>
                <w:sz w:val="16"/>
              </w:rPr>
              <w:t>Governance</w:t>
            </w:r>
          </w:p>
        </w:tc>
        <w:tc>
          <w:tcPr>
            <w:tcW w:type="dxa" w:w="3369"/>
            <w:vAlign w:val="center"/>
          </w:tcPr>
          <w:p>
            <w:r/>
            <w:r>
              <w:rPr>
                <w:b w:val="0"/>
                <w:sz w:val="16"/>
              </w:rPr>
              <w:t>Board/management overview</w:t>
            </w:r>
          </w:p>
        </w:tc>
        <w:tc>
          <w:tcPr>
            <w:tcW w:type="dxa" w:w="3369"/>
            <w:vAlign w:val="center"/>
          </w:tcPr>
          <w:p>
            <w:r/>
            <w:r>
              <w:rPr>
                <w:b w:val="0"/>
                <w:sz w:val="16"/>
              </w:rPr>
              <w:t>Adverse information chronology and management response</w:t>
            </w:r>
          </w:p>
        </w:tc>
      </w:tr>
      <w:tr>
        <w:trPr>
          <w:cantSplit/>
        </w:trPr>
        <w:tc>
          <w:tcPr>
            <w:tcW w:type="dxa" w:w="3369"/>
            <w:vAlign w:val="center"/>
          </w:tcPr>
          <w:p>
            <w:r/>
            <w:r>
              <w:rPr>
                <w:b w:val="0"/>
                <w:sz w:val="16"/>
              </w:rPr>
              <w:t>Instrument</w:t>
            </w:r>
          </w:p>
        </w:tc>
        <w:tc>
          <w:tcPr>
            <w:tcW w:type="dxa" w:w="3369"/>
            <w:vAlign w:val="center"/>
          </w:tcPr>
          <w:p>
            <w:r/>
            <w:r>
              <w:rPr>
                <w:b w:val="0"/>
                <w:sz w:val="16"/>
              </w:rPr>
              <w:t>Term sheet / final terms</w:t>
            </w:r>
          </w:p>
        </w:tc>
        <w:tc>
          <w:tcPr>
            <w:tcW w:type="dxa" w:w="3369"/>
            <w:vAlign w:val="center"/>
          </w:tcPr>
          <w:p>
            <w:r/>
            <w:r>
              <w:rPr>
                <w:b w:val="0"/>
                <w:sz w:val="16"/>
              </w:rPr>
              <w:t>Legal ranking and downside recovery analysis</w:t>
            </w:r>
          </w:p>
        </w:tc>
      </w:tr>
    </w:tbl>
    <w:p/>
    <w:p>
      <w:r>
        <w:br w:type="page"/>
      </w:r>
    </w:p>
    <w:p>
      <w:pPr>
        <w:pStyle w:val="Heading1"/>
      </w:pPr>
      <w:r>
        <w:t>Appendix D — Pre-Trade Investment Memorandum Template</w:t>
      </w:r>
    </w:p>
    <w:p>
      <w:pPr>
        <w:spacing w:after="100"/>
      </w:pPr>
      <w:r>
        <w:t>The investment memorandum should allow a competent independent reviewer to understand why the proposed trade fits Northstar’s objectives and controls without relying on undocumented desk knowledge.</w:t>
      </w:r>
    </w:p>
    <w:p>
      <w:pPr>
        <w:pStyle w:val="Heading2"/>
      </w:pPr>
      <w:r>
        <w:t>D.1 Transaction summary</w:t>
      </w:r>
    </w:p>
    <w:p>
      <w:pPr>
        <w:spacing w:after="100"/>
      </w:pPr>
      <w:r>
        <w:t>Record issuer, instrument, face value, purchase consideration, price/yield, maturity, internal grade, proposed settlement date and decision authority.</w:t>
      </w:r>
    </w:p>
    <w:p>
      <w:pPr>
        <w:pStyle w:val="Heading2"/>
      </w:pPr>
      <w:r>
        <w:t>D.2 Portfolio fit</w:t>
      </w:r>
    </w:p>
    <w:p>
      <w:pPr>
        <w:spacing w:after="100"/>
      </w:pPr>
      <w:r>
        <w:t>Explain effect on issuer/group/sector concentration, liquidity buckets, duration, grade mix and any relevant RAS-009 metric. Include pre-trade and pro-forma values.</w:t>
      </w:r>
    </w:p>
    <w:p>
      <w:pPr>
        <w:pStyle w:val="Heading2"/>
      </w:pPr>
      <w:r>
        <w:t>D.3 Risk rationale</w:t>
      </w:r>
    </w:p>
    <w:p>
      <w:pPr>
        <w:spacing w:after="100"/>
      </w:pPr>
      <w:r>
        <w:t>Summarize the core credit thesis, key downside risks, mitigants, expected holding period and exit considerations. Risk statements should be specific enough to be monitored after purchase.</w:t>
      </w:r>
    </w:p>
    <w:p>
      <w:pPr>
        <w:pStyle w:val="Heading2"/>
      </w:pPr>
      <w:r>
        <w:t>D.4 Approvals and conditions</w:t>
      </w:r>
    </w:p>
    <w:p>
      <w:pPr>
        <w:spacing w:after="100"/>
      </w:pPr>
      <w:r>
        <w:t>List all approvals, conditions precedent, exception IDs, expiry dates and post-trade monitoring commitments. The maker shall confirm that all conditions are satisfied before execution.</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Memorandum Field</w:t>
            </w:r>
          </w:p>
        </w:tc>
        <w:tc>
          <w:tcPr>
            <w:tcW w:type="dxa" w:w="5054"/>
            <w:vAlign w:val="center"/>
            <w:shd w:fill="17365D"/>
          </w:tcPr>
          <w:p>
            <w:r/>
            <w:r>
              <w:rPr>
                <w:b/>
                <w:color w:val="FFFFFF"/>
                <w:sz w:val="16"/>
              </w:rPr>
              <w:t>Example of Sufficient Entry</w:t>
            </w:r>
          </w:p>
        </w:tc>
      </w:tr>
      <w:tr>
        <w:trPr>
          <w:cantSplit/>
        </w:trPr>
        <w:tc>
          <w:tcPr>
            <w:tcW w:type="dxa" w:w="5054"/>
            <w:vAlign w:val="center"/>
          </w:tcPr>
          <w:p>
            <w:r/>
            <w:r>
              <w:rPr>
                <w:b w:val="0"/>
                <w:sz w:val="16"/>
              </w:rPr>
              <w:t>Issuer / Group</w:t>
            </w:r>
          </w:p>
        </w:tc>
        <w:tc>
          <w:tcPr>
            <w:tcW w:type="dxa" w:w="5054"/>
            <w:vAlign w:val="center"/>
          </w:tcPr>
          <w:p>
            <w:r/>
            <w:r>
              <w:rPr>
                <w:b w:val="0"/>
                <w:sz w:val="16"/>
              </w:rPr>
              <w:t>Northstar internal issuer code, legal name and connected-group code</w:t>
            </w:r>
          </w:p>
        </w:tc>
      </w:tr>
      <w:tr>
        <w:trPr>
          <w:cantSplit/>
        </w:trPr>
        <w:tc>
          <w:tcPr>
            <w:tcW w:type="dxa" w:w="5054"/>
            <w:vAlign w:val="center"/>
          </w:tcPr>
          <w:p>
            <w:r/>
            <w:r>
              <w:rPr>
                <w:b w:val="0"/>
                <w:sz w:val="16"/>
              </w:rPr>
              <w:t>Proposed exposure</w:t>
            </w:r>
          </w:p>
        </w:tc>
        <w:tc>
          <w:tcPr>
            <w:tcW w:type="dxa" w:w="5054"/>
            <w:vAlign w:val="center"/>
          </w:tcPr>
          <w:p>
            <w:r/>
            <w:r>
              <w:rPr>
                <w:b w:val="0"/>
                <w:sz w:val="16"/>
              </w:rPr>
              <w:t>₹18 crore face value / ₹17.6 crore consideration</w:t>
            </w:r>
          </w:p>
        </w:tc>
      </w:tr>
      <w:tr>
        <w:trPr>
          <w:cantSplit/>
        </w:trPr>
        <w:tc>
          <w:tcPr>
            <w:tcW w:type="dxa" w:w="5054"/>
            <w:vAlign w:val="center"/>
          </w:tcPr>
          <w:p>
            <w:r/>
            <w:r>
              <w:rPr>
                <w:b w:val="0"/>
                <w:sz w:val="16"/>
              </w:rPr>
              <w:t>Pre-trade issuer concentration</w:t>
            </w:r>
          </w:p>
        </w:tc>
        <w:tc>
          <w:tcPr>
            <w:tcW w:type="dxa" w:w="5054"/>
            <w:vAlign w:val="center"/>
          </w:tcPr>
          <w:p>
            <w:r/>
            <w:r>
              <w:rPr>
                <w:b w:val="0"/>
                <w:sz w:val="16"/>
              </w:rPr>
              <w:t>6.3%</w:t>
            </w:r>
          </w:p>
        </w:tc>
      </w:tr>
      <w:tr>
        <w:trPr>
          <w:cantSplit/>
        </w:trPr>
        <w:tc>
          <w:tcPr>
            <w:tcW w:type="dxa" w:w="5054"/>
            <w:vAlign w:val="center"/>
          </w:tcPr>
          <w:p>
            <w:r/>
            <w:r>
              <w:rPr>
                <w:b w:val="0"/>
                <w:sz w:val="16"/>
              </w:rPr>
              <w:t>Post-trade issuer concentration</w:t>
            </w:r>
          </w:p>
        </w:tc>
        <w:tc>
          <w:tcPr>
            <w:tcW w:type="dxa" w:w="5054"/>
            <w:vAlign w:val="center"/>
          </w:tcPr>
          <w:p>
            <w:r/>
            <w:r>
              <w:rPr>
                <w:b w:val="0"/>
                <w:sz w:val="16"/>
              </w:rPr>
              <w:t>7.1% — within 7.5% policy cap</w:t>
            </w:r>
          </w:p>
        </w:tc>
      </w:tr>
      <w:tr>
        <w:trPr>
          <w:cantSplit/>
        </w:trPr>
        <w:tc>
          <w:tcPr>
            <w:tcW w:type="dxa" w:w="5054"/>
            <w:vAlign w:val="center"/>
          </w:tcPr>
          <w:p>
            <w:r/>
            <w:r>
              <w:rPr>
                <w:b w:val="0"/>
                <w:sz w:val="16"/>
              </w:rPr>
              <w:t>Internal grade</w:t>
            </w:r>
          </w:p>
        </w:tc>
        <w:tc>
          <w:tcPr>
            <w:tcW w:type="dxa" w:w="5054"/>
            <w:vAlign w:val="center"/>
          </w:tcPr>
          <w:p>
            <w:r/>
            <w:r>
              <w:rPr>
                <w:b w:val="0"/>
                <w:sz w:val="16"/>
              </w:rPr>
              <w:t>IG2; annual review due 30 Nov 2026</w:t>
            </w:r>
          </w:p>
        </w:tc>
      </w:tr>
      <w:tr>
        <w:trPr>
          <w:cantSplit/>
        </w:trPr>
        <w:tc>
          <w:tcPr>
            <w:tcW w:type="dxa" w:w="5054"/>
            <w:vAlign w:val="center"/>
          </w:tcPr>
          <w:p>
            <w:r/>
            <w:r>
              <w:rPr>
                <w:b w:val="0"/>
                <w:sz w:val="16"/>
              </w:rPr>
              <w:t>Liquidity impact</w:t>
            </w:r>
          </w:p>
        </w:tc>
        <w:tc>
          <w:tcPr>
            <w:tcW w:type="dxa" w:w="5054"/>
            <w:vAlign w:val="center"/>
          </w:tcPr>
          <w:p>
            <w:r/>
            <w:r>
              <w:rPr>
                <w:b w:val="0"/>
                <w:sz w:val="16"/>
              </w:rPr>
              <w:t>30-day liquidity remains 23.8% vs 20% minimum</w:t>
            </w:r>
          </w:p>
        </w:tc>
      </w:tr>
      <w:tr>
        <w:trPr>
          <w:cantSplit/>
        </w:trPr>
        <w:tc>
          <w:tcPr>
            <w:tcW w:type="dxa" w:w="5054"/>
            <w:vAlign w:val="center"/>
          </w:tcPr>
          <w:p>
            <w:r/>
            <w:r>
              <w:rPr>
                <w:b w:val="0"/>
                <w:sz w:val="16"/>
              </w:rPr>
              <w:t>Duration impact</w:t>
            </w:r>
          </w:p>
        </w:tc>
        <w:tc>
          <w:tcPr>
            <w:tcW w:type="dxa" w:w="5054"/>
            <w:vAlign w:val="center"/>
          </w:tcPr>
          <w:p>
            <w:r/>
            <w:r>
              <w:rPr>
                <w:b w:val="0"/>
                <w:sz w:val="16"/>
              </w:rPr>
              <w:t>Portfolio duration moves from 2.82 to 2.91 years</w:t>
            </w:r>
          </w:p>
        </w:tc>
      </w:tr>
      <w:tr>
        <w:trPr>
          <w:cantSplit/>
        </w:trPr>
        <w:tc>
          <w:tcPr>
            <w:tcW w:type="dxa" w:w="5054"/>
            <w:vAlign w:val="center"/>
          </w:tcPr>
          <w:p>
            <w:r/>
            <w:r>
              <w:rPr>
                <w:b w:val="0"/>
                <w:sz w:val="16"/>
              </w:rPr>
              <w:t>Authority</w:t>
            </w:r>
          </w:p>
        </w:tc>
        <w:tc>
          <w:tcPr>
            <w:tcW w:type="dxa" w:w="5054"/>
            <w:vAlign w:val="center"/>
          </w:tcPr>
          <w:p>
            <w:r/>
            <w:r>
              <w:rPr>
                <w:b w:val="0"/>
                <w:sz w:val="16"/>
              </w:rPr>
              <w:t>IA2; no policy exception required</w:t>
            </w:r>
          </w:p>
        </w:tc>
      </w:tr>
    </w:tbl>
    <w:p/>
    <w:p>
      <w:r>
        <w:br w:type="page"/>
      </w:r>
    </w:p>
    <w:p>
      <w:pPr>
        <w:pStyle w:val="Heading1"/>
      </w:pPr>
      <w:r>
        <w:t>Appendix E — Stress Testing Library</w:t>
      </w:r>
    </w:p>
    <w:p>
      <w:pPr>
        <w:spacing w:after="100"/>
      </w:pPr>
      <w:r>
        <w:t>Stress testing is intended to expose sensitivity and concentrations that may not be visible in base-case valuation. Results should support decisions and escalation, not be used to justify exceeding hard limits.</w:t>
      </w:r>
    </w:p>
    <w:tbl>
      <w:tblPr>
        <w:tblStyle w:val="TableGrid"/>
        <w:tblW w:type="auto" w:w="0"/>
        <w:jc w:val="center"/>
        <w:tblLook w:firstColumn="1" w:firstRow="1" w:lastColumn="0" w:lastRow="0" w:noHBand="0" w:noVBand="1" w:val="04A0"/>
      </w:tblPr>
      <w:tblGrid>
        <w:gridCol w:w="2527"/>
        <w:gridCol w:w="2527"/>
        <w:gridCol w:w="2527"/>
        <w:gridCol w:w="2527"/>
      </w:tblGrid>
      <w:tr>
        <w:trPr>
          <w:tblHeader w:val="true"/>
          <w:cantSplit/>
        </w:trPr>
        <w:tc>
          <w:tcPr>
            <w:tcW w:type="dxa" w:w="2527"/>
            <w:vAlign w:val="center"/>
            <w:shd w:fill="17365D"/>
          </w:tcPr>
          <w:p>
            <w:r/>
            <w:r>
              <w:rPr>
                <w:b/>
                <w:color w:val="FFFFFF"/>
                <w:sz w:val="16"/>
              </w:rPr>
              <w:t>Scenario</w:t>
            </w:r>
          </w:p>
        </w:tc>
        <w:tc>
          <w:tcPr>
            <w:tcW w:type="dxa" w:w="2527"/>
            <w:vAlign w:val="center"/>
            <w:shd w:fill="17365D"/>
          </w:tcPr>
          <w:p>
            <w:r/>
            <w:r>
              <w:rPr>
                <w:b/>
                <w:color w:val="FFFFFF"/>
                <w:sz w:val="16"/>
              </w:rPr>
              <w:t>Minimum Shock</w:t>
            </w:r>
          </w:p>
        </w:tc>
        <w:tc>
          <w:tcPr>
            <w:tcW w:type="dxa" w:w="2527"/>
            <w:vAlign w:val="center"/>
            <w:shd w:fill="17365D"/>
          </w:tcPr>
          <w:p>
            <w:r/>
            <w:r>
              <w:rPr>
                <w:b/>
                <w:color w:val="FFFFFF"/>
                <w:sz w:val="16"/>
              </w:rPr>
              <w:t>Primary Measures</w:t>
            </w:r>
          </w:p>
        </w:tc>
        <w:tc>
          <w:tcPr>
            <w:tcW w:type="dxa" w:w="2527"/>
            <w:vAlign w:val="center"/>
            <w:shd w:fill="17365D"/>
          </w:tcPr>
          <w:p>
            <w:r/>
            <w:r>
              <w:rPr>
                <w:b/>
                <w:color w:val="FFFFFF"/>
                <w:sz w:val="16"/>
              </w:rPr>
              <w:t>Management Use</w:t>
            </w:r>
          </w:p>
        </w:tc>
      </w:tr>
      <w:tr>
        <w:trPr>
          <w:cantSplit/>
        </w:trPr>
        <w:tc>
          <w:tcPr>
            <w:tcW w:type="dxa" w:w="2527"/>
            <w:vAlign w:val="center"/>
          </w:tcPr>
          <w:p>
            <w:r/>
            <w:r>
              <w:rPr>
                <w:b w:val="0"/>
                <w:sz w:val="16"/>
              </w:rPr>
              <w:t>Parallel rate increase</w:t>
            </w:r>
          </w:p>
        </w:tc>
        <w:tc>
          <w:tcPr>
            <w:tcW w:type="dxa" w:w="2527"/>
            <w:vAlign w:val="center"/>
          </w:tcPr>
          <w:p>
            <w:r/>
            <w:r>
              <w:rPr>
                <w:b w:val="0"/>
                <w:sz w:val="16"/>
              </w:rPr>
              <w:t>+200 bps</w:t>
            </w:r>
          </w:p>
        </w:tc>
        <w:tc>
          <w:tcPr>
            <w:tcW w:type="dxa" w:w="2527"/>
            <w:vAlign w:val="center"/>
          </w:tcPr>
          <w:p>
            <w:r/>
            <w:r>
              <w:rPr>
                <w:b w:val="0"/>
                <w:sz w:val="16"/>
              </w:rPr>
              <w:t>Market-value loss, duration contribution, liquidity effect</w:t>
            </w:r>
          </w:p>
        </w:tc>
        <w:tc>
          <w:tcPr>
            <w:tcW w:type="dxa" w:w="2527"/>
            <w:vAlign w:val="center"/>
          </w:tcPr>
          <w:p>
            <w:r/>
            <w:r>
              <w:rPr>
                <w:b w:val="0"/>
                <w:sz w:val="16"/>
              </w:rPr>
              <w:t>Assess duration and loss resilience</w:t>
            </w:r>
          </w:p>
        </w:tc>
      </w:tr>
      <w:tr>
        <w:trPr>
          <w:cantSplit/>
        </w:trPr>
        <w:tc>
          <w:tcPr>
            <w:tcW w:type="dxa" w:w="2527"/>
            <w:vAlign w:val="center"/>
          </w:tcPr>
          <w:p>
            <w:r/>
            <w:r>
              <w:rPr>
                <w:b w:val="0"/>
                <w:sz w:val="16"/>
              </w:rPr>
              <w:t>Parallel rate decrease</w:t>
            </w:r>
          </w:p>
        </w:tc>
        <w:tc>
          <w:tcPr>
            <w:tcW w:type="dxa" w:w="2527"/>
            <w:vAlign w:val="center"/>
          </w:tcPr>
          <w:p>
            <w:r/>
            <w:r>
              <w:rPr>
                <w:b w:val="0"/>
                <w:sz w:val="16"/>
              </w:rPr>
              <w:t>-150 bps</w:t>
            </w:r>
          </w:p>
        </w:tc>
        <w:tc>
          <w:tcPr>
            <w:tcW w:type="dxa" w:w="2527"/>
            <w:vAlign w:val="center"/>
          </w:tcPr>
          <w:p>
            <w:r/>
            <w:r>
              <w:rPr>
                <w:b w:val="0"/>
                <w:sz w:val="16"/>
              </w:rPr>
              <w:t>Gain/loss, reinvestment sensitivity</w:t>
            </w:r>
          </w:p>
        </w:tc>
        <w:tc>
          <w:tcPr>
            <w:tcW w:type="dxa" w:w="2527"/>
            <w:vAlign w:val="center"/>
          </w:tcPr>
          <w:p>
            <w:r/>
            <w:r>
              <w:rPr>
                <w:b w:val="0"/>
                <w:sz w:val="16"/>
              </w:rPr>
              <w:t>Identify income/reinvestment risk</w:t>
            </w:r>
          </w:p>
        </w:tc>
      </w:tr>
      <w:tr>
        <w:trPr>
          <w:cantSplit/>
        </w:trPr>
        <w:tc>
          <w:tcPr>
            <w:tcW w:type="dxa" w:w="2527"/>
            <w:vAlign w:val="center"/>
          </w:tcPr>
          <w:p>
            <w:r/>
            <w:r>
              <w:rPr>
                <w:b w:val="0"/>
                <w:sz w:val="16"/>
              </w:rPr>
              <w:t>Credit spread widening</w:t>
            </w:r>
          </w:p>
        </w:tc>
        <w:tc>
          <w:tcPr>
            <w:tcW w:type="dxa" w:w="2527"/>
            <w:vAlign w:val="center"/>
          </w:tcPr>
          <w:p>
            <w:r/>
            <w:r>
              <w:rPr>
                <w:b w:val="0"/>
                <w:sz w:val="16"/>
              </w:rPr>
              <w:t>+250 bps non-government debt</w:t>
            </w:r>
          </w:p>
        </w:tc>
        <w:tc>
          <w:tcPr>
            <w:tcW w:type="dxa" w:w="2527"/>
            <w:vAlign w:val="center"/>
          </w:tcPr>
          <w:p>
            <w:r/>
            <w:r>
              <w:rPr>
                <w:b w:val="0"/>
                <w:sz w:val="16"/>
              </w:rPr>
              <w:t>Market-value loss by issuer/grade</w:t>
            </w:r>
          </w:p>
        </w:tc>
        <w:tc>
          <w:tcPr>
            <w:tcW w:type="dxa" w:w="2527"/>
            <w:vAlign w:val="center"/>
          </w:tcPr>
          <w:p>
            <w:r/>
            <w:r>
              <w:rPr>
                <w:b w:val="0"/>
                <w:sz w:val="16"/>
              </w:rPr>
              <w:t>Assess credit-market stress</w:t>
            </w:r>
          </w:p>
        </w:tc>
      </w:tr>
      <w:tr>
        <w:trPr>
          <w:cantSplit/>
        </w:trPr>
        <w:tc>
          <w:tcPr>
            <w:tcW w:type="dxa" w:w="2527"/>
            <w:vAlign w:val="center"/>
          </w:tcPr>
          <w:p>
            <w:r/>
            <w:r>
              <w:rPr>
                <w:b w:val="0"/>
                <w:sz w:val="16"/>
              </w:rPr>
              <w:t>IG3 spread shock</w:t>
            </w:r>
          </w:p>
        </w:tc>
        <w:tc>
          <w:tcPr>
            <w:tcW w:type="dxa" w:w="2527"/>
            <w:vAlign w:val="center"/>
          </w:tcPr>
          <w:p>
            <w:r/>
            <w:r>
              <w:rPr>
                <w:b w:val="0"/>
                <w:sz w:val="16"/>
              </w:rPr>
              <w:t>+500 bps IG3</w:t>
            </w:r>
          </w:p>
        </w:tc>
        <w:tc>
          <w:tcPr>
            <w:tcW w:type="dxa" w:w="2527"/>
            <w:vAlign w:val="center"/>
          </w:tcPr>
          <w:p>
            <w:r/>
            <w:r>
              <w:rPr>
                <w:b w:val="0"/>
                <w:sz w:val="16"/>
              </w:rPr>
              <w:t>Loss and liquidity haircut</w:t>
            </w:r>
          </w:p>
        </w:tc>
        <w:tc>
          <w:tcPr>
            <w:tcW w:type="dxa" w:w="2527"/>
            <w:vAlign w:val="center"/>
          </w:tcPr>
          <w:p>
            <w:r/>
            <w:r>
              <w:rPr>
                <w:b w:val="0"/>
                <w:sz w:val="16"/>
              </w:rPr>
              <w:t>Test lower-grade concentration</w:t>
            </w:r>
          </w:p>
        </w:tc>
      </w:tr>
      <w:tr>
        <w:trPr>
          <w:cantSplit/>
        </w:trPr>
        <w:tc>
          <w:tcPr>
            <w:tcW w:type="dxa" w:w="2527"/>
            <w:vAlign w:val="center"/>
          </w:tcPr>
          <w:p>
            <w:r/>
            <w:r>
              <w:rPr>
                <w:b w:val="0"/>
                <w:sz w:val="16"/>
              </w:rPr>
              <w:t>Top counterparty default</w:t>
            </w:r>
          </w:p>
        </w:tc>
        <w:tc>
          <w:tcPr>
            <w:tcW w:type="dxa" w:w="2527"/>
            <w:vAlign w:val="center"/>
          </w:tcPr>
          <w:p>
            <w:r/>
            <w:r>
              <w:rPr>
                <w:b w:val="0"/>
                <w:sz w:val="16"/>
              </w:rPr>
              <w:t>100% default with recovery assumptions</w:t>
            </w:r>
          </w:p>
        </w:tc>
        <w:tc>
          <w:tcPr>
            <w:tcW w:type="dxa" w:w="2527"/>
            <w:vAlign w:val="center"/>
          </w:tcPr>
          <w:p>
            <w:r/>
            <w:r>
              <w:rPr>
                <w:b w:val="0"/>
                <w:sz w:val="16"/>
              </w:rPr>
              <w:t>Direct loss, liquidity, concentration</w:t>
            </w:r>
          </w:p>
        </w:tc>
        <w:tc>
          <w:tcPr>
            <w:tcW w:type="dxa" w:w="2527"/>
            <w:vAlign w:val="center"/>
          </w:tcPr>
          <w:p>
            <w:r/>
            <w:r>
              <w:rPr>
                <w:b w:val="0"/>
                <w:sz w:val="16"/>
              </w:rPr>
              <w:t>Counterparty resilience</w:t>
            </w:r>
          </w:p>
        </w:tc>
      </w:tr>
      <w:tr>
        <w:trPr>
          <w:cantSplit/>
        </w:trPr>
        <w:tc>
          <w:tcPr>
            <w:tcW w:type="dxa" w:w="2527"/>
            <w:vAlign w:val="center"/>
          </w:tcPr>
          <w:p>
            <w:r/>
            <w:r>
              <w:rPr>
                <w:b w:val="0"/>
                <w:sz w:val="16"/>
              </w:rPr>
              <w:t>Liquidity freeze</w:t>
            </w:r>
          </w:p>
        </w:tc>
        <w:tc>
          <w:tcPr>
            <w:tcW w:type="dxa" w:w="2527"/>
            <w:vAlign w:val="center"/>
          </w:tcPr>
          <w:p>
            <w:r/>
            <w:r>
              <w:rPr>
                <w:b w:val="0"/>
                <w:sz w:val="16"/>
              </w:rPr>
              <w:t>Haircuts + delayed sale assumptions</w:t>
            </w:r>
          </w:p>
        </w:tc>
        <w:tc>
          <w:tcPr>
            <w:tcW w:type="dxa" w:w="2527"/>
            <w:vAlign w:val="center"/>
          </w:tcPr>
          <w:p>
            <w:r/>
            <w:r>
              <w:rPr>
                <w:b w:val="0"/>
                <w:sz w:val="16"/>
              </w:rPr>
              <w:t>30/90-day liquidity coverage</w:t>
            </w:r>
          </w:p>
        </w:tc>
        <w:tc>
          <w:tcPr>
            <w:tcW w:type="dxa" w:w="2527"/>
            <w:vAlign w:val="center"/>
          </w:tcPr>
          <w:p>
            <w:r/>
            <w:r>
              <w:rPr>
                <w:b w:val="0"/>
                <w:sz w:val="16"/>
              </w:rPr>
              <w:t>Funding and monetization risk</w:t>
            </w:r>
          </w:p>
        </w:tc>
      </w:tr>
      <w:tr>
        <w:trPr>
          <w:cantSplit/>
        </w:trPr>
        <w:tc>
          <w:tcPr>
            <w:tcW w:type="dxa" w:w="2527"/>
            <w:vAlign w:val="center"/>
          </w:tcPr>
          <w:p>
            <w:r/>
            <w:r>
              <w:rPr>
                <w:b w:val="0"/>
                <w:sz w:val="16"/>
              </w:rPr>
              <w:t>Combined stress</w:t>
            </w:r>
          </w:p>
        </w:tc>
        <w:tc>
          <w:tcPr>
            <w:tcW w:type="dxa" w:w="2527"/>
            <w:vAlign w:val="center"/>
          </w:tcPr>
          <w:p>
            <w:r/>
            <w:r>
              <w:rPr>
                <w:b w:val="0"/>
                <w:sz w:val="16"/>
              </w:rPr>
              <w:t>Rate + spread + top-group event</w:t>
            </w:r>
          </w:p>
        </w:tc>
        <w:tc>
          <w:tcPr>
            <w:tcW w:type="dxa" w:w="2527"/>
            <w:vAlign w:val="center"/>
          </w:tcPr>
          <w:p>
            <w:r/>
            <w:r>
              <w:rPr>
                <w:b w:val="0"/>
                <w:sz w:val="16"/>
              </w:rPr>
              <w:t>Aggregate loss / liquidity</w:t>
            </w:r>
          </w:p>
        </w:tc>
        <w:tc>
          <w:tcPr>
            <w:tcW w:type="dxa" w:w="2527"/>
            <w:vAlign w:val="center"/>
          </w:tcPr>
          <w:p>
            <w:r/>
            <w:r>
              <w:rPr>
                <w:b w:val="0"/>
                <w:sz w:val="16"/>
              </w:rPr>
              <w:t>Severe but plausible governance scenario</w:t>
            </w:r>
          </w:p>
        </w:tc>
      </w:tr>
    </w:tbl>
    <w:p/>
    <w:p>
      <w:pPr>
        <w:spacing w:after="100"/>
      </w:pPr>
      <w:r>
        <w:t>Scenario assumptions shall be reviewed at least annually and after material market structure change. Investment Risk may add reverse-stress analysis to identify the combination of shocks that would cause an appetite or capital concern.</w:t>
      </w:r>
    </w:p>
    <w:p>
      <w:r>
        <w:br w:type="page"/>
      </w:r>
    </w:p>
    <w:p>
      <w:pPr>
        <w:pStyle w:val="Heading1"/>
      </w:pPr>
      <w:r>
        <w:t>Appendix F — Watchlist Governance Standard</w:t>
      </w:r>
    </w:p>
    <w:p>
      <w:pPr>
        <w:spacing w:after="100"/>
      </w:pPr>
      <w:r>
        <w:t>The Investment Watchlist is an active decision tool rather than a list of adverse names. Every entry shall have an owner, current restriction, review date and explicit exit criterion.</w:t>
      </w:r>
    </w:p>
    <w:tbl>
      <w:tblPr>
        <w:tblStyle w:val="TableGrid"/>
        <w:tblW w:type="auto" w:w="0"/>
        <w:jc w:val="center"/>
        <w:tblLook w:firstColumn="1" w:firstRow="1" w:lastColumn="0" w:lastRow="0" w:noHBand="0" w:noVBand="1" w:val="04A0"/>
      </w:tblPr>
      <w:tblGrid>
        <w:gridCol w:w="2527"/>
        <w:gridCol w:w="2527"/>
        <w:gridCol w:w="2527"/>
        <w:gridCol w:w="2527"/>
      </w:tblGrid>
      <w:tr>
        <w:trPr>
          <w:tblHeader w:val="true"/>
          <w:cantSplit/>
        </w:trPr>
        <w:tc>
          <w:tcPr>
            <w:tcW w:type="dxa" w:w="2527"/>
            <w:vAlign w:val="center"/>
            <w:shd w:fill="17365D"/>
          </w:tcPr>
          <w:p>
            <w:r/>
            <w:r>
              <w:rPr>
                <w:b/>
                <w:color w:val="FFFFFF"/>
                <w:sz w:val="16"/>
              </w:rPr>
              <w:t>Watchlist Status</w:t>
            </w:r>
          </w:p>
        </w:tc>
        <w:tc>
          <w:tcPr>
            <w:tcW w:type="dxa" w:w="2527"/>
            <w:vAlign w:val="center"/>
            <w:shd w:fill="17365D"/>
          </w:tcPr>
          <w:p>
            <w:r/>
            <w:r>
              <w:rPr>
                <w:b/>
                <w:color w:val="FFFFFF"/>
                <w:sz w:val="16"/>
              </w:rPr>
              <w:t>Meaning</w:t>
            </w:r>
          </w:p>
        </w:tc>
        <w:tc>
          <w:tcPr>
            <w:tcW w:type="dxa" w:w="2527"/>
            <w:vAlign w:val="center"/>
            <w:shd w:fill="17365D"/>
          </w:tcPr>
          <w:p>
            <w:r/>
            <w:r>
              <w:rPr>
                <w:b/>
                <w:color w:val="FFFFFF"/>
                <w:sz w:val="16"/>
              </w:rPr>
              <w:t>New Purchase</w:t>
            </w:r>
          </w:p>
        </w:tc>
        <w:tc>
          <w:tcPr>
            <w:tcW w:type="dxa" w:w="2527"/>
            <w:vAlign w:val="center"/>
            <w:shd w:fill="17365D"/>
          </w:tcPr>
          <w:p>
            <w:r/>
            <w:r>
              <w:rPr>
                <w:b/>
                <w:color w:val="FFFFFF"/>
                <w:sz w:val="16"/>
              </w:rPr>
              <w:t>Review Frequency</w:t>
            </w:r>
          </w:p>
        </w:tc>
      </w:tr>
      <w:tr>
        <w:trPr>
          <w:cantSplit/>
        </w:trPr>
        <w:tc>
          <w:tcPr>
            <w:tcW w:type="dxa" w:w="2527"/>
            <w:vAlign w:val="center"/>
          </w:tcPr>
          <w:p>
            <w:r/>
            <w:r>
              <w:rPr>
                <w:b w:val="0"/>
                <w:sz w:val="16"/>
              </w:rPr>
              <w:t>W1 — Heightened observation</w:t>
            </w:r>
          </w:p>
        </w:tc>
        <w:tc>
          <w:tcPr>
            <w:tcW w:type="dxa" w:w="2527"/>
            <w:vAlign w:val="center"/>
          </w:tcPr>
          <w:p>
            <w:r/>
            <w:r>
              <w:rPr>
                <w:b w:val="0"/>
                <w:sz w:val="16"/>
              </w:rPr>
              <w:t>Early deterioration or uncertainty</w:t>
            </w:r>
          </w:p>
        </w:tc>
        <w:tc>
          <w:tcPr>
            <w:tcW w:type="dxa" w:w="2527"/>
            <w:vAlign w:val="center"/>
          </w:tcPr>
          <w:p>
            <w:r/>
            <w:r>
              <w:rPr>
                <w:b w:val="0"/>
                <w:sz w:val="16"/>
              </w:rPr>
              <w:t>Permitted only with explicit desk head review</w:t>
            </w:r>
          </w:p>
        </w:tc>
        <w:tc>
          <w:tcPr>
            <w:tcW w:type="dxa" w:w="2527"/>
            <w:vAlign w:val="center"/>
          </w:tcPr>
          <w:p>
            <w:r/>
            <w:r>
              <w:rPr>
                <w:b w:val="0"/>
                <w:sz w:val="16"/>
              </w:rPr>
              <w:t>Monthly</w:t>
            </w:r>
          </w:p>
        </w:tc>
      </w:tr>
      <w:tr>
        <w:trPr>
          <w:cantSplit/>
        </w:trPr>
        <w:tc>
          <w:tcPr>
            <w:tcW w:type="dxa" w:w="2527"/>
            <w:vAlign w:val="center"/>
          </w:tcPr>
          <w:p>
            <w:r/>
            <w:r>
              <w:rPr>
                <w:b w:val="0"/>
                <w:sz w:val="16"/>
              </w:rPr>
              <w:t>W2 — Restricted</w:t>
            </w:r>
          </w:p>
        </w:tc>
        <w:tc>
          <w:tcPr>
            <w:tcW w:type="dxa" w:w="2527"/>
            <w:vAlign w:val="center"/>
          </w:tcPr>
          <w:p>
            <w:r/>
            <w:r>
              <w:rPr>
                <w:b w:val="0"/>
                <w:sz w:val="16"/>
              </w:rPr>
              <w:t>Material deterioration or unresolved concern</w:t>
            </w:r>
          </w:p>
        </w:tc>
        <w:tc>
          <w:tcPr>
            <w:tcW w:type="dxa" w:w="2527"/>
            <w:vAlign w:val="center"/>
          </w:tcPr>
          <w:p>
            <w:r/>
            <w:r>
              <w:rPr>
                <w:b w:val="0"/>
                <w:sz w:val="16"/>
              </w:rPr>
              <w:t>No increase without IA4 + Risk concurrence</w:t>
            </w:r>
          </w:p>
        </w:tc>
        <w:tc>
          <w:tcPr>
            <w:tcW w:type="dxa" w:w="2527"/>
            <w:vAlign w:val="center"/>
          </w:tcPr>
          <w:p>
            <w:r/>
            <w:r>
              <w:rPr>
                <w:b w:val="0"/>
                <w:sz w:val="16"/>
              </w:rPr>
              <w:t>At least fortnightly</w:t>
            </w:r>
          </w:p>
        </w:tc>
      </w:tr>
      <w:tr>
        <w:trPr>
          <w:cantSplit/>
        </w:trPr>
        <w:tc>
          <w:tcPr>
            <w:tcW w:type="dxa" w:w="2527"/>
            <w:vAlign w:val="center"/>
          </w:tcPr>
          <w:p>
            <w:r/>
            <w:r>
              <w:rPr>
                <w:b w:val="0"/>
                <w:sz w:val="16"/>
              </w:rPr>
              <w:t>W3 — Stop-buy</w:t>
            </w:r>
          </w:p>
        </w:tc>
        <w:tc>
          <w:tcPr>
            <w:tcW w:type="dxa" w:w="2527"/>
            <w:vAlign w:val="center"/>
          </w:tcPr>
          <w:p>
            <w:r/>
            <w:r>
              <w:rPr>
                <w:b w:val="0"/>
                <w:sz w:val="16"/>
              </w:rPr>
              <w:t>Severe deterioration / covenant or payment concern</w:t>
            </w:r>
          </w:p>
        </w:tc>
        <w:tc>
          <w:tcPr>
            <w:tcW w:type="dxa" w:w="2527"/>
            <w:vAlign w:val="center"/>
          </w:tcPr>
          <w:p>
            <w:r/>
            <w:r>
              <w:rPr>
                <w:b w:val="0"/>
                <w:sz w:val="16"/>
              </w:rPr>
              <w:t>Prohibited</w:t>
            </w:r>
          </w:p>
        </w:tc>
        <w:tc>
          <w:tcPr>
            <w:tcW w:type="dxa" w:w="2527"/>
            <w:vAlign w:val="center"/>
          </w:tcPr>
          <w:p>
            <w:r/>
            <w:r>
              <w:rPr>
                <w:b w:val="0"/>
                <w:sz w:val="16"/>
              </w:rPr>
              <w:t>Weekly or event-driven</w:t>
            </w:r>
          </w:p>
        </w:tc>
      </w:tr>
      <w:tr>
        <w:trPr>
          <w:cantSplit/>
        </w:trPr>
        <w:tc>
          <w:tcPr>
            <w:tcW w:type="dxa" w:w="2527"/>
            <w:vAlign w:val="center"/>
          </w:tcPr>
          <w:p>
            <w:r/>
            <w:r>
              <w:rPr>
                <w:b w:val="0"/>
                <w:sz w:val="16"/>
              </w:rPr>
              <w:t>W4 — Workout / exit</w:t>
            </w:r>
          </w:p>
        </w:tc>
        <w:tc>
          <w:tcPr>
            <w:tcW w:type="dxa" w:w="2527"/>
            <w:vAlign w:val="center"/>
          </w:tcPr>
          <w:p>
            <w:r/>
            <w:r>
              <w:rPr>
                <w:b w:val="0"/>
                <w:sz w:val="16"/>
              </w:rPr>
              <w:t>Distressed or defaulted</w:t>
            </w:r>
          </w:p>
        </w:tc>
        <w:tc>
          <w:tcPr>
            <w:tcW w:type="dxa" w:w="2527"/>
            <w:vAlign w:val="center"/>
          </w:tcPr>
          <w:p>
            <w:r/>
            <w:r>
              <w:rPr>
                <w:b w:val="0"/>
                <w:sz w:val="16"/>
              </w:rPr>
              <w:t>Prohibited</w:t>
            </w:r>
          </w:p>
        </w:tc>
        <w:tc>
          <w:tcPr>
            <w:tcW w:type="dxa" w:w="2527"/>
            <w:vAlign w:val="center"/>
          </w:tcPr>
          <w:p>
            <w:r/>
            <w:r>
              <w:rPr>
                <w:b w:val="0"/>
                <w:sz w:val="16"/>
              </w:rPr>
              <w:t>As directed by committee</w:t>
            </w:r>
          </w:p>
        </w:tc>
      </w:tr>
    </w:tbl>
    <w:p/>
    <w:p>
      <w:pPr>
        <w:spacing w:after="100"/>
      </w:pPr>
      <w:r>
        <w:t>A change in status shall be supported by evidence. Improved market price alone is not a sufficient basis to remove a credit-related restriction if the original concern remains unresolved.</w:t>
      </w:r>
    </w:p>
    <w:p>
      <w:r>
        <w:br w:type="page"/>
      </w:r>
    </w:p>
    <w:p>
      <w:pPr>
        <w:pStyle w:val="Heading1"/>
      </w:pPr>
      <w:r>
        <w:t>Appendix G — Investment Operations Control Schedule</w:t>
      </w:r>
    </w:p>
    <w:p>
      <w:pPr>
        <w:spacing w:after="100"/>
      </w:pPr>
      <w:r>
        <w:t>Operational controls support the legal and economic validity of investment activity and shall remain segregated from dealing decisions where practicable.</w:t>
      </w:r>
    </w:p>
    <w:tbl>
      <w:tblPr>
        <w:tblStyle w:val="TableGrid"/>
        <w:tblW w:type="auto" w:w="0"/>
        <w:jc w:val="center"/>
        <w:tblLook w:firstColumn="1" w:firstRow="1" w:lastColumn="0" w:lastRow="0" w:noHBand="0" w:noVBand="1" w:val="04A0"/>
      </w:tblPr>
      <w:tblGrid>
        <w:gridCol w:w="2527"/>
        <w:gridCol w:w="2527"/>
        <w:gridCol w:w="2527"/>
        <w:gridCol w:w="2527"/>
      </w:tblGrid>
      <w:tr>
        <w:trPr>
          <w:tblHeader w:val="true"/>
          <w:cantSplit/>
        </w:trPr>
        <w:tc>
          <w:tcPr>
            <w:tcW w:type="dxa" w:w="2527"/>
            <w:vAlign w:val="center"/>
            <w:shd w:fill="17365D"/>
          </w:tcPr>
          <w:p>
            <w:r/>
            <w:r>
              <w:rPr>
                <w:b/>
                <w:color w:val="FFFFFF"/>
                <w:sz w:val="16"/>
              </w:rPr>
              <w:t>Control</w:t>
            </w:r>
          </w:p>
        </w:tc>
        <w:tc>
          <w:tcPr>
            <w:tcW w:type="dxa" w:w="2527"/>
            <w:vAlign w:val="center"/>
            <w:shd w:fill="17365D"/>
          </w:tcPr>
          <w:p>
            <w:r/>
            <w:r>
              <w:rPr>
                <w:b/>
                <w:color w:val="FFFFFF"/>
                <w:sz w:val="16"/>
              </w:rPr>
              <w:t>Frequency</w:t>
            </w:r>
          </w:p>
        </w:tc>
        <w:tc>
          <w:tcPr>
            <w:tcW w:type="dxa" w:w="2527"/>
            <w:vAlign w:val="center"/>
            <w:shd w:fill="17365D"/>
          </w:tcPr>
          <w:p>
            <w:r/>
            <w:r>
              <w:rPr>
                <w:b/>
                <w:color w:val="FFFFFF"/>
                <w:sz w:val="16"/>
              </w:rPr>
              <w:t>Maker</w:t>
            </w:r>
          </w:p>
        </w:tc>
        <w:tc>
          <w:tcPr>
            <w:tcW w:type="dxa" w:w="2527"/>
            <w:vAlign w:val="center"/>
            <w:shd w:fill="17365D"/>
          </w:tcPr>
          <w:p>
            <w:r/>
            <w:r>
              <w:rPr>
                <w:b/>
                <w:color w:val="FFFFFF"/>
                <w:sz w:val="16"/>
              </w:rPr>
              <w:t>Checker / Independent Evidence</w:t>
            </w:r>
          </w:p>
        </w:tc>
      </w:tr>
      <w:tr>
        <w:trPr>
          <w:cantSplit/>
        </w:trPr>
        <w:tc>
          <w:tcPr>
            <w:tcW w:type="dxa" w:w="2527"/>
            <w:vAlign w:val="center"/>
          </w:tcPr>
          <w:p>
            <w:r/>
            <w:r>
              <w:rPr>
                <w:b w:val="0"/>
                <w:sz w:val="16"/>
              </w:rPr>
              <w:t>Trade capture completeness</w:t>
            </w:r>
          </w:p>
        </w:tc>
        <w:tc>
          <w:tcPr>
            <w:tcW w:type="dxa" w:w="2527"/>
            <w:vAlign w:val="center"/>
          </w:tcPr>
          <w:p>
            <w:r/>
            <w:r>
              <w:rPr>
                <w:b w:val="0"/>
                <w:sz w:val="16"/>
              </w:rPr>
              <w:t>Daily</w:t>
            </w:r>
          </w:p>
        </w:tc>
        <w:tc>
          <w:tcPr>
            <w:tcW w:type="dxa" w:w="2527"/>
            <w:vAlign w:val="center"/>
          </w:tcPr>
          <w:p>
            <w:r/>
            <w:r>
              <w:rPr>
                <w:b w:val="0"/>
                <w:sz w:val="16"/>
              </w:rPr>
              <w:t>Investment Operations</w:t>
            </w:r>
          </w:p>
        </w:tc>
        <w:tc>
          <w:tcPr>
            <w:tcW w:type="dxa" w:w="2527"/>
            <w:vAlign w:val="center"/>
          </w:tcPr>
          <w:p>
            <w:r/>
            <w:r>
              <w:rPr>
                <w:b w:val="0"/>
                <w:sz w:val="16"/>
              </w:rPr>
              <w:t>Broker/counterparty confirmations</w:t>
            </w:r>
          </w:p>
        </w:tc>
      </w:tr>
      <w:tr>
        <w:trPr>
          <w:cantSplit/>
        </w:trPr>
        <w:tc>
          <w:tcPr>
            <w:tcW w:type="dxa" w:w="2527"/>
            <w:vAlign w:val="center"/>
          </w:tcPr>
          <w:p>
            <w:r/>
            <w:r>
              <w:rPr>
                <w:b w:val="0"/>
                <w:sz w:val="16"/>
              </w:rPr>
              <w:t>Settlement instruction validation</w:t>
            </w:r>
          </w:p>
        </w:tc>
        <w:tc>
          <w:tcPr>
            <w:tcW w:type="dxa" w:w="2527"/>
            <w:vAlign w:val="center"/>
          </w:tcPr>
          <w:p>
            <w:r/>
            <w:r>
              <w:rPr>
                <w:b w:val="0"/>
                <w:sz w:val="16"/>
              </w:rPr>
              <w:t>Per new/change instruction</w:t>
            </w:r>
          </w:p>
        </w:tc>
        <w:tc>
          <w:tcPr>
            <w:tcW w:type="dxa" w:w="2527"/>
            <w:vAlign w:val="center"/>
          </w:tcPr>
          <w:p>
            <w:r/>
            <w:r>
              <w:rPr>
                <w:b w:val="0"/>
                <w:sz w:val="16"/>
              </w:rPr>
              <w:t>Operations maker</w:t>
            </w:r>
          </w:p>
        </w:tc>
        <w:tc>
          <w:tcPr>
            <w:tcW w:type="dxa" w:w="2527"/>
            <w:vAlign w:val="center"/>
          </w:tcPr>
          <w:p>
            <w:r/>
            <w:r>
              <w:rPr>
                <w:b w:val="0"/>
                <w:sz w:val="16"/>
              </w:rPr>
              <w:t>Independent call-back / approved source</w:t>
            </w:r>
          </w:p>
        </w:tc>
      </w:tr>
      <w:tr>
        <w:trPr>
          <w:cantSplit/>
        </w:trPr>
        <w:tc>
          <w:tcPr>
            <w:tcW w:type="dxa" w:w="2527"/>
            <w:vAlign w:val="center"/>
          </w:tcPr>
          <w:p>
            <w:r/>
            <w:r>
              <w:rPr>
                <w:b w:val="0"/>
                <w:sz w:val="16"/>
              </w:rPr>
              <w:t>Cash and securities reconciliation</w:t>
            </w:r>
          </w:p>
        </w:tc>
        <w:tc>
          <w:tcPr>
            <w:tcW w:type="dxa" w:w="2527"/>
            <w:vAlign w:val="center"/>
          </w:tcPr>
          <w:p>
            <w:r/>
            <w:r>
              <w:rPr>
                <w:b w:val="0"/>
                <w:sz w:val="16"/>
              </w:rPr>
              <w:t>Daily</w:t>
            </w:r>
          </w:p>
        </w:tc>
        <w:tc>
          <w:tcPr>
            <w:tcW w:type="dxa" w:w="2527"/>
            <w:vAlign w:val="center"/>
          </w:tcPr>
          <w:p>
            <w:r/>
            <w:r>
              <w:rPr>
                <w:b w:val="0"/>
                <w:sz w:val="16"/>
              </w:rPr>
              <w:t>Operations</w:t>
            </w:r>
          </w:p>
        </w:tc>
        <w:tc>
          <w:tcPr>
            <w:tcW w:type="dxa" w:w="2527"/>
            <w:vAlign w:val="center"/>
          </w:tcPr>
          <w:p>
            <w:r/>
            <w:r>
              <w:rPr>
                <w:b w:val="0"/>
                <w:sz w:val="16"/>
              </w:rPr>
              <w:t>Finance/custody reconciliation</w:t>
            </w:r>
          </w:p>
        </w:tc>
      </w:tr>
      <w:tr>
        <w:trPr>
          <w:cantSplit/>
        </w:trPr>
        <w:tc>
          <w:tcPr>
            <w:tcW w:type="dxa" w:w="2527"/>
            <w:vAlign w:val="center"/>
          </w:tcPr>
          <w:p>
            <w:r/>
            <w:r>
              <w:rPr>
                <w:b w:val="0"/>
                <w:sz w:val="16"/>
              </w:rPr>
              <w:t>Corporate action processing</w:t>
            </w:r>
          </w:p>
        </w:tc>
        <w:tc>
          <w:tcPr>
            <w:tcW w:type="dxa" w:w="2527"/>
            <w:vAlign w:val="center"/>
          </w:tcPr>
          <w:p>
            <w:r/>
            <w:r>
              <w:rPr>
                <w:b w:val="0"/>
                <w:sz w:val="16"/>
              </w:rPr>
              <w:t>Event-driven</w:t>
            </w:r>
          </w:p>
        </w:tc>
        <w:tc>
          <w:tcPr>
            <w:tcW w:type="dxa" w:w="2527"/>
            <w:vAlign w:val="center"/>
          </w:tcPr>
          <w:p>
            <w:r/>
            <w:r>
              <w:rPr>
                <w:b w:val="0"/>
                <w:sz w:val="16"/>
              </w:rPr>
              <w:t>Operations</w:t>
            </w:r>
          </w:p>
        </w:tc>
        <w:tc>
          <w:tcPr>
            <w:tcW w:type="dxa" w:w="2527"/>
            <w:vAlign w:val="center"/>
          </w:tcPr>
          <w:p>
            <w:r/>
            <w:r>
              <w:rPr>
                <w:b w:val="0"/>
                <w:sz w:val="16"/>
              </w:rPr>
              <w:t>Second-person verification</w:t>
            </w:r>
          </w:p>
        </w:tc>
      </w:tr>
      <w:tr>
        <w:trPr>
          <w:cantSplit/>
        </w:trPr>
        <w:tc>
          <w:tcPr>
            <w:tcW w:type="dxa" w:w="2527"/>
            <w:vAlign w:val="center"/>
          </w:tcPr>
          <w:p>
            <w:r/>
            <w:r>
              <w:rPr>
                <w:b w:val="0"/>
                <w:sz w:val="16"/>
              </w:rPr>
              <w:t>Static-data change</w:t>
            </w:r>
          </w:p>
        </w:tc>
        <w:tc>
          <w:tcPr>
            <w:tcW w:type="dxa" w:w="2527"/>
            <w:vAlign w:val="center"/>
          </w:tcPr>
          <w:p>
            <w:r/>
            <w:r>
              <w:rPr>
                <w:b w:val="0"/>
                <w:sz w:val="16"/>
              </w:rPr>
              <w:t>Per change</w:t>
            </w:r>
          </w:p>
        </w:tc>
        <w:tc>
          <w:tcPr>
            <w:tcW w:type="dxa" w:w="2527"/>
            <w:vAlign w:val="center"/>
          </w:tcPr>
          <w:p>
            <w:r/>
            <w:r>
              <w:rPr>
                <w:b w:val="0"/>
                <w:sz w:val="16"/>
              </w:rPr>
              <w:t>Reference-data maker</w:t>
            </w:r>
          </w:p>
        </w:tc>
        <w:tc>
          <w:tcPr>
            <w:tcW w:type="dxa" w:w="2527"/>
            <w:vAlign w:val="center"/>
          </w:tcPr>
          <w:p>
            <w:r/>
            <w:r>
              <w:rPr>
                <w:b w:val="0"/>
                <w:sz w:val="16"/>
              </w:rPr>
              <w:t>Independent checker</w:t>
            </w:r>
          </w:p>
        </w:tc>
      </w:tr>
      <w:tr>
        <w:trPr>
          <w:cantSplit/>
        </w:trPr>
        <w:tc>
          <w:tcPr>
            <w:tcW w:type="dxa" w:w="2527"/>
            <w:vAlign w:val="center"/>
          </w:tcPr>
          <w:p>
            <w:r/>
            <w:r>
              <w:rPr>
                <w:b w:val="0"/>
                <w:sz w:val="16"/>
              </w:rPr>
              <w:t>Failed settlement log</w:t>
            </w:r>
          </w:p>
        </w:tc>
        <w:tc>
          <w:tcPr>
            <w:tcW w:type="dxa" w:w="2527"/>
            <w:vAlign w:val="center"/>
          </w:tcPr>
          <w:p>
            <w:r/>
            <w:r>
              <w:rPr>
                <w:b w:val="0"/>
                <w:sz w:val="16"/>
              </w:rPr>
              <w:t>Daily</w:t>
            </w:r>
          </w:p>
        </w:tc>
        <w:tc>
          <w:tcPr>
            <w:tcW w:type="dxa" w:w="2527"/>
            <w:vAlign w:val="center"/>
          </w:tcPr>
          <w:p>
            <w:r/>
            <w:r>
              <w:rPr>
                <w:b w:val="0"/>
                <w:sz w:val="16"/>
              </w:rPr>
              <w:t>Operations</w:t>
            </w:r>
          </w:p>
        </w:tc>
        <w:tc>
          <w:tcPr>
            <w:tcW w:type="dxa" w:w="2527"/>
            <w:vAlign w:val="center"/>
          </w:tcPr>
          <w:p>
            <w:r/>
            <w:r>
              <w:rPr>
                <w:b w:val="0"/>
                <w:sz w:val="16"/>
              </w:rPr>
              <w:t>Manager review and ageing</w:t>
            </w:r>
          </w:p>
        </w:tc>
      </w:tr>
      <w:tr>
        <w:trPr>
          <w:cantSplit/>
        </w:trPr>
        <w:tc>
          <w:tcPr>
            <w:tcW w:type="dxa" w:w="2527"/>
            <w:vAlign w:val="center"/>
          </w:tcPr>
          <w:p>
            <w:r/>
            <w:r>
              <w:rPr>
                <w:b w:val="0"/>
                <w:sz w:val="16"/>
              </w:rPr>
              <w:t>Exception register</w:t>
            </w:r>
          </w:p>
        </w:tc>
        <w:tc>
          <w:tcPr>
            <w:tcW w:type="dxa" w:w="2527"/>
            <w:vAlign w:val="center"/>
          </w:tcPr>
          <w:p>
            <w:r/>
            <w:r>
              <w:rPr>
                <w:b w:val="0"/>
                <w:sz w:val="16"/>
              </w:rPr>
              <w:t>Daily</w:t>
            </w:r>
          </w:p>
        </w:tc>
        <w:tc>
          <w:tcPr>
            <w:tcW w:type="dxa" w:w="2527"/>
            <w:vAlign w:val="center"/>
          </w:tcPr>
          <w:p>
            <w:r/>
            <w:r>
              <w:rPr>
                <w:b w:val="0"/>
                <w:sz w:val="16"/>
              </w:rPr>
              <w:t>Risk/Operations</w:t>
            </w:r>
          </w:p>
        </w:tc>
        <w:tc>
          <w:tcPr>
            <w:tcW w:type="dxa" w:w="2527"/>
            <w:vAlign w:val="center"/>
          </w:tcPr>
          <w:p>
            <w:r/>
            <w:r>
              <w:rPr>
                <w:b w:val="0"/>
                <w:sz w:val="16"/>
              </w:rPr>
              <w:t>Expiry and authority validation</w:t>
            </w:r>
          </w:p>
        </w:tc>
      </w:tr>
    </w:tbl>
    <w:p/>
    <w:p>
      <w:r>
        <w:br w:type="page"/>
      </w:r>
    </w:p>
    <w:p>
      <w:pPr>
        <w:pStyle w:val="Heading1"/>
      </w:pPr>
      <w:r>
        <w:t>Appendix H — Investment Record Retention Schedule</w:t>
      </w:r>
    </w:p>
    <w:p>
      <w:pPr>
        <w:spacing w:after="100"/>
      </w:pPr>
      <w:r>
        <w:t>Retention periods are internal Northstar control periods and do not represent legal minimums. If a confirmed legal requirement requires longer retention, that requirement prevails.</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Record</w:t>
            </w:r>
          </w:p>
        </w:tc>
        <w:tc>
          <w:tcPr>
            <w:tcW w:type="dxa" w:w="5054"/>
            <w:vAlign w:val="center"/>
            <w:shd w:fill="17365D"/>
          </w:tcPr>
          <w:p>
            <w:r/>
            <w:r>
              <w:rPr>
                <w:b/>
                <w:color w:val="FFFFFF"/>
                <w:sz w:val="16"/>
              </w:rPr>
              <w:t>Internal Minimum</w:t>
            </w:r>
          </w:p>
        </w:tc>
      </w:tr>
      <w:tr>
        <w:trPr>
          <w:cantSplit/>
        </w:trPr>
        <w:tc>
          <w:tcPr>
            <w:tcW w:type="dxa" w:w="5054"/>
            <w:vAlign w:val="center"/>
          </w:tcPr>
          <w:p>
            <w:r/>
            <w:r>
              <w:rPr>
                <w:b w:val="0"/>
                <w:sz w:val="16"/>
              </w:rPr>
              <w:t>Investment memorandum and approvals</w:t>
            </w:r>
          </w:p>
        </w:tc>
        <w:tc>
          <w:tcPr>
            <w:tcW w:type="dxa" w:w="5054"/>
            <w:vAlign w:val="center"/>
          </w:tcPr>
          <w:p>
            <w:r/>
            <w:r>
              <w:rPr>
                <w:b w:val="0"/>
                <w:sz w:val="16"/>
              </w:rPr>
              <w:t>8 years after disposal/maturity</w:t>
            </w:r>
          </w:p>
        </w:tc>
      </w:tr>
      <w:tr>
        <w:trPr>
          <w:cantSplit/>
        </w:trPr>
        <w:tc>
          <w:tcPr>
            <w:tcW w:type="dxa" w:w="5054"/>
            <w:vAlign w:val="center"/>
          </w:tcPr>
          <w:p>
            <w:r/>
            <w:r>
              <w:rPr>
                <w:b w:val="0"/>
                <w:sz w:val="16"/>
              </w:rPr>
              <w:t>Trade confirmations and settlement evidence</w:t>
            </w:r>
          </w:p>
        </w:tc>
        <w:tc>
          <w:tcPr>
            <w:tcW w:type="dxa" w:w="5054"/>
            <w:vAlign w:val="center"/>
          </w:tcPr>
          <w:p>
            <w:r/>
            <w:r>
              <w:rPr>
                <w:b w:val="0"/>
                <w:sz w:val="16"/>
              </w:rPr>
              <w:t>8 years</w:t>
            </w:r>
          </w:p>
        </w:tc>
      </w:tr>
      <w:tr>
        <w:trPr>
          <w:cantSplit/>
        </w:trPr>
        <w:tc>
          <w:tcPr>
            <w:tcW w:type="dxa" w:w="5054"/>
            <w:vAlign w:val="center"/>
          </w:tcPr>
          <w:p>
            <w:r/>
            <w:r>
              <w:rPr>
                <w:b w:val="0"/>
                <w:sz w:val="16"/>
              </w:rPr>
              <w:t>Issuer due diligence and credit reviews</w:t>
            </w:r>
          </w:p>
        </w:tc>
        <w:tc>
          <w:tcPr>
            <w:tcW w:type="dxa" w:w="5054"/>
            <w:vAlign w:val="center"/>
          </w:tcPr>
          <w:p>
            <w:r/>
            <w:r>
              <w:rPr>
                <w:b w:val="0"/>
                <w:sz w:val="16"/>
              </w:rPr>
              <w:t>8 years after relationship ends</w:t>
            </w:r>
          </w:p>
        </w:tc>
      </w:tr>
      <w:tr>
        <w:trPr>
          <w:cantSplit/>
        </w:trPr>
        <w:tc>
          <w:tcPr>
            <w:tcW w:type="dxa" w:w="5054"/>
            <w:vAlign w:val="center"/>
          </w:tcPr>
          <w:p>
            <w:r/>
            <w:r>
              <w:rPr>
                <w:b w:val="0"/>
                <w:sz w:val="16"/>
              </w:rPr>
              <w:t>Daily limit reports</w:t>
            </w:r>
          </w:p>
        </w:tc>
        <w:tc>
          <w:tcPr>
            <w:tcW w:type="dxa" w:w="5054"/>
            <w:vAlign w:val="center"/>
          </w:tcPr>
          <w:p>
            <w:r/>
            <w:r>
              <w:rPr>
                <w:b w:val="0"/>
                <w:sz w:val="16"/>
              </w:rPr>
              <w:t>5 years</w:t>
            </w:r>
          </w:p>
        </w:tc>
      </w:tr>
      <w:tr>
        <w:trPr>
          <w:cantSplit/>
        </w:trPr>
        <w:tc>
          <w:tcPr>
            <w:tcW w:type="dxa" w:w="5054"/>
            <w:vAlign w:val="center"/>
          </w:tcPr>
          <w:p>
            <w:r/>
            <w:r>
              <w:rPr>
                <w:b w:val="0"/>
                <w:sz w:val="16"/>
              </w:rPr>
              <w:t>Valuation/IPV evidence</w:t>
            </w:r>
          </w:p>
        </w:tc>
        <w:tc>
          <w:tcPr>
            <w:tcW w:type="dxa" w:w="5054"/>
            <w:vAlign w:val="center"/>
          </w:tcPr>
          <w:p>
            <w:r/>
            <w:r>
              <w:rPr>
                <w:b w:val="0"/>
                <w:sz w:val="16"/>
              </w:rPr>
              <w:t>7 years</w:t>
            </w:r>
          </w:p>
        </w:tc>
      </w:tr>
      <w:tr>
        <w:trPr>
          <w:cantSplit/>
        </w:trPr>
        <w:tc>
          <w:tcPr>
            <w:tcW w:type="dxa" w:w="5054"/>
            <w:vAlign w:val="center"/>
          </w:tcPr>
          <w:p>
            <w:r/>
            <w:r>
              <w:rPr>
                <w:b w:val="0"/>
                <w:sz w:val="16"/>
              </w:rPr>
              <w:t>Watchlist records</w:t>
            </w:r>
          </w:p>
        </w:tc>
        <w:tc>
          <w:tcPr>
            <w:tcW w:type="dxa" w:w="5054"/>
            <w:vAlign w:val="center"/>
          </w:tcPr>
          <w:p>
            <w:r/>
            <w:r>
              <w:rPr>
                <w:b w:val="0"/>
                <w:sz w:val="16"/>
              </w:rPr>
              <w:t>7 years after removal</w:t>
            </w:r>
          </w:p>
        </w:tc>
      </w:tr>
      <w:tr>
        <w:trPr>
          <w:cantSplit/>
        </w:trPr>
        <w:tc>
          <w:tcPr>
            <w:tcW w:type="dxa" w:w="5054"/>
            <w:vAlign w:val="center"/>
          </w:tcPr>
          <w:p>
            <w:r/>
            <w:r>
              <w:rPr>
                <w:b w:val="0"/>
                <w:sz w:val="16"/>
              </w:rPr>
              <w:t>Exception and breach records</w:t>
            </w:r>
          </w:p>
        </w:tc>
        <w:tc>
          <w:tcPr>
            <w:tcW w:type="dxa" w:w="5054"/>
            <w:vAlign w:val="center"/>
          </w:tcPr>
          <w:p>
            <w:r/>
            <w:r>
              <w:rPr>
                <w:b w:val="0"/>
                <w:sz w:val="16"/>
              </w:rPr>
              <w:t>8 years after closure</w:t>
            </w:r>
          </w:p>
        </w:tc>
      </w:tr>
      <w:tr>
        <w:trPr>
          <w:cantSplit/>
        </w:trPr>
        <w:tc>
          <w:tcPr>
            <w:tcW w:type="dxa" w:w="5054"/>
            <w:vAlign w:val="center"/>
          </w:tcPr>
          <w:p>
            <w:r/>
            <w:r>
              <w:rPr>
                <w:b w:val="0"/>
                <w:sz w:val="16"/>
              </w:rPr>
              <w:t>Committee papers/minutes</w:t>
            </w:r>
          </w:p>
        </w:tc>
        <w:tc>
          <w:tcPr>
            <w:tcW w:type="dxa" w:w="5054"/>
            <w:vAlign w:val="center"/>
          </w:tcPr>
          <w:p>
            <w:r/>
            <w:r>
              <w:rPr>
                <w:b w:val="0"/>
                <w:sz w:val="16"/>
              </w:rPr>
              <w:t>Permanent controlled archive unless governance schedule specifies otherwise</w:t>
            </w:r>
          </w:p>
        </w:tc>
      </w:tr>
    </w:tbl>
    <w:p/>
    <w:sectPr w:rsidR="00FC693F" w:rsidRPr="0006063C" w:rsidSect="00034616">
      <w:headerReference w:type="default" r:id="rId9"/>
      <w:footerReference w:type="default" r:id="rId10"/>
      <w:pgSz w:w="12240" w:h="15840"/>
      <w:pgMar w:top="1037"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3"/>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