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rPr>
          <w:b/>
          <w:sz w:val="40"/>
        </w:rPr>
        <w:t>NORTHSTAR FINANCIAL</w:t>
      </w:r>
    </w:p>
    <w:p>
      <w:pPr>
        <w:jc w:val="center"/>
      </w:pPr>
      <w:r>
        <w:rPr>
          <w:b/>
          <w:sz w:val="38"/>
        </w:rPr>
        <w:t>KYC Escalation Procedure</w:t>
      </w:r>
    </w:p>
    <w:p>
      <w:pPr>
        <w:jc w:val="center"/>
      </w:pPr>
      <w:r>
        <w:rPr>
          <w:b/>
          <w:sz w:val="24"/>
        </w:rPr>
        <w:t>KEP-022</w:t>
      </w:r>
    </w:p>
    <w:p>
      <w:pPr>
        <w:jc w:val="center"/>
      </w:pPr>
      <w:r>
        <w:rPr>
          <w:b/>
        </w:rPr>
        <w:t>Version 1.1  |  Effective 1 August 2025</w:t>
      </w:r>
    </w:p>
    <w:p>
      <w:pPr>
        <w:jc w:val="center"/>
      </w:pPr>
      <w:r>
        <w:rPr>
          <w:b/>
        </w:rPr>
        <w:t>Classification: INTERNAL — CONTROLLED</w:t>
      </w:r>
    </w:p>
    <w:p>
      <w:pPr>
        <w:spacing w:before="280"/>
        <w:jc w:val="center"/>
      </w:pPr>
      <w:r>
        <w:rPr>
          <w:i/>
          <w:sz w:val="17"/>
        </w:rPr>
        <w:t>Northstar Financial — Synthetic Internal Document. This document is fictional and created solely for educational and software-development purposes. It does not represent an actual financial institution, regulatory requirement, legal obligation, or financial advice.</w:t>
      </w:r>
    </w:p>
    <w:p>
      <w:pPr>
        <w:pStyle w:val="Heading1"/>
      </w:pPr>
      <w:r>
        <w:t>Document Control</w:t>
      </w:r>
    </w:p>
    <w:tbl>
      <w:tblPr>
        <w:tblStyle w:val="TableGrid"/>
        <w:tblW w:type="auto" w:w="0"/>
        <w:jc w:val="center"/>
        <w:tblLook w:firstColumn="1" w:firstRow="1" w:lastColumn="0" w:lastRow="0" w:noHBand="0" w:noVBand="1" w:val="04A0"/>
      </w:tblPr>
      <w:tblGrid>
        <w:gridCol w:w="5184"/>
        <w:gridCol w:w="5184"/>
      </w:tblGrid>
      <w:tr>
        <w:tc>
          <w:tcPr>
            <w:tcW w:type="dxa" w:w="3024"/>
            <w:vAlign w:val="center"/>
            <w:tcMar>
              <w:top w:w="70" w:type="dxa"/>
              <w:start w:w="80" w:type="dxa"/>
              <w:bottom w:w="70" w:type="dxa"/>
              <w:end w:w="80" w:type="dxa"/>
            </w:tcMar>
          </w:tcPr>
          <w:p>
            <w:pPr>
              <w:spacing w:after="0" w:before="0"/>
            </w:pPr>
            <w:r>
              <w:rPr>
                <w:sz w:val="16"/>
              </w:rPr>
              <w:t>Document ID</w:t>
            </w:r>
          </w:p>
        </w:tc>
        <w:tc>
          <w:tcPr>
            <w:tcW w:type="dxa" w:w="6912"/>
            <w:vAlign w:val="center"/>
            <w:tcMar>
              <w:top w:w="70" w:type="dxa"/>
              <w:start w:w="80" w:type="dxa"/>
              <w:bottom w:w="70" w:type="dxa"/>
              <w:end w:w="80" w:type="dxa"/>
            </w:tcMar>
          </w:tcPr>
          <w:p>
            <w:pPr>
              <w:spacing w:after="0" w:before="0"/>
            </w:pPr>
            <w:r>
              <w:rPr>
                <w:sz w:val="16"/>
              </w:rPr>
              <w:t>KEP-022</w:t>
            </w:r>
          </w:p>
        </w:tc>
      </w:tr>
      <w:tr>
        <w:tc>
          <w:tcPr>
            <w:tcW w:type="dxa" w:w="3024"/>
            <w:vAlign w:val="center"/>
            <w:tcMar>
              <w:top w:w="70" w:type="dxa"/>
              <w:start w:w="80" w:type="dxa"/>
              <w:bottom w:w="70" w:type="dxa"/>
              <w:end w:w="80" w:type="dxa"/>
            </w:tcMar>
          </w:tcPr>
          <w:p>
            <w:pPr>
              <w:spacing w:after="0" w:before="0"/>
            </w:pPr>
            <w:r>
              <w:rPr>
                <w:sz w:val="16"/>
              </w:rPr>
              <w:t>Document Title</w:t>
            </w:r>
          </w:p>
        </w:tc>
        <w:tc>
          <w:tcPr>
            <w:tcW w:type="dxa" w:w="6912"/>
            <w:vAlign w:val="center"/>
            <w:tcMar>
              <w:top w:w="70" w:type="dxa"/>
              <w:start w:w="80" w:type="dxa"/>
              <w:bottom w:w="70" w:type="dxa"/>
              <w:end w:w="80" w:type="dxa"/>
            </w:tcMar>
          </w:tcPr>
          <w:p>
            <w:pPr>
              <w:spacing w:after="0" w:before="0"/>
            </w:pPr>
            <w:r>
              <w:rPr>
                <w:sz w:val="16"/>
              </w:rPr>
              <w:t>KYC Escalation Procedure</w:t>
            </w:r>
          </w:p>
        </w:tc>
      </w:tr>
      <w:tr>
        <w:tc>
          <w:tcPr>
            <w:tcW w:type="dxa" w:w="3024"/>
            <w:vAlign w:val="center"/>
            <w:tcMar>
              <w:top w:w="70" w:type="dxa"/>
              <w:start w:w="80" w:type="dxa"/>
              <w:bottom w:w="70" w:type="dxa"/>
              <w:end w:w="80" w:type="dxa"/>
            </w:tcMar>
          </w:tcPr>
          <w:p>
            <w:pPr>
              <w:spacing w:after="0" w:before="0"/>
            </w:pPr>
            <w:r>
              <w:rPr>
                <w:sz w:val="16"/>
              </w:rPr>
              <w:t>Version</w:t>
            </w:r>
          </w:p>
        </w:tc>
        <w:tc>
          <w:tcPr>
            <w:tcW w:type="dxa" w:w="6912"/>
            <w:vAlign w:val="center"/>
            <w:tcMar>
              <w:top w:w="70" w:type="dxa"/>
              <w:start w:w="80" w:type="dxa"/>
              <w:bottom w:w="70" w:type="dxa"/>
              <w:end w:w="80" w:type="dxa"/>
            </w:tcMar>
          </w:tcPr>
          <w:p>
            <w:pPr>
              <w:spacing w:after="0" w:before="0"/>
            </w:pPr>
            <w:r>
              <w:rPr>
                <w:sz w:val="16"/>
              </w:rPr>
              <w:t>1.1</w:t>
            </w:r>
          </w:p>
        </w:tc>
      </w:tr>
      <w:tr>
        <w:tc>
          <w:tcPr>
            <w:tcW w:type="dxa" w:w="3024"/>
            <w:vAlign w:val="center"/>
            <w:tcMar>
              <w:top w:w="70" w:type="dxa"/>
              <w:start w:w="80" w:type="dxa"/>
              <w:bottom w:w="70" w:type="dxa"/>
              <w:end w:w="80" w:type="dxa"/>
            </w:tcMar>
          </w:tcPr>
          <w:p>
            <w:pPr>
              <w:spacing w:after="0" w:before="0"/>
            </w:pPr>
            <w:r>
              <w:rPr>
                <w:sz w:val="16"/>
              </w:rPr>
              <w:t>Policy / Procedure Owner</w:t>
            </w:r>
          </w:p>
        </w:tc>
        <w:tc>
          <w:tcPr>
            <w:tcW w:type="dxa" w:w="6912"/>
            <w:vAlign w:val="center"/>
            <w:tcMar>
              <w:top w:w="70" w:type="dxa"/>
              <w:start w:w="80" w:type="dxa"/>
              <w:bottom w:w="70" w:type="dxa"/>
              <w:end w:w="80" w:type="dxa"/>
            </w:tcMar>
          </w:tcPr>
          <w:p>
            <w:pPr>
              <w:spacing w:after="0" w:before="0"/>
            </w:pPr>
            <w:r>
              <w:rPr>
                <w:sz w:val="16"/>
              </w:rPr>
              <w:t>Meera Kulkarni — Head of KYC Operations</w:t>
            </w:r>
          </w:p>
        </w:tc>
      </w:tr>
      <w:tr>
        <w:tc>
          <w:tcPr>
            <w:tcW w:type="dxa" w:w="3024"/>
            <w:vAlign w:val="center"/>
            <w:tcMar>
              <w:top w:w="70" w:type="dxa"/>
              <w:start w:w="80" w:type="dxa"/>
              <w:bottom w:w="70" w:type="dxa"/>
              <w:end w:w="80" w:type="dxa"/>
            </w:tcMar>
          </w:tcPr>
          <w:p>
            <w:pPr>
              <w:spacing w:after="0" w:before="0"/>
            </w:pPr>
            <w:r>
              <w:rPr>
                <w:sz w:val="16"/>
              </w:rPr>
              <w:t>Business Unit</w:t>
            </w:r>
          </w:p>
        </w:tc>
        <w:tc>
          <w:tcPr>
            <w:tcW w:type="dxa" w:w="6912"/>
            <w:vAlign w:val="center"/>
            <w:tcMar>
              <w:top w:w="70" w:type="dxa"/>
              <w:start w:w="80" w:type="dxa"/>
              <w:bottom w:w="70" w:type="dxa"/>
              <w:end w:w="80" w:type="dxa"/>
            </w:tcMar>
          </w:tcPr>
          <w:p>
            <w:pPr>
              <w:spacing w:after="0" w:before="0"/>
            </w:pPr>
            <w:r>
              <w:rPr>
                <w:sz w:val="16"/>
              </w:rPr>
              <w:t>KYC Operations</w:t>
            </w:r>
          </w:p>
        </w:tc>
      </w:tr>
      <w:tr>
        <w:tc>
          <w:tcPr>
            <w:tcW w:type="dxa" w:w="3024"/>
            <w:vAlign w:val="center"/>
            <w:tcMar>
              <w:top w:w="70" w:type="dxa"/>
              <w:start w:w="80" w:type="dxa"/>
              <w:bottom w:w="70" w:type="dxa"/>
              <w:end w:w="80" w:type="dxa"/>
            </w:tcMar>
          </w:tcPr>
          <w:p>
            <w:pPr>
              <w:spacing w:after="0" w:before="0"/>
            </w:pPr>
            <w:r>
              <w:rPr>
                <w:sz w:val="16"/>
              </w:rPr>
              <w:t>Approving Authority</w:t>
            </w:r>
          </w:p>
        </w:tc>
        <w:tc>
          <w:tcPr>
            <w:tcW w:type="dxa" w:w="6912"/>
            <w:vAlign w:val="center"/>
            <w:tcMar>
              <w:top w:w="70" w:type="dxa"/>
              <w:start w:w="80" w:type="dxa"/>
              <w:bottom w:w="70" w:type="dxa"/>
              <w:end w:w="80" w:type="dxa"/>
            </w:tcMar>
          </w:tcPr>
          <w:p>
            <w:pPr>
              <w:spacing w:after="0" w:before="0"/>
            </w:pPr>
            <w:r>
              <w:rPr>
                <w:sz w:val="16"/>
              </w:rPr>
              <w:t>Sanjay Iyer — Chief Compliance Officer</w:t>
            </w:r>
          </w:p>
        </w:tc>
      </w:tr>
      <w:tr>
        <w:tc>
          <w:tcPr>
            <w:tcW w:type="dxa" w:w="3024"/>
            <w:vAlign w:val="center"/>
            <w:tcMar>
              <w:top w:w="70" w:type="dxa"/>
              <w:start w:w="80" w:type="dxa"/>
              <w:bottom w:w="70" w:type="dxa"/>
              <w:end w:w="80" w:type="dxa"/>
            </w:tcMar>
          </w:tcPr>
          <w:p>
            <w:pPr>
              <w:spacing w:after="0" w:before="0"/>
            </w:pPr>
            <w:r>
              <w:rPr>
                <w:sz w:val="16"/>
              </w:rPr>
              <w:t>Effective Date</w:t>
            </w:r>
          </w:p>
        </w:tc>
        <w:tc>
          <w:tcPr>
            <w:tcW w:type="dxa" w:w="6912"/>
            <w:vAlign w:val="center"/>
            <w:tcMar>
              <w:top w:w="70" w:type="dxa"/>
              <w:start w:w="80" w:type="dxa"/>
              <w:bottom w:w="70" w:type="dxa"/>
              <w:end w:w="80" w:type="dxa"/>
            </w:tcMar>
          </w:tcPr>
          <w:p>
            <w:pPr>
              <w:spacing w:after="0" w:before="0"/>
            </w:pPr>
            <w:r>
              <w:rPr>
                <w:sz w:val="16"/>
              </w:rPr>
              <w:t>1 August 2025</w:t>
            </w:r>
          </w:p>
        </w:tc>
      </w:tr>
      <w:tr>
        <w:tc>
          <w:tcPr>
            <w:tcW w:type="dxa" w:w="3024"/>
            <w:vAlign w:val="center"/>
            <w:tcMar>
              <w:top w:w="70" w:type="dxa"/>
              <w:start w:w="80" w:type="dxa"/>
              <w:bottom w:w="70" w:type="dxa"/>
              <w:end w:w="80" w:type="dxa"/>
            </w:tcMar>
          </w:tcPr>
          <w:p>
            <w:pPr>
              <w:spacing w:after="0" w:before="0"/>
            </w:pPr>
            <w:r>
              <w:rPr>
                <w:sz w:val="16"/>
              </w:rPr>
              <w:t>Previous Version</w:t>
            </w:r>
          </w:p>
        </w:tc>
        <w:tc>
          <w:tcPr>
            <w:tcW w:type="dxa" w:w="6912"/>
            <w:vAlign w:val="center"/>
            <w:tcMar>
              <w:top w:w="70" w:type="dxa"/>
              <w:start w:w="80" w:type="dxa"/>
              <w:bottom w:w="70" w:type="dxa"/>
              <w:end w:w="80" w:type="dxa"/>
            </w:tcMar>
          </w:tcPr>
          <w:p>
            <w:pPr>
              <w:spacing w:after="0" w:before="0"/>
            </w:pPr>
            <w:r>
              <w:rPr>
                <w:sz w:val="16"/>
              </w:rPr>
              <w:t>1.0 — 1 March 2024</w:t>
            </w:r>
          </w:p>
        </w:tc>
      </w:tr>
      <w:tr>
        <w:tc>
          <w:tcPr>
            <w:tcW w:type="dxa" w:w="3024"/>
            <w:vAlign w:val="center"/>
            <w:tcMar>
              <w:top w:w="70" w:type="dxa"/>
              <w:start w:w="80" w:type="dxa"/>
              <w:bottom w:w="70" w:type="dxa"/>
              <w:end w:w="80" w:type="dxa"/>
            </w:tcMar>
          </w:tcPr>
          <w:p>
            <w:pPr>
              <w:spacing w:after="0" w:before="0"/>
            </w:pPr>
            <w:r>
              <w:rPr>
                <w:sz w:val="16"/>
              </w:rPr>
              <w:t>Review Frequency</w:t>
            </w:r>
          </w:p>
        </w:tc>
        <w:tc>
          <w:tcPr>
            <w:tcW w:type="dxa" w:w="6912"/>
            <w:vAlign w:val="center"/>
            <w:tcMar>
              <w:top w:w="70" w:type="dxa"/>
              <w:start w:w="80" w:type="dxa"/>
              <w:bottom w:w="70" w:type="dxa"/>
              <w:end w:w="80" w:type="dxa"/>
            </w:tcMar>
          </w:tcPr>
          <w:p>
            <w:pPr>
              <w:spacing w:after="0" w:before="0"/>
            </w:pPr>
            <w:r>
              <w:rPr>
                <w:sz w:val="16"/>
              </w:rPr>
              <w:t>Annual</w:t>
            </w:r>
          </w:p>
        </w:tc>
      </w:tr>
      <w:tr>
        <w:tc>
          <w:tcPr>
            <w:tcW w:type="dxa" w:w="3024"/>
            <w:vAlign w:val="center"/>
            <w:tcMar>
              <w:top w:w="70" w:type="dxa"/>
              <w:start w:w="80" w:type="dxa"/>
              <w:bottom w:w="70" w:type="dxa"/>
              <w:end w:w="80" w:type="dxa"/>
            </w:tcMar>
          </w:tcPr>
          <w:p>
            <w:pPr>
              <w:spacing w:after="0" w:before="0"/>
            </w:pPr>
            <w:r>
              <w:rPr>
                <w:sz w:val="16"/>
              </w:rPr>
              <w:t>Classification</w:t>
            </w:r>
          </w:p>
        </w:tc>
        <w:tc>
          <w:tcPr>
            <w:tcW w:type="dxa" w:w="6912"/>
            <w:vAlign w:val="center"/>
            <w:tcMar>
              <w:top w:w="70" w:type="dxa"/>
              <w:start w:w="80" w:type="dxa"/>
              <w:bottom w:w="70" w:type="dxa"/>
              <w:end w:w="80" w:type="dxa"/>
            </w:tcMar>
          </w:tcPr>
          <w:p>
            <w:pPr>
              <w:spacing w:after="0" w:before="0"/>
            </w:pPr>
            <w:r>
              <w:rPr>
                <w:sz w:val="16"/>
              </w:rPr>
              <w:t>INTERNAL — CONTROLLED</w:t>
            </w:r>
          </w:p>
        </w:tc>
      </w:tr>
      <w:tr>
        <w:tc>
          <w:tcPr>
            <w:tcW w:type="dxa" w:w="3024"/>
            <w:vAlign w:val="center"/>
            <w:tcMar>
              <w:top w:w="70" w:type="dxa"/>
              <w:start w:w="80" w:type="dxa"/>
              <w:bottom w:w="70" w:type="dxa"/>
              <w:end w:w="80" w:type="dxa"/>
            </w:tcMar>
          </w:tcPr>
          <w:p>
            <w:pPr>
              <w:spacing w:after="0" w:before="0"/>
            </w:pPr>
            <w:r>
              <w:rPr>
                <w:sz w:val="16"/>
              </w:rPr>
              <w:t>Status</w:t>
            </w:r>
          </w:p>
        </w:tc>
        <w:tc>
          <w:tcPr>
            <w:tcW w:type="dxa" w:w="6912"/>
            <w:vAlign w:val="center"/>
            <w:tcMar>
              <w:top w:w="70" w:type="dxa"/>
              <w:start w:w="80" w:type="dxa"/>
              <w:bottom w:w="70" w:type="dxa"/>
              <w:end w:w="80" w:type="dxa"/>
            </w:tcMar>
          </w:tcPr>
          <w:p>
            <w:pPr>
              <w:spacing w:after="0" w:before="0"/>
            </w:pPr>
            <w:r>
              <w:rPr>
                <w:sz w:val="16"/>
              </w:rPr>
              <w:t>Approved</w:t>
            </w:r>
          </w:p>
        </w:tc>
      </w:tr>
      <w:tr>
        <w:tc>
          <w:tcPr>
            <w:tcW w:type="dxa" w:w="3024"/>
            <w:vAlign w:val="center"/>
            <w:tcMar>
              <w:top w:w="70" w:type="dxa"/>
              <w:start w:w="80" w:type="dxa"/>
              <w:bottom w:w="70" w:type="dxa"/>
              <w:end w:w="80" w:type="dxa"/>
            </w:tcMar>
          </w:tcPr>
          <w:p>
            <w:pPr>
              <w:spacing w:after="0" w:before="0"/>
            </w:pPr>
            <w:r>
              <w:rPr>
                <w:sz w:val="16"/>
              </w:rPr>
              <w:t>Supersedes</w:t>
            </w:r>
          </w:p>
        </w:tc>
        <w:tc>
          <w:tcPr>
            <w:tcW w:type="dxa" w:w="6912"/>
            <w:vAlign w:val="center"/>
            <w:tcMar>
              <w:top w:w="70" w:type="dxa"/>
              <w:start w:w="80" w:type="dxa"/>
              <w:bottom w:w="70" w:type="dxa"/>
              <w:end w:w="80" w:type="dxa"/>
            </w:tcMar>
          </w:tcPr>
          <w:p>
            <w:pPr>
              <w:spacing w:after="0" w:before="0"/>
            </w:pPr>
            <w:r>
              <w:rPr>
                <w:sz w:val="16"/>
              </w:rPr>
              <w:t>KEP-022 v1.0</w:t>
            </w:r>
          </w:p>
        </w:tc>
      </w:tr>
      <w:tr>
        <w:tc>
          <w:tcPr>
            <w:tcW w:type="dxa" w:w="3024"/>
            <w:vAlign w:val="center"/>
            <w:tcMar>
              <w:top w:w="70" w:type="dxa"/>
              <w:start w:w="80" w:type="dxa"/>
              <w:bottom w:w="70" w:type="dxa"/>
              <w:end w:w="80" w:type="dxa"/>
            </w:tcMar>
          </w:tcPr>
          <w:p>
            <w:pPr>
              <w:spacing w:after="0" w:before="0"/>
            </w:pPr>
            <w:r>
              <w:rPr>
                <w:sz w:val="16"/>
              </w:rPr>
              <w:t>Related Documents</w:t>
            </w:r>
          </w:p>
        </w:tc>
        <w:tc>
          <w:tcPr>
            <w:tcW w:type="dxa" w:w="6912"/>
            <w:vAlign w:val="center"/>
            <w:tcMar>
              <w:top w:w="70" w:type="dxa"/>
              <w:start w:w="80" w:type="dxa"/>
              <w:bottom w:w="70" w:type="dxa"/>
              <w:end w:w="80" w:type="dxa"/>
            </w:tcMar>
          </w:tcPr>
          <w:p>
            <w:pPr>
              <w:spacing w:after="0" w:before="0"/>
            </w:pPr>
            <w:r>
              <w:rPr>
                <w:sz w:val="16"/>
              </w:rPr>
              <w:t>KYC-004 v2.1; COP-021 v1.2; AML-003; ATM-031; Compliance Breach Procedure (future)</w:t>
            </w:r>
          </w:p>
        </w:tc>
      </w:tr>
    </w:tbl>
    <w:p>
      <w:pPr>
        <w:spacing w:after="20"/>
      </w:pPr>
    </w:p>
    <w:p>
      <w:pPr>
        <w:pStyle w:val="Heading2"/>
      </w:pPr>
      <w:r>
        <w:t>Approval Record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70" w:type="dxa"/>
              <w:start w:w="80" w:type="dxa"/>
              <w:bottom w:w="70" w:type="dxa"/>
              <w:end w:w="80" w:type="dxa"/>
            </w:tcMar>
            <w:shd w:fill="1F4E78"/>
          </w:tcPr>
          <w:p>
            <w:pPr>
              <w:spacing w:after="0" w:before="0"/>
            </w:pPr>
            <w:r>
              <w:rPr>
                <w:b/>
                <w:sz w:val="16"/>
                <w:color w:val="FFFFFF"/>
              </w:rPr>
              <w:t>Role</w:t>
            </w:r>
          </w:p>
        </w:tc>
        <w:tc>
          <w:tcPr>
            <w:tcW w:type="dxa" w:w="2592"/>
            <w:vAlign w:val="center"/>
            <w:tcMar>
              <w:top w:w="70" w:type="dxa"/>
              <w:start w:w="80" w:type="dxa"/>
              <w:bottom w:w="70" w:type="dxa"/>
              <w:end w:w="80" w:type="dxa"/>
            </w:tcMar>
            <w:shd w:fill="1F4E78"/>
          </w:tcPr>
          <w:p>
            <w:pPr>
              <w:spacing w:after="0" w:before="0"/>
            </w:pPr>
            <w:r>
              <w:rPr>
                <w:b/>
                <w:sz w:val="16"/>
                <w:color w:val="FFFFFF"/>
              </w:rPr>
              <w:t>Name / Committee</w:t>
            </w:r>
          </w:p>
        </w:tc>
        <w:tc>
          <w:tcPr>
            <w:tcW w:type="dxa" w:w="2592"/>
            <w:vAlign w:val="center"/>
            <w:tcMar>
              <w:top w:w="70" w:type="dxa"/>
              <w:start w:w="80" w:type="dxa"/>
              <w:bottom w:w="70" w:type="dxa"/>
              <w:end w:w="80" w:type="dxa"/>
            </w:tcMar>
            <w:shd w:fill="1F4E78"/>
          </w:tcPr>
          <w:p>
            <w:pPr>
              <w:spacing w:after="0" w:before="0"/>
            </w:pPr>
            <w:r>
              <w:rPr>
                <w:b/>
                <w:sz w:val="16"/>
                <w:color w:val="FFFFFF"/>
              </w:rPr>
              <w:t>Decision</w:t>
            </w:r>
          </w:p>
        </w:tc>
        <w:tc>
          <w:tcPr>
            <w:tcW w:type="dxa" w:w="2592"/>
            <w:vAlign w:val="center"/>
            <w:tcMar>
              <w:top w:w="70" w:type="dxa"/>
              <w:start w:w="80" w:type="dxa"/>
              <w:bottom w:w="70" w:type="dxa"/>
              <w:end w:w="80" w:type="dxa"/>
            </w:tcMar>
            <w:shd w:fill="1F4E78"/>
          </w:tcPr>
          <w:p>
            <w:pPr>
              <w:spacing w:after="0" w:before="0"/>
            </w:pPr>
            <w:r>
              <w:rPr>
                <w:b/>
                <w:sz w:val="16"/>
                <w:color w:val="FFFFFF"/>
              </w:rPr>
              <w:t>Date</w:t>
            </w:r>
          </w:p>
        </w:tc>
      </w:tr>
      <w:tr>
        <w:tc>
          <w:tcPr>
            <w:tcW w:type="dxa" w:w="2592"/>
            <w:vAlign w:val="center"/>
            <w:tcMar>
              <w:top w:w="70" w:type="dxa"/>
              <w:start w:w="80" w:type="dxa"/>
              <w:bottom w:w="70" w:type="dxa"/>
              <w:end w:w="80" w:type="dxa"/>
            </w:tcMar>
          </w:tcPr>
          <w:p>
            <w:pPr>
              <w:spacing w:after="0" w:before="0"/>
            </w:pPr>
            <w:r>
              <w:rPr>
                <w:sz w:val="16"/>
              </w:rPr>
              <w:t>Approving Authority</w:t>
            </w:r>
          </w:p>
        </w:tc>
        <w:tc>
          <w:tcPr>
            <w:tcW w:type="dxa" w:w="2592"/>
            <w:vAlign w:val="center"/>
            <w:tcMar>
              <w:top w:w="70" w:type="dxa"/>
              <w:start w:w="80" w:type="dxa"/>
              <w:bottom w:w="70" w:type="dxa"/>
              <w:end w:w="80" w:type="dxa"/>
            </w:tcMar>
          </w:tcPr>
          <w:p>
            <w:pPr>
              <w:spacing w:after="0" w:before="0"/>
            </w:pPr>
            <w:r>
              <w:rPr>
                <w:sz w:val="16"/>
              </w:rPr>
              <w:t>Sanjay Iyer — Chief Compliance Officer</w:t>
            </w:r>
          </w:p>
        </w:tc>
        <w:tc>
          <w:tcPr>
            <w:tcW w:type="dxa" w:w="2592"/>
            <w:vAlign w:val="center"/>
            <w:tcMar>
              <w:top w:w="70" w:type="dxa"/>
              <w:start w:w="80" w:type="dxa"/>
              <w:bottom w:w="70" w:type="dxa"/>
              <w:end w:w="80" w:type="dxa"/>
            </w:tcMar>
          </w:tcPr>
          <w:p>
            <w:pPr>
              <w:spacing w:after="0" w:before="0"/>
            </w:pPr>
            <w:r>
              <w:rPr>
                <w:sz w:val="16"/>
              </w:rPr>
              <w:t>Approved</w:t>
            </w:r>
          </w:p>
        </w:tc>
        <w:tc>
          <w:tcPr>
            <w:tcW w:type="dxa" w:w="2592"/>
            <w:vAlign w:val="center"/>
            <w:tcMar>
              <w:top w:w="70" w:type="dxa"/>
              <w:start w:w="80" w:type="dxa"/>
              <w:bottom w:w="70" w:type="dxa"/>
              <w:end w:w="80" w:type="dxa"/>
            </w:tcMar>
          </w:tcPr>
          <w:p>
            <w:pPr>
              <w:spacing w:after="0" w:before="0"/>
            </w:pPr>
            <w:r>
              <w:rPr>
                <w:sz w:val="16"/>
              </w:rPr>
              <w:t>21 July 2025</w:t>
            </w:r>
          </w:p>
        </w:tc>
      </w:tr>
      <w:tr>
        <w:tc>
          <w:tcPr>
            <w:tcW w:type="dxa" w:w="2592"/>
            <w:vAlign w:val="center"/>
            <w:tcMar>
              <w:top w:w="70" w:type="dxa"/>
              <w:start w:w="80" w:type="dxa"/>
              <w:bottom w:w="70" w:type="dxa"/>
              <w:end w:w="80" w:type="dxa"/>
            </w:tcMar>
          </w:tcPr>
          <w:p>
            <w:pPr>
              <w:spacing w:after="0" w:before="0"/>
            </w:pPr>
            <w:r>
              <w:rPr>
                <w:sz w:val="16"/>
              </w:rPr>
              <w:t>Procedure Owner</w:t>
            </w:r>
          </w:p>
        </w:tc>
        <w:tc>
          <w:tcPr>
            <w:tcW w:type="dxa" w:w="2592"/>
            <w:vAlign w:val="center"/>
            <w:tcMar>
              <w:top w:w="70" w:type="dxa"/>
              <w:start w:w="80" w:type="dxa"/>
              <w:bottom w:w="70" w:type="dxa"/>
              <w:end w:w="80" w:type="dxa"/>
            </w:tcMar>
          </w:tcPr>
          <w:p>
            <w:pPr>
              <w:spacing w:after="0" w:before="0"/>
            </w:pPr>
            <w:r>
              <w:rPr>
                <w:sz w:val="16"/>
              </w:rPr>
              <w:t>Meera Kulkarni — Head of KYC Operations</w:t>
            </w:r>
          </w:p>
        </w:tc>
        <w:tc>
          <w:tcPr>
            <w:tcW w:type="dxa" w:w="2592"/>
            <w:vAlign w:val="center"/>
            <w:tcMar>
              <w:top w:w="70" w:type="dxa"/>
              <w:start w:w="80" w:type="dxa"/>
              <w:bottom w:w="70" w:type="dxa"/>
              <w:end w:w="80" w:type="dxa"/>
            </w:tcMar>
          </w:tcPr>
          <w:p>
            <w:pPr>
              <w:spacing w:after="0" w:before="0"/>
            </w:pPr>
            <w:r>
              <w:rPr>
                <w:sz w:val="16"/>
              </w:rPr>
              <w:t>Certified</w:t>
            </w:r>
          </w:p>
        </w:tc>
        <w:tc>
          <w:tcPr>
            <w:tcW w:type="dxa" w:w="2592"/>
            <w:vAlign w:val="center"/>
            <w:tcMar>
              <w:top w:w="70" w:type="dxa"/>
              <w:start w:w="80" w:type="dxa"/>
              <w:bottom w:w="70" w:type="dxa"/>
              <w:end w:w="80" w:type="dxa"/>
            </w:tcMar>
          </w:tcPr>
          <w:p>
            <w:pPr>
              <w:spacing w:after="0" w:before="0"/>
            </w:pPr>
            <w:r>
              <w:rPr>
                <w:sz w:val="16"/>
              </w:rPr>
              <w:t>25 July 2025</w:t>
            </w:r>
          </w:p>
        </w:tc>
      </w:tr>
    </w:tbl>
    <w:p>
      <w:pPr>
        <w:spacing w:after="20"/>
      </w:pPr>
    </w:p>
    <w:p>
      <w:pPr>
        <w:pStyle w:val="Heading2"/>
      </w:pPr>
      <w:r>
        <w:t>Revision History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70" w:type="dxa"/>
              <w:start w:w="80" w:type="dxa"/>
              <w:bottom w:w="70" w:type="dxa"/>
              <w:end w:w="80" w:type="dxa"/>
            </w:tcMar>
            <w:shd w:fill="1F4E78"/>
          </w:tcPr>
          <w:p>
            <w:pPr>
              <w:spacing w:after="0" w:before="0"/>
            </w:pPr>
            <w:r>
              <w:rPr>
                <w:b/>
                <w:sz w:val="16"/>
                <w:color w:val="FFFFFF"/>
              </w:rPr>
              <w:t>Version</w:t>
            </w:r>
          </w:p>
        </w:tc>
        <w:tc>
          <w:tcPr>
            <w:tcW w:type="dxa" w:w="3456"/>
            <w:vAlign w:val="center"/>
            <w:tcMar>
              <w:top w:w="70" w:type="dxa"/>
              <w:start w:w="80" w:type="dxa"/>
              <w:bottom w:w="70" w:type="dxa"/>
              <w:end w:w="80" w:type="dxa"/>
            </w:tcMar>
            <w:shd w:fill="1F4E78"/>
          </w:tcPr>
          <w:p>
            <w:pPr>
              <w:spacing w:after="0" w:before="0"/>
            </w:pPr>
            <w:r>
              <w:rPr>
                <w:b/>
                <w:sz w:val="16"/>
                <w:color w:val="FFFFFF"/>
              </w:rPr>
              <w:t>Effective date</w:t>
            </w:r>
          </w:p>
        </w:tc>
        <w:tc>
          <w:tcPr>
            <w:tcW w:type="dxa" w:w="3456"/>
            <w:vAlign w:val="center"/>
            <w:tcMar>
              <w:top w:w="70" w:type="dxa"/>
              <w:start w:w="80" w:type="dxa"/>
              <w:bottom w:w="70" w:type="dxa"/>
              <w:end w:w="80" w:type="dxa"/>
            </w:tcMar>
            <w:shd w:fill="1F4E78"/>
          </w:tcPr>
          <w:p>
            <w:pPr>
              <w:spacing w:after="0" w:before="0"/>
            </w:pPr>
            <w:r>
              <w:rPr>
                <w:b/>
                <w:sz w:val="16"/>
                <w:color w:val="FFFFFF"/>
              </w:rPr>
              <w:t>Change summary</w:t>
            </w:r>
          </w:p>
        </w:tc>
      </w:tr>
      <w:tr>
        <w:tc>
          <w:tcPr>
            <w:tcW w:type="dxa" w:w="3456"/>
            <w:vAlign w:val="center"/>
            <w:tcMar>
              <w:top w:w="70" w:type="dxa"/>
              <w:start w:w="80" w:type="dxa"/>
              <w:bottom w:w="70" w:type="dxa"/>
              <w:end w:w="80" w:type="dxa"/>
            </w:tcMar>
          </w:tcPr>
          <w:p>
            <w:pPr>
              <w:spacing w:after="0" w:before="0"/>
            </w:pPr>
            <w:r>
              <w:rPr>
                <w:sz w:val="16"/>
              </w:rPr>
              <w:t>1.0</w:t>
            </w:r>
          </w:p>
        </w:tc>
        <w:tc>
          <w:tcPr>
            <w:tcW w:type="dxa" w:w="3456"/>
            <w:vAlign w:val="center"/>
            <w:tcMar>
              <w:top w:w="70" w:type="dxa"/>
              <w:start w:w="80" w:type="dxa"/>
              <w:bottom w:w="70" w:type="dxa"/>
              <w:end w:w="80" w:type="dxa"/>
            </w:tcMar>
          </w:tcPr>
          <w:p>
            <w:pPr>
              <w:spacing w:after="0" w:before="0"/>
            </w:pPr>
            <w:r>
              <w:rPr>
                <w:sz w:val="16"/>
              </w:rPr>
              <w:t>1 March 2024</w:t>
            </w:r>
          </w:p>
        </w:tc>
        <w:tc>
          <w:tcPr>
            <w:tcW w:type="dxa" w:w="3456"/>
            <w:vAlign w:val="center"/>
            <w:tcMar>
              <w:top w:w="70" w:type="dxa"/>
              <w:start w:w="80" w:type="dxa"/>
              <w:bottom w:w="70" w:type="dxa"/>
              <w:end w:w="80" w:type="dxa"/>
            </w:tcMar>
          </w:tcPr>
          <w:p>
            <w:pPr>
              <w:spacing w:after="0" w:before="0"/>
            </w:pPr>
            <w:r>
              <w:rPr>
                <w:sz w:val="16"/>
              </w:rPr>
              <w:t>Initial KYC escalation route.</w:t>
            </w:r>
          </w:p>
        </w:tc>
      </w:tr>
      <w:tr>
        <w:tc>
          <w:tcPr>
            <w:tcW w:type="dxa" w:w="3456"/>
            <w:vAlign w:val="center"/>
            <w:tcMar>
              <w:top w:w="70" w:type="dxa"/>
              <w:start w:w="80" w:type="dxa"/>
              <w:bottom w:w="70" w:type="dxa"/>
              <w:end w:w="80" w:type="dxa"/>
            </w:tcMar>
          </w:tcPr>
          <w:p>
            <w:pPr>
              <w:spacing w:after="0" w:before="0"/>
            </w:pPr>
            <w:r>
              <w:rPr>
                <w:sz w:val="16"/>
              </w:rPr>
              <w:t>1.1</w:t>
            </w:r>
          </w:p>
        </w:tc>
        <w:tc>
          <w:tcPr>
            <w:tcW w:type="dxa" w:w="3456"/>
            <w:vAlign w:val="center"/>
            <w:tcMar>
              <w:top w:w="70" w:type="dxa"/>
              <w:start w:w="80" w:type="dxa"/>
              <w:bottom w:w="70" w:type="dxa"/>
              <w:end w:w="80" w:type="dxa"/>
            </w:tcMar>
          </w:tcPr>
          <w:p>
            <w:pPr>
              <w:spacing w:after="0" w:before="0"/>
            </w:pPr>
            <w:r>
              <w:rPr>
                <w:sz w:val="16"/>
              </w:rPr>
              <w:t>1 August 2025</w:t>
            </w:r>
          </w:p>
        </w:tc>
        <w:tc>
          <w:tcPr>
            <w:tcW w:type="dxa" w:w="3456"/>
            <w:vAlign w:val="center"/>
            <w:tcMar>
              <w:top w:w="70" w:type="dxa"/>
              <w:start w:w="80" w:type="dxa"/>
              <w:bottom w:w="70" w:type="dxa"/>
              <w:end w:w="80" w:type="dxa"/>
            </w:tcMar>
          </w:tcPr>
          <w:p>
            <w:pPr>
              <w:spacing w:after="0" w:before="0"/>
            </w:pPr>
            <w:r>
              <w:rPr>
                <w:sz w:val="16"/>
              </w:rPr>
              <w:t>Added severity tiers, response expectations, beneficial-ownership and digital-onboarding escalation rules.</w:t>
            </w:r>
          </w:p>
        </w:tc>
      </w:tr>
    </w:tbl>
    <w:p>
      <w:pPr>
        <w:spacing w:after="20"/>
      </w:pPr>
    </w:p>
    <w:p>
      <w:pPr>
        <w:ind w:left="259" w:right="259"/>
      </w:pPr>
      <w:r>
        <w:rPr>
          <w:i/>
          <w:sz w:val="16"/>
        </w:rPr>
        <w:t>Controlled copies are maintained in the Northstar Financial policy repository. Printed or locally saved copies are uncontrolled unless explicitly marked otherwise.</w:t>
      </w:r>
    </w:p>
    <w:p>
      <w:pPr>
        <w:pStyle w:val="Heading1"/>
      </w:pPr>
      <w:r>
        <w:t>Contents</w:t>
      </w:r>
    </w:p>
    <w:p>
      <w:r>
        <w:t>1. Purpose</w:t>
      </w:r>
    </w:p>
    <w:p>
      <w:r>
        <w:t>2. Scope</w:t>
      </w:r>
    </w:p>
    <w:p>
      <w:r>
        <w:t>3. Escalation Principles</w:t>
      </w:r>
    </w:p>
    <w:p>
      <w:r>
        <w:t>4. Severity Levels</w:t>
      </w:r>
    </w:p>
    <w:p>
      <w:r>
        <w:t>5. Identity Discrepancies</w:t>
      </w:r>
    </w:p>
    <w:p>
      <w:r>
        <w:t>6. Document Integrity and Suspected Fraud</w:t>
      </w:r>
    </w:p>
    <w:p>
      <w:r>
        <w:t>7. Address and Contact Discrepancies</w:t>
      </w:r>
    </w:p>
    <w:p>
      <w:r>
        <w:t>8. Beneficial-Ownership Escalations</w:t>
      </w:r>
    </w:p>
    <w:p>
      <w:r>
        <w:t>9. PEP Escalations</w:t>
      </w:r>
    </w:p>
    <w:p>
      <w:r>
        <w:t>10. Sanctions and Name-Screening Escalations</w:t>
      </w:r>
    </w:p>
    <w:p>
      <w:r>
        <w:t>11. High-Risk Digital Onboarding</w:t>
      </w:r>
    </w:p>
    <w:p>
      <w:r>
        <w:t>12. Customer Risk Tier Disputes</w:t>
      </w:r>
    </w:p>
    <w:p>
      <w:r>
        <w:t>13. Restrictions and Customer Communication</w:t>
      </w:r>
    </w:p>
    <w:p>
      <w:r>
        <w:t>14. Aging and Service Levels</w:t>
      </w:r>
    </w:p>
    <w:p>
      <w:r>
        <w:t>15. Decision Authorities</w:t>
      </w:r>
    </w:p>
    <w:p>
      <w:r>
        <w:t>16. Case Closure</w:t>
      </w:r>
    </w:p>
    <w:p>
      <w:r>
        <w:t>17. Retrospective Escalation</w:t>
      </w:r>
    </w:p>
    <w:p>
      <w:r>
        <w:t>18. Breach and Control-Failure Escalation</w:t>
      </w:r>
    </w:p>
    <w:p>
      <w:r>
        <w:t>19. Records and Reporting</w:t>
      </w:r>
    </w:p>
    <w:p>
      <w:r>
        <w:t>20. Historical and Transition Rules</w:t>
      </w:r>
    </w:p>
    <w:p>
      <w:r>
        <w:t>Appendix A. Severity Matrix</w:t>
      </w:r>
    </w:p>
    <w:p>
      <w:r>
        <w:t>Appendix B. Escalation Authority Matrix</w:t>
      </w:r>
    </w:p>
    <w:p>
      <w:r>
        <w:t>Appendix C. Required Evidence by Escalation Type</w:t>
      </w:r>
    </w:p>
    <w:p>
      <w:r>
        <w:t>Appendix D. Illustrative Scenarios</w:t>
      </w:r>
    </w:p>
    <w:p>
      <w:pPr>
        <w:ind w:left="259" w:right="259"/>
      </w:pPr>
      <w:r>
        <w:rPr>
          <w:i/>
          <w:sz w:val="16"/>
        </w:rPr>
        <w:t>Section numbering in this document is authoritative. Cross-references are subject to the version and effective-date rules stated in the referenced document.</w:t>
      </w:r>
    </w:p>
    <w:p>
      <w:pPr>
        <w:pStyle w:val="Heading1"/>
      </w:pPr>
      <w:r>
        <w:t>1. Purpose</w:t>
      </w:r>
    </w:p>
    <w:p>
      <w:r>
        <w:t>This Procedure defines the controlled escalation of KYC matters that cannot be resolved through routine onboarding or periodic review. Its purpose is to ensure that material identity, ownership, screening and customer-risk issues are decided by an appropriate authority with a clear audit trail.</w:t>
      </w:r>
    </w:p>
    <w:p>
      <w:r>
        <w:rPr>
          <w:b/>
        </w:rPr>
        <w:t>Control requirements</w:t>
      </w:r>
    </w:p>
    <w:p>
      <w:pPr>
        <w:ind w:left="259" w:hanging="202"/>
      </w:pPr>
      <w:r>
        <w:rPr>
          <w:b/>
        </w:rPr>
        <w:t xml:space="preserve">• </w:t>
      </w:r>
      <w:r>
        <w:t>Escalation is not an approval shortcut; unresolved core facts remain unresolved until sufficient evidence or an authorized risk decision exists.</w:t>
      </w:r>
    </w:p>
    <w:p>
      <w:pPr>
        <w:ind w:left="259" w:hanging="202"/>
      </w:pPr>
      <w:r>
        <w:rPr>
          <w:b/>
        </w:rPr>
        <w:t xml:space="preserve">• </w:t>
      </w:r>
      <w:r>
        <w:t>The case owner shall preserve the original issue, supporting evidence and actions taken.</w:t>
      </w:r>
    </w:p>
    <w:p>
      <w:pPr>
        <w:ind w:left="259" w:hanging="202"/>
      </w:pPr>
      <w:r>
        <w:rPr>
          <w:b/>
        </w:rPr>
        <w:t xml:space="preserve">• </w:t>
      </w:r>
      <w:r>
        <w:t>Escalation severity may increase as new information becomes available.</w:t>
      </w:r>
    </w:p>
    <w:p>
      <w:pPr>
        <w:pStyle w:val="Heading2"/>
      </w:pPr>
      <w:r>
        <w:t>Records and control evidence</w:t>
      </w:r>
    </w:p>
    <w:p>
      <w:pPr>
        <w:ind w:left="259" w:hanging="202"/>
      </w:pPr>
      <w:r>
        <w:rPr>
          <w:b/>
        </w:rPr>
        <w:t xml:space="preserve">• </w:t>
      </w:r>
      <w:r>
        <w:t>Escalation case ID, source workflow, issue description, evidence pack.</w:t>
      </w:r>
    </w:p>
    <w:p>
      <w:pPr>
        <w:pStyle w:val="Heading1"/>
      </w:pPr>
      <w:r>
        <w:t>2. Scope</w:t>
      </w:r>
    </w:p>
    <w:p>
      <w:r>
        <w:t>The Procedure applies to onboarding, periodic KYC review, trigger-event review, customer-master corrections and retrospective KYC remediation.</w:t>
      </w:r>
    </w:p>
    <w:p>
      <w:r>
        <w:rPr>
          <w:b/>
        </w:rPr>
        <w:t>Control requirements</w:t>
      </w:r>
    </w:p>
    <w:p>
      <w:pPr>
        <w:ind w:left="259" w:hanging="202"/>
      </w:pPr>
      <w:r>
        <w:rPr>
          <w:b/>
        </w:rPr>
        <w:t xml:space="preserve">• </w:t>
      </w:r>
      <w:r>
        <w:t>Credit or product urgency does not reduce KYC escalation requirements.</w:t>
      </w:r>
    </w:p>
    <w:p>
      <w:pPr>
        <w:ind w:left="259" w:hanging="202"/>
      </w:pPr>
      <w:r>
        <w:rPr>
          <w:b/>
        </w:rPr>
        <w:t xml:space="preserve">• </w:t>
      </w:r>
      <w:r>
        <w:t>AML alerts generated from transaction monitoring are handled under ATM-031, but KYC facts identified during investigation may be routed into this Procedure.</w:t>
      </w:r>
    </w:p>
    <w:p>
      <w:pPr>
        <w:pStyle w:val="Heading2"/>
      </w:pPr>
      <w:r>
        <w:t>Records and control evidence</w:t>
      </w:r>
    </w:p>
    <w:p>
      <w:pPr>
        <w:ind w:left="259" w:hanging="202"/>
      </w:pPr>
      <w:r>
        <w:rPr>
          <w:b/>
        </w:rPr>
        <w:t xml:space="preserve">• </w:t>
      </w:r>
      <w:r>
        <w:t>Source case, relationship status, product links.</w:t>
      </w:r>
    </w:p>
    <w:p>
      <w:pPr>
        <w:pStyle w:val="Heading1"/>
      </w:pPr>
      <w:r>
        <w:t>3. Escalation Principles</w:t>
      </w:r>
    </w:p>
    <w:p>
      <w:r>
        <w:t>Escalations shall be risk-based, evidence-led and routed to the lowest authority capable of deciding the matter without exceeding delegated responsibility.</w:t>
      </w:r>
    </w:p>
    <w:p>
      <w:r>
        <w:rPr>
          <w:b/>
        </w:rPr>
        <w:t>Control requirements</w:t>
      </w:r>
    </w:p>
    <w:p>
      <w:pPr>
        <w:ind w:left="259" w:hanging="202"/>
      </w:pPr>
      <w:r>
        <w:rPr>
          <w:b/>
        </w:rPr>
        <w:t xml:space="preserve">• </w:t>
      </w:r>
      <w:r>
        <w:t>Routine document recollection should occur before formal escalation where the issue is clearly administrative.</w:t>
      </w:r>
    </w:p>
    <w:p>
      <w:pPr>
        <w:ind w:left="259" w:hanging="202"/>
      </w:pPr>
      <w:r>
        <w:rPr>
          <w:b/>
        </w:rPr>
        <w:t xml:space="preserve">• </w:t>
      </w:r>
      <w:r>
        <w:t>Cases involving suspected fraud, potential sanctions or confirmed PEP status must use the designated specialist route.</w:t>
      </w:r>
    </w:p>
    <w:p>
      <w:pPr>
        <w:ind w:left="259" w:hanging="202"/>
      </w:pPr>
      <w:r>
        <w:rPr>
          <w:b/>
        </w:rPr>
        <w:t xml:space="preserve">• </w:t>
      </w:r>
      <w:r>
        <w:t>No escalation may be closed merely because the customer has already received a credit approval.</w:t>
      </w:r>
    </w:p>
    <w:p>
      <w:pPr>
        <w:pStyle w:val="Heading2"/>
      </w:pPr>
      <w:r>
        <w:t>Records and control evidence</w:t>
      </w:r>
    </w:p>
    <w:p>
      <w:pPr>
        <w:ind w:left="259" w:hanging="202"/>
      </w:pPr>
      <w:r>
        <w:rPr>
          <w:b/>
        </w:rPr>
        <w:t xml:space="preserve">• </w:t>
      </w:r>
      <w:r>
        <w:t>Triage record, routing decision, specialist referral.</w:t>
      </w:r>
    </w:p>
    <w:p>
      <w:pPr>
        <w:pStyle w:val="Heading1"/>
      </w:pPr>
      <w:r>
        <w:t>4. Severity Levels</w:t>
      </w:r>
    </w:p>
    <w:p>
      <w:r>
        <w:t>Northstar uses four KYC escalation levels. Level 1 is operational clarification; Level 4 is a critical matter requiring Compliance leadership or specialist decision.</w:t>
      </w:r>
    </w:p>
    <w:p>
      <w:r>
        <w:rPr>
          <w:b/>
        </w:rPr>
        <w:t>Control requirements</w:t>
      </w:r>
    </w:p>
    <w:p>
      <w:pPr>
        <w:ind w:left="259" w:hanging="202"/>
      </w:pPr>
      <w:r>
        <w:rPr>
          <w:b/>
        </w:rPr>
        <w:t xml:space="preserve">• </w:t>
      </w:r>
      <w:r>
        <w:t>Level 1: minor discrepancy with reliable core identity.</w:t>
      </w:r>
    </w:p>
    <w:p>
      <w:pPr>
        <w:ind w:left="259" w:hanging="202"/>
      </w:pPr>
      <w:r>
        <w:rPr>
          <w:b/>
        </w:rPr>
        <w:t xml:space="preserve">• </w:t>
      </w:r>
      <w:r>
        <w:t>Level 2: material discrepancy requiring senior KYC checker.</w:t>
      </w:r>
    </w:p>
    <w:p>
      <w:pPr>
        <w:ind w:left="259" w:hanging="202"/>
      </w:pPr>
      <w:r>
        <w:rPr>
          <w:b/>
        </w:rPr>
        <w:t xml:space="preserve">• </w:t>
      </w:r>
      <w:r>
        <w:t>Level 3: high-risk ownership, PEP, repeated identity concern or significant non-face-to-face weakness.</w:t>
      </w:r>
    </w:p>
    <w:p>
      <w:pPr>
        <w:ind w:left="259" w:hanging="202"/>
      </w:pPr>
      <w:r>
        <w:rPr>
          <w:b/>
        </w:rPr>
        <w:t xml:space="preserve">• </w:t>
      </w:r>
      <w:r>
        <w:t>Level 4: potential sanctions match, suspected identity fraud, inability to establish customer identity or material control failure affecting multiple customers.</w:t>
      </w:r>
    </w:p>
    <w:p>
      <w:pPr>
        <w:pStyle w:val="Heading2"/>
      </w:pPr>
      <w:r>
        <w:t>Severity classification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70" w:type="dxa"/>
              <w:start w:w="80" w:type="dxa"/>
              <w:bottom w:w="70" w:type="dxa"/>
              <w:end w:w="80" w:type="dxa"/>
            </w:tcMar>
            <w:shd w:fill="1F4E78"/>
          </w:tcPr>
          <w:p>
            <w:pPr>
              <w:spacing w:after="0" w:before="0"/>
            </w:pPr>
            <w:r>
              <w:rPr>
                <w:b/>
                <w:sz w:val="16"/>
                <w:color w:val="FFFFFF"/>
              </w:rPr>
              <w:t>Level</w:t>
            </w:r>
          </w:p>
        </w:tc>
        <w:tc>
          <w:tcPr>
            <w:tcW w:type="dxa" w:w="3456"/>
            <w:vAlign w:val="center"/>
            <w:tcMar>
              <w:top w:w="70" w:type="dxa"/>
              <w:start w:w="80" w:type="dxa"/>
              <w:bottom w:w="70" w:type="dxa"/>
              <w:end w:w="80" w:type="dxa"/>
            </w:tcMar>
            <w:shd w:fill="1F4E78"/>
          </w:tcPr>
          <w:p>
            <w:pPr>
              <w:spacing w:after="0" w:before="0"/>
            </w:pPr>
            <w:r>
              <w:rPr>
                <w:b/>
                <w:sz w:val="16"/>
                <w:color w:val="FFFFFF"/>
              </w:rPr>
              <w:t>Typical owner</w:t>
            </w:r>
          </w:p>
        </w:tc>
        <w:tc>
          <w:tcPr>
            <w:tcW w:type="dxa" w:w="3456"/>
            <w:vAlign w:val="center"/>
            <w:tcMar>
              <w:top w:w="70" w:type="dxa"/>
              <w:start w:w="80" w:type="dxa"/>
              <w:bottom w:w="70" w:type="dxa"/>
              <w:end w:w="80" w:type="dxa"/>
            </w:tcMar>
            <w:shd w:fill="1F4E78"/>
          </w:tcPr>
          <w:p>
            <w:pPr>
              <w:spacing w:after="0" w:before="0"/>
            </w:pPr>
            <w:r>
              <w:rPr>
                <w:b/>
                <w:sz w:val="16"/>
                <w:color w:val="FFFFFF"/>
              </w:rPr>
              <w:t>Default restriction</w:t>
            </w:r>
          </w:p>
        </w:tc>
      </w:tr>
      <w:tr>
        <w:tc>
          <w:tcPr>
            <w:tcW w:type="dxa" w:w="3456"/>
            <w:vAlign w:val="center"/>
            <w:tcMar>
              <w:top w:w="70" w:type="dxa"/>
              <w:start w:w="80" w:type="dxa"/>
              <w:bottom w:w="70" w:type="dxa"/>
              <w:end w:w="80" w:type="dxa"/>
            </w:tcMar>
          </w:tcPr>
          <w:p>
            <w:pPr>
              <w:spacing w:after="0" w:before="0"/>
            </w:pPr>
            <w:r>
              <w:rPr>
                <w:sz w:val="16"/>
              </w:rPr>
              <w:t>1</w:t>
            </w:r>
          </w:p>
        </w:tc>
        <w:tc>
          <w:tcPr>
            <w:tcW w:type="dxa" w:w="3456"/>
            <w:vAlign w:val="center"/>
            <w:tcMar>
              <w:top w:w="70" w:type="dxa"/>
              <w:start w:w="80" w:type="dxa"/>
              <w:bottom w:w="70" w:type="dxa"/>
              <w:end w:w="80" w:type="dxa"/>
            </w:tcMar>
          </w:tcPr>
          <w:p>
            <w:pPr>
              <w:spacing w:after="0" w:before="0"/>
            </w:pPr>
            <w:r>
              <w:rPr>
                <w:sz w:val="16"/>
              </w:rPr>
              <w:t>KYC Maker / Checker</w:t>
            </w:r>
          </w:p>
        </w:tc>
        <w:tc>
          <w:tcPr>
            <w:tcW w:type="dxa" w:w="3456"/>
            <w:vAlign w:val="center"/>
            <w:tcMar>
              <w:top w:w="70" w:type="dxa"/>
              <w:start w:w="80" w:type="dxa"/>
              <w:bottom w:w="70" w:type="dxa"/>
              <w:end w:w="80" w:type="dxa"/>
            </w:tcMar>
          </w:tcPr>
          <w:p>
            <w:pPr>
              <w:spacing w:after="0" w:before="0"/>
            </w:pPr>
            <w:r>
              <w:rPr>
                <w:sz w:val="16"/>
              </w:rPr>
              <w:t>None or document hold</w:t>
            </w:r>
          </w:p>
        </w:tc>
      </w:tr>
      <w:tr>
        <w:tc>
          <w:tcPr>
            <w:tcW w:type="dxa" w:w="3456"/>
            <w:vAlign w:val="center"/>
            <w:tcMar>
              <w:top w:w="70" w:type="dxa"/>
              <w:start w:w="80" w:type="dxa"/>
              <w:bottom w:w="70" w:type="dxa"/>
              <w:end w:w="80" w:type="dxa"/>
            </w:tcMar>
          </w:tcPr>
          <w:p>
            <w:pPr>
              <w:spacing w:after="0" w:before="0"/>
            </w:pPr>
            <w:r>
              <w:rPr>
                <w:sz w:val="16"/>
              </w:rPr>
              <w:t>2</w:t>
            </w:r>
          </w:p>
        </w:tc>
        <w:tc>
          <w:tcPr>
            <w:tcW w:type="dxa" w:w="3456"/>
            <w:vAlign w:val="center"/>
            <w:tcMar>
              <w:top w:w="70" w:type="dxa"/>
              <w:start w:w="80" w:type="dxa"/>
              <w:bottom w:w="70" w:type="dxa"/>
              <w:end w:w="80" w:type="dxa"/>
            </w:tcMar>
          </w:tcPr>
          <w:p>
            <w:pPr>
              <w:spacing w:after="0" w:before="0"/>
            </w:pPr>
            <w:r>
              <w:rPr>
                <w:sz w:val="16"/>
              </w:rPr>
              <w:t>Senior KYC Checker</w:t>
            </w:r>
          </w:p>
        </w:tc>
        <w:tc>
          <w:tcPr>
            <w:tcW w:type="dxa" w:w="3456"/>
            <w:vAlign w:val="center"/>
            <w:tcMar>
              <w:top w:w="70" w:type="dxa"/>
              <w:start w:w="80" w:type="dxa"/>
              <w:bottom w:w="70" w:type="dxa"/>
              <w:end w:w="80" w:type="dxa"/>
            </w:tcMar>
          </w:tcPr>
          <w:p>
            <w:pPr>
              <w:spacing w:after="0" w:before="0"/>
            </w:pPr>
            <w:r>
              <w:rPr>
                <w:sz w:val="16"/>
              </w:rPr>
              <w:t>Restricted-KYC</w:t>
            </w:r>
          </w:p>
        </w:tc>
      </w:tr>
      <w:tr>
        <w:tc>
          <w:tcPr>
            <w:tcW w:type="dxa" w:w="3456"/>
            <w:vAlign w:val="center"/>
            <w:tcMar>
              <w:top w:w="70" w:type="dxa"/>
              <w:start w:w="80" w:type="dxa"/>
              <w:bottom w:w="70" w:type="dxa"/>
              <w:end w:w="80" w:type="dxa"/>
            </w:tcMar>
          </w:tcPr>
          <w:p>
            <w:pPr>
              <w:spacing w:after="0" w:before="0"/>
            </w:pPr>
            <w:r>
              <w:rPr>
                <w:sz w:val="16"/>
              </w:rPr>
              <w:t>3</w:t>
            </w:r>
          </w:p>
        </w:tc>
        <w:tc>
          <w:tcPr>
            <w:tcW w:type="dxa" w:w="3456"/>
            <w:vAlign w:val="center"/>
            <w:tcMar>
              <w:top w:w="70" w:type="dxa"/>
              <w:start w:w="80" w:type="dxa"/>
              <w:bottom w:w="70" w:type="dxa"/>
              <w:end w:w="80" w:type="dxa"/>
            </w:tcMar>
          </w:tcPr>
          <w:p>
            <w:pPr>
              <w:spacing w:after="0" w:before="0"/>
            </w:pPr>
            <w:r>
              <w:rPr>
                <w:sz w:val="16"/>
              </w:rPr>
              <w:t>KYC Manager + AML/Compliance where relevant</w:t>
            </w:r>
          </w:p>
        </w:tc>
        <w:tc>
          <w:tcPr>
            <w:tcW w:type="dxa" w:w="3456"/>
            <w:vAlign w:val="center"/>
            <w:tcMar>
              <w:top w:w="70" w:type="dxa"/>
              <w:start w:w="80" w:type="dxa"/>
              <w:bottom w:w="70" w:type="dxa"/>
              <w:end w:w="80" w:type="dxa"/>
            </w:tcMar>
          </w:tcPr>
          <w:p>
            <w:pPr>
              <w:spacing w:after="0" w:before="0"/>
            </w:pPr>
            <w:r>
              <w:rPr>
                <w:sz w:val="16"/>
              </w:rPr>
              <w:t>Restricted-KYC / Restricted-Screening</w:t>
            </w:r>
          </w:p>
        </w:tc>
      </w:tr>
      <w:tr>
        <w:tc>
          <w:tcPr>
            <w:tcW w:type="dxa" w:w="3456"/>
            <w:vAlign w:val="center"/>
            <w:tcMar>
              <w:top w:w="70" w:type="dxa"/>
              <w:start w:w="80" w:type="dxa"/>
              <w:bottom w:w="70" w:type="dxa"/>
              <w:end w:w="80" w:type="dxa"/>
            </w:tcMar>
          </w:tcPr>
          <w:p>
            <w:pPr>
              <w:spacing w:after="0" w:before="0"/>
            </w:pPr>
            <w:r>
              <w:rPr>
                <w:sz w:val="16"/>
              </w:rPr>
              <w:t>4</w:t>
            </w:r>
          </w:p>
        </w:tc>
        <w:tc>
          <w:tcPr>
            <w:tcW w:type="dxa" w:w="3456"/>
            <w:vAlign w:val="center"/>
            <w:tcMar>
              <w:top w:w="70" w:type="dxa"/>
              <w:start w:w="80" w:type="dxa"/>
              <w:bottom w:w="70" w:type="dxa"/>
              <w:end w:w="80" w:type="dxa"/>
            </w:tcMar>
          </w:tcPr>
          <w:p>
            <w:pPr>
              <w:spacing w:after="0" w:before="0"/>
            </w:pPr>
            <w:r>
              <w:rPr>
                <w:sz w:val="16"/>
              </w:rPr>
              <w:t>Compliance / AML / Fraud leadership</w:t>
            </w:r>
          </w:p>
        </w:tc>
        <w:tc>
          <w:tcPr>
            <w:tcW w:type="dxa" w:w="3456"/>
            <w:vAlign w:val="center"/>
            <w:tcMar>
              <w:top w:w="70" w:type="dxa"/>
              <w:start w:w="80" w:type="dxa"/>
              <w:bottom w:w="70" w:type="dxa"/>
              <w:end w:w="80" w:type="dxa"/>
            </w:tcMar>
          </w:tcPr>
          <w:p>
            <w:pPr>
              <w:spacing w:after="0" w:before="0"/>
            </w:pPr>
            <w:r>
              <w:rPr>
                <w:sz w:val="16"/>
              </w:rPr>
              <w:t>Full hold unless specialist directs otherwise</w:t>
            </w:r>
          </w:p>
        </w:tc>
      </w:tr>
    </w:tbl>
    <w:p>
      <w:pPr>
        <w:spacing w:after="20"/>
      </w:pPr>
    </w:p>
    <w:p>
      <w:pPr>
        <w:pStyle w:val="Heading2"/>
      </w:pPr>
      <w:r>
        <w:t>Records and control evidence</w:t>
      </w:r>
    </w:p>
    <w:p>
      <w:pPr>
        <w:ind w:left="259" w:hanging="202"/>
      </w:pPr>
      <w:r>
        <w:rPr>
          <w:b/>
        </w:rPr>
        <w:t xml:space="preserve">• </w:t>
      </w:r>
      <w:r>
        <w:t>Severity assignment, reason code, reviewer changes.</w:t>
      </w:r>
    </w:p>
    <w:p>
      <w:pPr>
        <w:pStyle w:val="Heading1"/>
      </w:pPr>
      <w:r>
        <w:t>5. Identity Discrepancies</w:t>
      </w:r>
    </w:p>
    <w:p>
      <w:r>
        <w:t>Identity discrepancies shall be assessed based on whether they affect confidence that Northstar is dealing with the claimed person or entity.</w:t>
      </w:r>
    </w:p>
    <w:p>
      <w:r>
        <w:rPr>
          <w:b/>
        </w:rPr>
        <w:t>Control requirements</w:t>
      </w:r>
    </w:p>
    <w:p>
      <w:pPr>
        <w:ind w:left="259" w:hanging="202"/>
      </w:pPr>
      <w:r>
        <w:rPr>
          <w:b/>
        </w:rPr>
        <w:t xml:space="preserve">• </w:t>
      </w:r>
      <w:r>
        <w:t>Minor transliteration, spacing or punctuation differences may be resolved at Level 1 with supporting evidence.</w:t>
      </w:r>
    </w:p>
    <w:p>
      <w:pPr>
        <w:ind w:left="259" w:hanging="202"/>
      </w:pPr>
      <w:r>
        <w:rPr>
          <w:b/>
        </w:rPr>
        <w:t xml:space="preserve">• </w:t>
      </w:r>
      <w:r>
        <w:t>Different date of birth, materially different name, conflicting PAN/identifier or unexplained identity-document substitution is at least Level 2.</w:t>
      </w:r>
    </w:p>
    <w:p>
      <w:pPr>
        <w:ind w:left="259" w:hanging="202"/>
      </w:pPr>
      <w:r>
        <w:rPr>
          <w:b/>
        </w:rPr>
        <w:t xml:space="preserve">• </w:t>
      </w:r>
      <w:r>
        <w:t>Evidence suggesting multiple identities or manipulated documents is Level 4 and must be referred to Fraud Risk.</w:t>
      </w:r>
    </w:p>
    <w:p>
      <w:pPr>
        <w:pStyle w:val="Heading2"/>
      </w:pPr>
      <w:r>
        <w:t>Records and control evidence</w:t>
      </w:r>
    </w:p>
    <w:p>
      <w:pPr>
        <w:ind w:left="259" w:hanging="202"/>
      </w:pPr>
      <w:r>
        <w:rPr>
          <w:b/>
        </w:rPr>
        <w:t xml:space="preserve">• </w:t>
      </w:r>
      <w:r>
        <w:t>Compared fields, evidence, customer explanation, reviewer decision.</w:t>
      </w:r>
    </w:p>
    <w:p>
      <w:pPr>
        <w:pStyle w:val="Heading1"/>
      </w:pPr>
      <w:r>
        <w:t>6. Document Integrity and Suspected Fraud</w:t>
      </w:r>
    </w:p>
    <w:p>
      <w:r>
        <w:t>KYC reviewers shall not attempt to make a fraud determination outside their role, but they must recognize and escalate suspicious document conditions.</w:t>
      </w:r>
    </w:p>
    <w:p>
      <w:r>
        <w:rPr>
          <w:b/>
        </w:rPr>
        <w:t>Control requirements</w:t>
      </w:r>
    </w:p>
    <w:p>
      <w:pPr>
        <w:ind w:left="259" w:hanging="202"/>
      </w:pPr>
      <w:r>
        <w:rPr>
          <w:b/>
        </w:rPr>
        <w:t xml:space="preserve">• </w:t>
      </w:r>
      <w:r>
        <w:t>Visible tampering, altered image fields, repeated failed liveness, inconsistent metadata or reuse across unrelated customers requires fraud referral.</w:t>
      </w:r>
    </w:p>
    <w:p>
      <w:pPr>
        <w:ind w:left="259" w:hanging="202"/>
      </w:pPr>
      <w:r>
        <w:rPr>
          <w:b/>
        </w:rPr>
        <w:t xml:space="preserve">• </w:t>
      </w:r>
      <w:r>
        <w:t>The KYC case remains restricted until Fraud Risk disposition is received.</w:t>
      </w:r>
    </w:p>
    <w:p>
      <w:pPr>
        <w:ind w:left="259" w:hanging="202"/>
      </w:pPr>
      <w:r>
        <w:rPr>
          <w:b/>
        </w:rPr>
        <w:t xml:space="preserve">• </w:t>
      </w:r>
      <w:r>
        <w:t>A Fraud Risk “no issue identified” outcome does not automatically resolve separate KYC discrepancies.</w:t>
      </w:r>
    </w:p>
    <w:p>
      <w:pPr>
        <w:pStyle w:val="Heading2"/>
      </w:pPr>
      <w:r>
        <w:t>Records and control evidence</w:t>
      </w:r>
    </w:p>
    <w:p>
      <w:pPr>
        <w:ind w:left="259" w:hanging="202"/>
      </w:pPr>
      <w:r>
        <w:rPr>
          <w:b/>
        </w:rPr>
        <w:t xml:space="preserve">• </w:t>
      </w:r>
      <w:r>
        <w:t>Fraud referral, evidence images, disposition, residual KYC decision.</w:t>
      </w:r>
    </w:p>
    <w:p>
      <w:pPr>
        <w:pStyle w:val="Heading1"/>
      </w:pPr>
      <w:r>
        <w:t>7. Address and Contact Discrepancies</w:t>
      </w:r>
    </w:p>
    <w:p>
      <w:r>
        <w:t>Address and contact discrepancies are usually Level 1 or Level 2 but may become higher where they indicate impersonation, concealment or unusual geography.</w:t>
      </w:r>
    </w:p>
    <w:p>
      <w:r>
        <w:rPr>
          <w:b/>
        </w:rPr>
        <w:t>Control requirements</w:t>
      </w:r>
    </w:p>
    <w:p>
      <w:pPr>
        <w:ind w:left="259" w:hanging="202"/>
      </w:pPr>
      <w:r>
        <w:rPr>
          <w:b/>
        </w:rPr>
        <w:t xml:space="preserve">• </w:t>
      </w:r>
      <w:r>
        <w:t>Different apartment formatting within the same address is Level 1.</w:t>
      </w:r>
    </w:p>
    <w:p>
      <w:pPr>
        <w:ind w:left="259" w:hanging="202"/>
      </w:pPr>
      <w:r>
        <w:rPr>
          <w:b/>
        </w:rPr>
        <w:t xml:space="preserve">• </w:t>
      </w:r>
      <w:r>
        <w:t>Different state or unexplained overseas contact point is at least Level 2 for a new relationship.</w:t>
      </w:r>
    </w:p>
    <w:p>
      <w:pPr>
        <w:ind w:left="259" w:hanging="202"/>
      </w:pPr>
      <w:r>
        <w:rPr>
          <w:b/>
        </w:rPr>
        <w:t xml:space="preserve">• </w:t>
      </w:r>
      <w:r>
        <w:t>Repeated immediate post-onboarding mobile/email changes may be referred to Fraud Risk and AML.</w:t>
      </w:r>
    </w:p>
    <w:p>
      <w:pPr>
        <w:pStyle w:val="Heading2"/>
      </w:pPr>
      <w:r>
        <w:t>Records and control evidence</w:t>
      </w:r>
    </w:p>
    <w:p>
      <w:pPr>
        <w:ind w:left="259" w:hanging="202"/>
      </w:pPr>
      <w:r>
        <w:rPr>
          <w:b/>
        </w:rPr>
        <w:t xml:space="preserve">• </w:t>
      </w:r>
      <w:r>
        <w:t>Address sources, contact history, explanation, disposition.</w:t>
      </w:r>
    </w:p>
    <w:p>
      <w:pPr>
        <w:pStyle w:val="Heading1"/>
      </w:pPr>
      <w:r>
        <w:t>8. Beneficial-Ownership Escalations</w:t>
      </w:r>
    </w:p>
    <w:p>
      <w:r>
        <w:t>Ownership escalations arise where ownership cannot be established, the structure is unusually layered, control differs from legal ownership or the customer resists reasonable information requests.</w:t>
      </w:r>
    </w:p>
    <w:p>
      <w:r>
        <w:rPr>
          <w:b/>
        </w:rPr>
        <w:t>Control requirements</w:t>
      </w:r>
    </w:p>
    <w:p>
      <w:pPr>
        <w:ind w:left="259" w:hanging="202"/>
      </w:pPr>
      <w:r>
        <w:rPr>
          <w:b/>
        </w:rPr>
        <w:t xml:space="preserve">• </w:t>
      </w:r>
      <w:r>
        <w:t>Failure to verify a 25% beneficial owner is Level 3.</w:t>
      </w:r>
    </w:p>
    <w:p>
      <w:pPr>
        <w:ind w:left="259" w:hanging="202"/>
      </w:pPr>
      <w:r>
        <w:rPr>
          <w:b/>
        </w:rPr>
        <w:t xml:space="preserve">• </w:t>
      </w:r>
      <w:r>
        <w:t>For High-risk/complex customers, inability to obtain the enhanced 10% ownership/control information required by KYC-004 is Level 3 unless Compliance directs otherwise.</w:t>
      </w:r>
    </w:p>
    <w:p>
      <w:pPr>
        <w:ind w:left="259" w:hanging="202"/>
      </w:pPr>
      <w:r>
        <w:rPr>
          <w:b/>
        </w:rPr>
        <w:t xml:space="preserve">• </w:t>
      </w:r>
      <w:r>
        <w:t>Structures involving nominee arrangements or unexplained circular ownership should be escalated to Compliance and AML.</w:t>
      </w:r>
    </w:p>
    <w:p>
      <w:pPr>
        <w:pStyle w:val="Heading2"/>
      </w:pPr>
      <w:r>
        <w:t>Records and control evidence</w:t>
      </w:r>
    </w:p>
    <w:p>
      <w:pPr>
        <w:ind w:left="259" w:hanging="202"/>
      </w:pPr>
      <w:r>
        <w:rPr>
          <w:b/>
        </w:rPr>
        <w:t xml:space="preserve">• </w:t>
      </w:r>
      <w:r>
        <w:t>Ownership chart, source documents, unanswered requests, decision record.</w:t>
      </w:r>
    </w:p>
    <w:p>
      <w:pPr>
        <w:pStyle w:val="Heading1"/>
      </w:pPr>
      <w:r>
        <w:t>9. PEP Escalations</w:t>
      </w:r>
    </w:p>
    <w:p>
      <w:r>
        <w:t>Potential PEP matches shall be reviewed by AML Compliance. KYC Operations may gather evidence but does not make the final PEP risk decision for confirmed relationships.</w:t>
      </w:r>
    </w:p>
    <w:p>
      <w:r>
        <w:rPr>
          <w:b/>
        </w:rPr>
        <w:t>Control requirements</w:t>
      </w:r>
    </w:p>
    <w:p>
      <w:pPr>
        <w:ind w:left="259" w:hanging="202"/>
      </w:pPr>
      <w:r>
        <w:rPr>
          <w:b/>
        </w:rPr>
        <w:t xml:space="preserve">• </w:t>
      </w:r>
      <w:r>
        <w:t>Potential false positive with strong contradictory identifiers: Level 2 KYC review plus AML disposition where system rules require.</w:t>
      </w:r>
    </w:p>
    <w:p>
      <w:pPr>
        <w:ind w:left="259" w:hanging="202"/>
      </w:pPr>
      <w:r>
        <w:rPr>
          <w:b/>
        </w:rPr>
        <w:t xml:space="preserve">• </w:t>
      </w:r>
      <w:r>
        <w:t>Confirmed PEP: Level 3 and AML approval path.</w:t>
      </w:r>
    </w:p>
    <w:p>
      <w:pPr>
        <w:ind w:left="259" w:hanging="202"/>
      </w:pPr>
      <w:r>
        <w:rPr>
          <w:b/>
        </w:rPr>
        <w:t xml:space="preserve">• </w:t>
      </w:r>
      <w:r>
        <w:t>Material adverse information linked to the PEP may increase the case to Level 4 for senior Compliance review.</w:t>
      </w:r>
    </w:p>
    <w:p>
      <w:pPr>
        <w:pStyle w:val="Heading2"/>
      </w:pPr>
      <w:r>
        <w:t>Records and control evidence</w:t>
      </w:r>
    </w:p>
    <w:p>
      <w:pPr>
        <w:ind w:left="259" w:hanging="202"/>
      </w:pPr>
      <w:r>
        <w:rPr>
          <w:b/>
        </w:rPr>
        <w:t xml:space="preserve">• </w:t>
      </w:r>
      <w:r>
        <w:t>Screening alert, identifiers, adverse-information summary, AML decision.</w:t>
      </w:r>
    </w:p>
    <w:p>
      <w:pPr>
        <w:pStyle w:val="Heading1"/>
      </w:pPr>
      <w:r>
        <w:t>10. Sanctions and Name-Screening Escalations</w:t>
      </w:r>
    </w:p>
    <w:p>
      <w:r>
        <w:t>Potential sanctions matches are Level 4 until specialist disposition. Operational staff shall not clear or suppress a potential sanctions alert without authorized AML review.</w:t>
      </w:r>
    </w:p>
    <w:p>
      <w:r>
        <w:rPr>
          <w:b/>
        </w:rPr>
        <w:t>Control requirements</w:t>
      </w:r>
    </w:p>
    <w:p>
      <w:pPr>
        <w:ind w:left="259" w:hanging="202"/>
      </w:pPr>
      <w:r>
        <w:rPr>
          <w:b/>
        </w:rPr>
        <w:t xml:space="preserve">• </w:t>
      </w:r>
      <w:r>
        <w:t>Customer access remains restricted according to AML instruction.</w:t>
      </w:r>
    </w:p>
    <w:p>
      <w:pPr>
        <w:ind w:left="259" w:hanging="202"/>
      </w:pPr>
      <w:r>
        <w:rPr>
          <w:b/>
        </w:rPr>
        <w:t xml:space="preserve">• </w:t>
      </w:r>
      <w:r>
        <w:t>Name mismatch alone is not sufficient to clear a high-confidence alert.</w:t>
      </w:r>
    </w:p>
    <w:p>
      <w:pPr>
        <w:ind w:left="259" w:hanging="202"/>
      </w:pPr>
      <w:r>
        <w:rPr>
          <w:b/>
        </w:rPr>
        <w:t xml:space="preserve">• </w:t>
      </w:r>
      <w:r>
        <w:t>False-positive rationale must reference distinguishing identifiers or reliable contextual information.</w:t>
      </w:r>
    </w:p>
    <w:p>
      <w:pPr>
        <w:pStyle w:val="Heading2"/>
      </w:pPr>
      <w:r>
        <w:t>Records and control evidence</w:t>
      </w:r>
    </w:p>
    <w:p>
      <w:pPr>
        <w:ind w:left="259" w:hanging="202"/>
      </w:pPr>
      <w:r>
        <w:rPr>
          <w:b/>
        </w:rPr>
        <w:t xml:space="preserve">• </w:t>
      </w:r>
      <w:r>
        <w:t>Alert result, specialist disposition, restriction timeline.</w:t>
      </w:r>
    </w:p>
    <w:p>
      <w:pPr>
        <w:pStyle w:val="Heading1"/>
      </w:pPr>
      <w:r>
        <w:t>11. High-Risk Digital Onboarding</w:t>
      </w:r>
    </w:p>
    <w:p>
      <w:r>
        <w:t>Digital onboarding escalations include repeated verification failure, device anomalies, identity inconsistency and manual fallback for higher-risk cases.</w:t>
      </w:r>
    </w:p>
    <w:p>
      <w:r>
        <w:rPr>
          <w:b/>
        </w:rPr>
        <w:t>Control requirements</w:t>
      </w:r>
    </w:p>
    <w:p>
      <w:pPr>
        <w:ind w:left="259" w:hanging="202"/>
      </w:pPr>
      <w:r>
        <w:rPr>
          <w:b/>
        </w:rPr>
        <w:t xml:space="preserve">• </w:t>
      </w:r>
      <w:r>
        <w:t>Two failed liveness attempts followed by manual fallback is Level 2 for Medium risk and Level 3 for High risk.</w:t>
      </w:r>
    </w:p>
    <w:p>
      <w:pPr>
        <w:ind w:left="259" w:hanging="202"/>
      </w:pPr>
      <w:r>
        <w:rPr>
          <w:b/>
        </w:rPr>
        <w:t xml:space="preserve">• </w:t>
      </w:r>
      <w:r>
        <w:t>Device-sharing alone is not sufficient for Level 3; context and other indicators matter.</w:t>
      </w:r>
    </w:p>
    <w:p>
      <w:pPr>
        <w:ind w:left="259" w:hanging="202"/>
      </w:pPr>
      <w:r>
        <w:rPr>
          <w:b/>
        </w:rPr>
        <w:t xml:space="preserve">• </w:t>
      </w:r>
      <w:r>
        <w:t>A reset allowing another liveness attempt requires authorized KYC or Fraud approval and must be recorded.</w:t>
      </w:r>
    </w:p>
    <w:p>
      <w:pPr>
        <w:pStyle w:val="Heading2"/>
      </w:pPr>
      <w:r>
        <w:t>Records and control evidence</w:t>
      </w:r>
    </w:p>
    <w:p>
      <w:pPr>
        <w:ind w:left="259" w:hanging="202"/>
      </w:pPr>
      <w:r>
        <w:rPr>
          <w:b/>
        </w:rPr>
        <w:t xml:space="preserve">• </w:t>
      </w:r>
      <w:r>
        <w:t>Digital verification logs, device indicators, reset approval.</w:t>
      </w:r>
    </w:p>
    <w:p>
      <w:pPr>
        <w:pStyle w:val="Heading1"/>
      </w:pPr>
      <w:r>
        <w:t>12. Customer Risk Tier Disputes</w:t>
      </w:r>
    </w:p>
    <w:p>
      <w:r>
        <w:t>Business units may provide additional factual information where they disagree with a KYC risk tier, but they may not directly lower the tier.</w:t>
      </w:r>
    </w:p>
    <w:p>
      <w:r>
        <w:rPr>
          <w:b/>
        </w:rPr>
        <w:t>Control requirements</w:t>
      </w:r>
    </w:p>
    <w:p>
      <w:pPr>
        <w:ind w:left="259" w:hanging="202"/>
      </w:pPr>
      <w:r>
        <w:rPr>
          <w:b/>
        </w:rPr>
        <w:t xml:space="preserve">• </w:t>
      </w:r>
      <w:r>
        <w:t>High-to-Medium reductions require KYC Manager approval and written rationale.</w:t>
      </w:r>
    </w:p>
    <w:p>
      <w:pPr>
        <w:ind w:left="259" w:hanging="202"/>
      </w:pPr>
      <w:r>
        <w:rPr>
          <w:b/>
        </w:rPr>
        <w:t xml:space="preserve">• </w:t>
      </w:r>
      <w:r>
        <w:t>Where AML has assigned a higher customer risk rating, KYC Operations may not lower operational restrictions below the AML decision.</w:t>
      </w:r>
    </w:p>
    <w:p>
      <w:pPr>
        <w:ind w:left="259" w:hanging="202"/>
      </w:pPr>
      <w:r>
        <w:rPr>
          <w:b/>
        </w:rPr>
        <w:t xml:space="preserve">• </w:t>
      </w:r>
      <w:r>
        <w:t>Commercial value or customer seniority is not a risk-reduction factor.</w:t>
      </w:r>
    </w:p>
    <w:p>
      <w:pPr>
        <w:pStyle w:val="Heading2"/>
      </w:pPr>
      <w:r>
        <w:t>Records and control evidence</w:t>
      </w:r>
    </w:p>
    <w:p>
      <w:pPr>
        <w:ind w:left="259" w:hanging="202"/>
      </w:pPr>
      <w:r>
        <w:rPr>
          <w:b/>
        </w:rPr>
        <w:t xml:space="preserve">• </w:t>
      </w:r>
      <w:r>
        <w:t>Risk-score inputs, business submission, approval rationale.</w:t>
      </w:r>
    </w:p>
    <w:p>
      <w:pPr>
        <w:pStyle w:val="Heading1"/>
      </w:pPr>
      <w:r>
        <w:t>13. Restrictions and Customer Communication</w:t>
      </w:r>
    </w:p>
    <w:p>
      <w:r>
        <w:t>Restrictions shall be proportionate to the unresolved issue and should avoid unnecessary disclosure of sensitive screening or investigation information.</w:t>
      </w:r>
    </w:p>
    <w:p>
      <w:r>
        <w:rPr>
          <w:b/>
        </w:rPr>
        <w:t>Control requirements</w:t>
      </w:r>
    </w:p>
    <w:p>
      <w:pPr>
        <w:ind w:left="259" w:hanging="202"/>
      </w:pPr>
      <w:r>
        <w:rPr>
          <w:b/>
        </w:rPr>
        <w:t xml:space="preserve">• </w:t>
      </w:r>
      <w:r>
        <w:t>Customer communications may state that verification remains incomplete without describing sanctions-screening logic.</w:t>
      </w:r>
    </w:p>
    <w:p>
      <w:pPr>
        <w:ind w:left="259" w:hanging="202"/>
      </w:pPr>
      <w:r>
        <w:rPr>
          <w:b/>
        </w:rPr>
        <w:t xml:space="preserve">• </w:t>
      </w:r>
      <w:r>
        <w:t>Restrictions must identify owner and next review date.</w:t>
      </w:r>
    </w:p>
    <w:p>
      <w:pPr>
        <w:ind w:left="259" w:hanging="202"/>
      </w:pPr>
      <w:r>
        <w:rPr>
          <w:b/>
        </w:rPr>
        <w:t xml:space="preserve">• </w:t>
      </w:r>
      <w:r>
        <w:t>Where a restriction prevents disbursement, Operations shall notify the product team without inviting circumvention.</w:t>
      </w:r>
    </w:p>
    <w:p>
      <w:pPr>
        <w:pStyle w:val="Heading2"/>
      </w:pPr>
      <w:r>
        <w:t>Records and control evidence</w:t>
      </w:r>
    </w:p>
    <w:p>
      <w:pPr>
        <w:ind w:left="259" w:hanging="202"/>
      </w:pPr>
      <w:r>
        <w:rPr>
          <w:b/>
        </w:rPr>
        <w:t xml:space="preserve">• </w:t>
      </w:r>
      <w:r>
        <w:t>Restriction code, customer communication, internal notification.</w:t>
      </w:r>
    </w:p>
    <w:p>
      <w:pPr>
        <w:pStyle w:val="Heading1"/>
      </w:pPr>
      <w:r>
        <w:t>14. Aging and Service Levels</w:t>
      </w:r>
    </w:p>
    <w:p>
      <w:r>
        <w:t>Escalation aging is monitored for customer impact and control effectiveness. Service levels are management expectations, not guaranteed completion times.</w:t>
      </w:r>
    </w:p>
    <w:p>
      <w:r>
        <w:rPr>
          <w:b/>
        </w:rPr>
        <w:t>Control requirements</w:t>
      </w:r>
    </w:p>
    <w:p>
      <w:pPr>
        <w:ind w:left="259" w:hanging="202"/>
      </w:pPr>
      <w:r>
        <w:rPr>
          <w:b/>
        </w:rPr>
        <w:t xml:space="preserve">• </w:t>
      </w:r>
      <w:r>
        <w:t>Level 1 target: one business day.</w:t>
      </w:r>
    </w:p>
    <w:p>
      <w:pPr>
        <w:ind w:left="259" w:hanging="202"/>
      </w:pPr>
      <w:r>
        <w:rPr>
          <w:b/>
        </w:rPr>
        <w:t xml:space="preserve">• </w:t>
      </w:r>
      <w:r>
        <w:t>Level 2 target: two business days after evidence is complete.</w:t>
      </w:r>
    </w:p>
    <w:p>
      <w:pPr>
        <w:ind w:left="259" w:hanging="202"/>
      </w:pPr>
      <w:r>
        <w:rPr>
          <w:b/>
        </w:rPr>
        <w:t xml:space="preserve">• </w:t>
      </w:r>
      <w:r>
        <w:t>Level 3 target: five business days where no external dependency exists.</w:t>
      </w:r>
    </w:p>
    <w:p>
      <w:pPr>
        <w:ind w:left="259" w:hanging="202"/>
      </w:pPr>
      <w:r>
        <w:rPr>
          <w:b/>
        </w:rPr>
        <w:t xml:space="preserve">• </w:t>
      </w:r>
      <w:r>
        <w:t>Level 4 has no fixed completion target but must be reviewed each business day while a customer-impacting restriction remains.</w:t>
      </w:r>
    </w:p>
    <w:p>
      <w:pPr>
        <w:pStyle w:val="Heading2"/>
      </w:pPr>
      <w:r>
        <w:t>Records and control evidence</w:t>
      </w:r>
    </w:p>
    <w:p>
      <w:pPr>
        <w:ind w:left="259" w:hanging="202"/>
      </w:pPr>
      <w:r>
        <w:rPr>
          <w:b/>
        </w:rPr>
        <w:t xml:space="preserve">• </w:t>
      </w:r>
      <w:r>
        <w:t>Aging report, dependency reason, management review.</w:t>
      </w:r>
    </w:p>
    <w:p>
      <w:pPr>
        <w:pStyle w:val="Heading1"/>
      </w:pPr>
      <w:r>
        <w:t>15. Decision Authorities</w:t>
      </w:r>
    </w:p>
    <w:p>
      <w:r>
        <w:t>Decision authority depends on escalation severity and specialist subject matter. Higher authority may decide a lower-level case; lower authority may not waive a specialist requirement.</w:t>
      </w:r>
    </w:p>
    <w:p>
      <w:r>
        <w:rPr>
          <w:b/>
        </w:rPr>
        <w:t>Control requirements</w:t>
      </w:r>
    </w:p>
    <w:p>
      <w:pPr>
        <w:ind w:left="259" w:hanging="202"/>
      </w:pPr>
      <w:r>
        <w:rPr>
          <w:b/>
        </w:rPr>
        <w:t xml:space="preserve">• </w:t>
      </w:r>
      <w:r>
        <w:t>Level 1: KYC Checker.</w:t>
      </w:r>
    </w:p>
    <w:p>
      <w:pPr>
        <w:ind w:left="259" w:hanging="202"/>
      </w:pPr>
      <w:r>
        <w:rPr>
          <w:b/>
        </w:rPr>
        <w:t xml:space="preserve">• </w:t>
      </w:r>
      <w:r>
        <w:t>Level 2: Senior KYC Checker.</w:t>
      </w:r>
    </w:p>
    <w:p>
      <w:pPr>
        <w:ind w:left="259" w:hanging="202"/>
      </w:pPr>
      <w:r>
        <w:rPr>
          <w:b/>
        </w:rPr>
        <w:t xml:space="preserve">• </w:t>
      </w:r>
      <w:r>
        <w:t>Level 3: KYC Manager, with AML/Compliance concurrence where PEP, ownership or geography requires.</w:t>
      </w:r>
    </w:p>
    <w:p>
      <w:pPr>
        <w:ind w:left="259" w:hanging="202"/>
      </w:pPr>
      <w:r>
        <w:rPr>
          <w:b/>
        </w:rPr>
        <w:t xml:space="preserve">• </w:t>
      </w:r>
      <w:r>
        <w:t>Level 4: Head of KYC plus Chief AML Officer, Chief Compliance Officer or Fraud leadership depending on issue.</w:t>
      </w:r>
    </w:p>
    <w:p>
      <w:pPr>
        <w:pStyle w:val="Heading2"/>
      </w:pPr>
      <w:r>
        <w:t>Escalation authority matrix</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70" w:type="dxa"/>
              <w:start w:w="80" w:type="dxa"/>
              <w:bottom w:w="70" w:type="dxa"/>
              <w:end w:w="80" w:type="dxa"/>
            </w:tcMar>
            <w:shd w:fill="1F4E78"/>
          </w:tcPr>
          <w:p>
            <w:pPr>
              <w:spacing w:after="0" w:before="0"/>
            </w:pPr>
            <w:r>
              <w:rPr>
                <w:b/>
                <w:sz w:val="16"/>
                <w:color w:val="FFFFFF"/>
              </w:rPr>
              <w:t>Severity</w:t>
            </w:r>
          </w:p>
        </w:tc>
        <w:tc>
          <w:tcPr>
            <w:tcW w:type="dxa" w:w="3456"/>
            <w:vAlign w:val="center"/>
            <w:tcMar>
              <w:top w:w="70" w:type="dxa"/>
              <w:start w:w="80" w:type="dxa"/>
              <w:bottom w:w="70" w:type="dxa"/>
              <w:end w:w="80" w:type="dxa"/>
            </w:tcMar>
            <w:shd w:fill="1F4E78"/>
          </w:tcPr>
          <w:p>
            <w:pPr>
              <w:spacing w:after="0" w:before="0"/>
            </w:pPr>
            <w:r>
              <w:rPr>
                <w:b/>
                <w:sz w:val="16"/>
                <w:color w:val="FFFFFF"/>
              </w:rPr>
              <w:t>Minimum KYC authority</w:t>
            </w:r>
          </w:p>
        </w:tc>
        <w:tc>
          <w:tcPr>
            <w:tcW w:type="dxa" w:w="3456"/>
            <w:vAlign w:val="center"/>
            <w:tcMar>
              <w:top w:w="70" w:type="dxa"/>
              <w:start w:w="80" w:type="dxa"/>
              <w:bottom w:w="70" w:type="dxa"/>
              <w:end w:w="80" w:type="dxa"/>
            </w:tcMar>
            <w:shd w:fill="1F4E78"/>
          </w:tcPr>
          <w:p>
            <w:pPr>
              <w:spacing w:after="0" w:before="0"/>
            </w:pPr>
            <w:r>
              <w:rPr>
                <w:b/>
                <w:sz w:val="16"/>
                <w:color w:val="FFFFFF"/>
              </w:rPr>
              <w:t>Additional concurrence</w:t>
            </w:r>
          </w:p>
        </w:tc>
      </w:tr>
      <w:tr>
        <w:tc>
          <w:tcPr>
            <w:tcW w:type="dxa" w:w="3456"/>
            <w:vAlign w:val="center"/>
            <w:tcMar>
              <w:top w:w="70" w:type="dxa"/>
              <w:start w:w="80" w:type="dxa"/>
              <w:bottom w:w="70" w:type="dxa"/>
              <w:end w:w="80" w:type="dxa"/>
            </w:tcMar>
          </w:tcPr>
          <w:p>
            <w:pPr>
              <w:spacing w:after="0" w:before="0"/>
            </w:pPr>
            <w:r>
              <w:rPr>
                <w:sz w:val="16"/>
              </w:rPr>
              <w:t>1</w:t>
            </w:r>
          </w:p>
        </w:tc>
        <w:tc>
          <w:tcPr>
            <w:tcW w:type="dxa" w:w="3456"/>
            <w:vAlign w:val="center"/>
            <w:tcMar>
              <w:top w:w="70" w:type="dxa"/>
              <w:start w:w="80" w:type="dxa"/>
              <w:bottom w:w="70" w:type="dxa"/>
              <w:end w:w="80" w:type="dxa"/>
            </w:tcMar>
          </w:tcPr>
          <w:p>
            <w:pPr>
              <w:spacing w:after="0" w:before="0"/>
            </w:pPr>
            <w:r>
              <w:rPr>
                <w:sz w:val="16"/>
              </w:rPr>
              <w:t>KYC Checker</w:t>
            </w:r>
          </w:p>
        </w:tc>
        <w:tc>
          <w:tcPr>
            <w:tcW w:type="dxa" w:w="3456"/>
            <w:vAlign w:val="center"/>
            <w:tcMar>
              <w:top w:w="70" w:type="dxa"/>
              <w:start w:w="80" w:type="dxa"/>
              <w:bottom w:w="70" w:type="dxa"/>
              <w:end w:w="80" w:type="dxa"/>
            </w:tcMar>
          </w:tcPr>
          <w:p>
            <w:pPr>
              <w:spacing w:after="0" w:before="0"/>
            </w:pPr>
            <w:r>
              <w:rPr>
                <w:sz w:val="16"/>
              </w:rPr>
              <w:t>None</w:t>
            </w:r>
          </w:p>
        </w:tc>
      </w:tr>
      <w:tr>
        <w:tc>
          <w:tcPr>
            <w:tcW w:type="dxa" w:w="3456"/>
            <w:vAlign w:val="center"/>
            <w:tcMar>
              <w:top w:w="70" w:type="dxa"/>
              <w:start w:w="80" w:type="dxa"/>
              <w:bottom w:w="70" w:type="dxa"/>
              <w:end w:w="80" w:type="dxa"/>
            </w:tcMar>
          </w:tcPr>
          <w:p>
            <w:pPr>
              <w:spacing w:after="0" w:before="0"/>
            </w:pPr>
            <w:r>
              <w:rPr>
                <w:sz w:val="16"/>
              </w:rPr>
              <w:t>2</w:t>
            </w:r>
          </w:p>
        </w:tc>
        <w:tc>
          <w:tcPr>
            <w:tcW w:type="dxa" w:w="3456"/>
            <w:vAlign w:val="center"/>
            <w:tcMar>
              <w:top w:w="70" w:type="dxa"/>
              <w:start w:w="80" w:type="dxa"/>
              <w:bottom w:w="70" w:type="dxa"/>
              <w:end w:w="80" w:type="dxa"/>
            </w:tcMar>
          </w:tcPr>
          <w:p>
            <w:pPr>
              <w:spacing w:after="0" w:before="0"/>
            </w:pPr>
            <w:r>
              <w:rPr>
                <w:sz w:val="16"/>
              </w:rPr>
              <w:t>Senior KYC Checker</w:t>
            </w:r>
          </w:p>
        </w:tc>
        <w:tc>
          <w:tcPr>
            <w:tcW w:type="dxa" w:w="3456"/>
            <w:vAlign w:val="center"/>
            <w:tcMar>
              <w:top w:w="70" w:type="dxa"/>
              <w:start w:w="80" w:type="dxa"/>
              <w:bottom w:w="70" w:type="dxa"/>
              <w:end w:w="80" w:type="dxa"/>
            </w:tcMar>
          </w:tcPr>
          <w:p>
            <w:pPr>
              <w:spacing w:after="0" w:before="0"/>
            </w:pPr>
            <w:r>
              <w:rPr>
                <w:sz w:val="16"/>
              </w:rPr>
              <w:t>Fraud/AML if referred</w:t>
            </w:r>
          </w:p>
        </w:tc>
      </w:tr>
      <w:tr>
        <w:tc>
          <w:tcPr>
            <w:tcW w:type="dxa" w:w="3456"/>
            <w:vAlign w:val="center"/>
            <w:tcMar>
              <w:top w:w="70" w:type="dxa"/>
              <w:start w:w="80" w:type="dxa"/>
              <w:bottom w:w="70" w:type="dxa"/>
              <w:end w:w="80" w:type="dxa"/>
            </w:tcMar>
          </w:tcPr>
          <w:p>
            <w:pPr>
              <w:spacing w:after="0" w:before="0"/>
            </w:pPr>
            <w:r>
              <w:rPr>
                <w:sz w:val="16"/>
              </w:rPr>
              <w:t>3</w:t>
            </w:r>
          </w:p>
        </w:tc>
        <w:tc>
          <w:tcPr>
            <w:tcW w:type="dxa" w:w="3456"/>
            <w:vAlign w:val="center"/>
            <w:tcMar>
              <w:top w:w="70" w:type="dxa"/>
              <w:start w:w="80" w:type="dxa"/>
              <w:bottom w:w="70" w:type="dxa"/>
              <w:end w:w="80" w:type="dxa"/>
            </w:tcMar>
          </w:tcPr>
          <w:p>
            <w:pPr>
              <w:spacing w:after="0" w:before="0"/>
            </w:pPr>
            <w:r>
              <w:rPr>
                <w:sz w:val="16"/>
              </w:rPr>
              <w:t>KYC Manager</w:t>
            </w:r>
          </w:p>
        </w:tc>
        <w:tc>
          <w:tcPr>
            <w:tcW w:type="dxa" w:w="3456"/>
            <w:vAlign w:val="center"/>
            <w:tcMar>
              <w:top w:w="70" w:type="dxa"/>
              <w:start w:w="80" w:type="dxa"/>
              <w:bottom w:w="70" w:type="dxa"/>
              <w:end w:w="80" w:type="dxa"/>
            </w:tcMar>
          </w:tcPr>
          <w:p>
            <w:pPr>
              <w:spacing w:after="0" w:before="0"/>
            </w:pPr>
            <w:r>
              <w:rPr>
                <w:sz w:val="16"/>
              </w:rPr>
              <w:t>AML or Compliance where relevant</w:t>
            </w:r>
          </w:p>
        </w:tc>
      </w:tr>
      <w:tr>
        <w:tc>
          <w:tcPr>
            <w:tcW w:type="dxa" w:w="3456"/>
            <w:vAlign w:val="center"/>
            <w:tcMar>
              <w:top w:w="70" w:type="dxa"/>
              <w:start w:w="80" w:type="dxa"/>
              <w:bottom w:w="70" w:type="dxa"/>
              <w:end w:w="80" w:type="dxa"/>
            </w:tcMar>
          </w:tcPr>
          <w:p>
            <w:pPr>
              <w:spacing w:after="0" w:before="0"/>
            </w:pPr>
            <w:r>
              <w:rPr>
                <w:sz w:val="16"/>
              </w:rPr>
              <w:t>4</w:t>
            </w:r>
          </w:p>
        </w:tc>
        <w:tc>
          <w:tcPr>
            <w:tcW w:type="dxa" w:w="3456"/>
            <w:vAlign w:val="center"/>
            <w:tcMar>
              <w:top w:w="70" w:type="dxa"/>
              <w:start w:w="80" w:type="dxa"/>
              <w:bottom w:w="70" w:type="dxa"/>
              <w:end w:w="80" w:type="dxa"/>
            </w:tcMar>
          </w:tcPr>
          <w:p>
            <w:pPr>
              <w:spacing w:after="0" w:before="0"/>
            </w:pPr>
            <w:r>
              <w:rPr>
                <w:sz w:val="16"/>
              </w:rPr>
              <w:t>Head of KYC</w:t>
            </w:r>
          </w:p>
        </w:tc>
        <w:tc>
          <w:tcPr>
            <w:tcW w:type="dxa" w:w="3456"/>
            <w:vAlign w:val="center"/>
            <w:tcMar>
              <w:top w:w="70" w:type="dxa"/>
              <w:start w:w="80" w:type="dxa"/>
              <w:bottom w:w="70" w:type="dxa"/>
              <w:end w:w="80" w:type="dxa"/>
            </w:tcMar>
          </w:tcPr>
          <w:p>
            <w:pPr>
              <w:spacing w:after="0" w:before="0"/>
            </w:pPr>
            <w:r>
              <w:rPr>
                <w:sz w:val="16"/>
              </w:rPr>
              <w:t>AML / Compliance / Fraud leadership as applicable</w:t>
            </w:r>
          </w:p>
        </w:tc>
      </w:tr>
    </w:tbl>
    <w:p>
      <w:pPr>
        <w:spacing w:after="20"/>
      </w:pPr>
    </w:p>
    <w:p>
      <w:pPr>
        <w:pStyle w:val="Heading2"/>
      </w:pPr>
      <w:r>
        <w:t>Records and control evidence</w:t>
      </w:r>
    </w:p>
    <w:p>
      <w:pPr>
        <w:ind w:left="259" w:hanging="202"/>
      </w:pPr>
      <w:r>
        <w:rPr>
          <w:b/>
        </w:rPr>
        <w:t xml:space="preserve">• </w:t>
      </w:r>
      <w:r>
        <w:t>Approval record, concurrence, decision conditions.</w:t>
      </w:r>
    </w:p>
    <w:p>
      <w:pPr>
        <w:pStyle w:val="Heading1"/>
      </w:pPr>
      <w:r>
        <w:t>16. Case Closure</w:t>
      </w:r>
    </w:p>
    <w:p>
      <w:r>
        <w:t>An escalation may be closed when the issue is resolved, the relationship is declined/terminated, or an authorized decision accepts the residual risk within permitted scope.</w:t>
      </w:r>
    </w:p>
    <w:p>
      <w:r>
        <w:rPr>
          <w:b/>
        </w:rPr>
        <w:t>Control requirements</w:t>
      </w:r>
    </w:p>
    <w:p>
      <w:pPr>
        <w:ind w:left="259" w:hanging="202"/>
      </w:pPr>
      <w:r>
        <w:rPr>
          <w:b/>
        </w:rPr>
        <w:t xml:space="preserve">• </w:t>
      </w:r>
      <w:r>
        <w:t>Closure notes must state the issue, evidence considered and final treatment.</w:t>
      </w:r>
    </w:p>
    <w:p>
      <w:pPr>
        <w:ind w:left="259" w:hanging="202"/>
      </w:pPr>
      <w:r>
        <w:rPr>
          <w:b/>
        </w:rPr>
        <w:t xml:space="preserve">• </w:t>
      </w:r>
      <w:r>
        <w:t>“Business approved” is not an acceptable closure rationale.</w:t>
      </w:r>
    </w:p>
    <w:p>
      <w:pPr>
        <w:ind w:left="259" w:hanging="202"/>
      </w:pPr>
      <w:r>
        <w:rPr>
          <w:b/>
        </w:rPr>
        <w:t xml:space="preserve">• </w:t>
      </w:r>
      <w:r>
        <w:t>Any continuing restriction or enhanced-review condition must be carried into the customer master record.</w:t>
      </w:r>
    </w:p>
    <w:p>
      <w:pPr>
        <w:pStyle w:val="Heading2"/>
      </w:pPr>
      <w:r>
        <w:t>Records and control evidence</w:t>
      </w:r>
    </w:p>
    <w:p>
      <w:pPr>
        <w:ind w:left="259" w:hanging="202"/>
      </w:pPr>
      <w:r>
        <w:rPr>
          <w:b/>
        </w:rPr>
        <w:t xml:space="preserve">• </w:t>
      </w:r>
      <w:r>
        <w:t>Closure summary, residual conditions, customer master update.</w:t>
      </w:r>
    </w:p>
    <w:p>
      <w:pPr>
        <w:pStyle w:val="Heading1"/>
      </w:pPr>
      <w:r>
        <w:t>17. Retrospective Escalation</w:t>
      </w:r>
    </w:p>
    <w:p>
      <w:r>
        <w:t>New facts may require reopening previously completed KYC. Retrospective escalation is appropriate where a prior decision was based on incomplete or incorrect material information.</w:t>
      </w:r>
    </w:p>
    <w:p>
      <w:r>
        <w:rPr>
          <w:b/>
        </w:rPr>
        <w:t>Control requirements</w:t>
      </w:r>
    </w:p>
    <w:p>
      <w:pPr>
        <w:ind w:left="259" w:hanging="202"/>
      </w:pPr>
      <w:r>
        <w:rPr>
          <w:b/>
        </w:rPr>
        <w:t xml:space="preserve">• </w:t>
      </w:r>
      <w:r>
        <w:t>A later beneficial-ownership change may trigger a new review rather than invalidate the original approval.</w:t>
      </w:r>
    </w:p>
    <w:p>
      <w:pPr>
        <w:ind w:left="259" w:hanging="202"/>
      </w:pPr>
      <w:r>
        <w:rPr>
          <w:b/>
        </w:rPr>
        <w:t xml:space="preserve">• </w:t>
      </w:r>
      <w:r>
        <w:t>Evidence of document fraud present at original onboarding requires retrospective assessment and Fraud referral.</w:t>
      </w:r>
    </w:p>
    <w:p>
      <w:pPr>
        <w:ind w:left="259" w:hanging="202"/>
      </w:pPr>
      <w:r>
        <w:rPr>
          <w:b/>
        </w:rPr>
        <w:t xml:space="preserve">• </w:t>
      </w:r>
      <w:r>
        <w:t>Related customers may be identified for review where a common control failure is found.</w:t>
      </w:r>
    </w:p>
    <w:p>
      <w:pPr>
        <w:pStyle w:val="Heading2"/>
      </w:pPr>
      <w:r>
        <w:t>Records and control evidence</w:t>
      </w:r>
    </w:p>
    <w:p>
      <w:pPr>
        <w:ind w:left="259" w:hanging="202"/>
      </w:pPr>
      <w:r>
        <w:rPr>
          <w:b/>
        </w:rPr>
        <w:t xml:space="preserve">• </w:t>
      </w:r>
      <w:r>
        <w:t>Trigger event, prior decision, retrospective scope, related population.</w:t>
      </w:r>
    </w:p>
    <w:p>
      <w:pPr>
        <w:pStyle w:val="Heading1"/>
      </w:pPr>
      <w:r>
        <w:t>18. Breach and Control-Failure Escalation</w:t>
      </w:r>
    </w:p>
    <w:p>
      <w:r>
        <w:t>A case-level KYC issue and a process/control failure are not the same. Repeated or systemic defects shall be escalated as a control issue in addition to correcting individual customers.</w:t>
      </w:r>
    </w:p>
    <w:p>
      <w:r>
        <w:rPr>
          <w:b/>
        </w:rPr>
        <w:t>Control requirements</w:t>
      </w:r>
    </w:p>
    <w:p>
      <w:pPr>
        <w:ind w:left="259" w:hanging="202"/>
      </w:pPr>
      <w:r>
        <w:rPr>
          <w:b/>
        </w:rPr>
        <w:t xml:space="preserve">• </w:t>
      </w:r>
      <w:r>
        <w:t>Onboarding without required sanctions disposition is a critical control defect.</w:t>
      </w:r>
    </w:p>
    <w:p>
      <w:pPr>
        <w:ind w:left="259" w:hanging="202"/>
      </w:pPr>
      <w:r>
        <w:rPr>
          <w:b/>
        </w:rPr>
        <w:t xml:space="preserve">• </w:t>
      </w:r>
      <w:r>
        <w:t>Repeated missed checker reviews may indicate a workflow or access-control failure.</w:t>
      </w:r>
    </w:p>
    <w:p>
      <w:pPr>
        <w:ind w:left="259" w:hanging="202"/>
      </w:pPr>
      <w:r>
        <w:rPr>
          <w:b/>
        </w:rPr>
        <w:t xml:space="preserve">• </w:t>
      </w:r>
      <w:r>
        <w:t>Material control failures shall be reported to Compliance and Operational Risk and may require a formal breach record.</w:t>
      </w:r>
    </w:p>
    <w:p>
      <w:pPr>
        <w:pStyle w:val="Heading2"/>
      </w:pPr>
      <w:r>
        <w:t>Records and control evidence</w:t>
      </w:r>
    </w:p>
    <w:p>
      <w:pPr>
        <w:ind w:left="259" w:hanging="202"/>
      </w:pPr>
      <w:r>
        <w:rPr>
          <w:b/>
        </w:rPr>
        <w:t xml:space="preserve">• </w:t>
      </w:r>
      <w:r>
        <w:t>Defect register, root cause, impacted customers, remediation plan.</w:t>
      </w:r>
    </w:p>
    <w:p>
      <w:pPr>
        <w:pStyle w:val="Heading1"/>
      </w:pPr>
      <w:r>
        <w:t>19. Records and Reporting</w:t>
      </w:r>
    </w:p>
    <w:p>
      <w:r>
        <w:t>KYC Operations shall maintain escalation metrics including volume, severity, aging, decline rate, repeated issue types and control defects.</w:t>
      </w:r>
    </w:p>
    <w:p>
      <w:r>
        <w:rPr>
          <w:b/>
        </w:rPr>
        <w:t>Control requirements</w:t>
      </w:r>
    </w:p>
    <w:p>
      <w:pPr>
        <w:ind w:left="259" w:hanging="202"/>
      </w:pPr>
      <w:r>
        <w:rPr>
          <w:b/>
        </w:rPr>
        <w:t xml:space="preserve">• </w:t>
      </w:r>
      <w:r>
        <w:t>Reports shall distinguish open customer cases from closed control issues.</w:t>
      </w:r>
    </w:p>
    <w:p>
      <w:pPr>
        <w:ind w:left="259" w:hanging="202"/>
      </w:pPr>
      <w:r>
        <w:rPr>
          <w:b/>
        </w:rPr>
        <w:t xml:space="preserve">• </w:t>
      </w:r>
      <w:r>
        <w:t>Sensitive sanctions and fraud information shall be restricted to authorized users.</w:t>
      </w:r>
    </w:p>
    <w:p>
      <w:pPr>
        <w:ind w:left="259" w:hanging="202"/>
      </w:pPr>
      <w:r>
        <w:rPr>
          <w:b/>
        </w:rPr>
        <w:t xml:space="preserve">• </w:t>
      </w:r>
      <w:r>
        <w:t>Monthly management reporting should identify recurring discrepancy causes and workflow bottlenecks.</w:t>
      </w:r>
    </w:p>
    <w:p>
      <w:pPr>
        <w:pStyle w:val="Heading2"/>
      </w:pPr>
      <w:r>
        <w:t>Records and control evidence</w:t>
      </w:r>
    </w:p>
    <w:p>
      <w:pPr>
        <w:ind w:left="259" w:hanging="202"/>
      </w:pPr>
      <w:r>
        <w:rPr>
          <w:b/>
        </w:rPr>
        <w:t xml:space="preserve">• </w:t>
      </w:r>
      <w:r>
        <w:t>Escalation register, MI pack, access controls.</w:t>
      </w:r>
    </w:p>
    <w:p>
      <w:pPr>
        <w:pStyle w:val="Heading1"/>
      </w:pPr>
      <w:r>
        <w:t>20. Historical and Transition Rules</w:t>
      </w:r>
    </w:p>
    <w:p>
      <w:r>
        <w:t>Version 1.1 applies from 1 August 2025. Level terminology did not exist formally in v1.0, and historical cases should not be retrospectively reclassified unless they are reopened.</w:t>
      </w:r>
    </w:p>
    <w:p>
      <w:r>
        <w:rPr>
          <w:b/>
        </w:rPr>
        <w:t>Control requirements</w:t>
      </w:r>
    </w:p>
    <w:p>
      <w:pPr>
        <w:ind w:left="259" w:hanging="202"/>
      </w:pPr>
      <w:r>
        <w:rPr>
          <w:b/>
        </w:rPr>
        <w:t xml:space="preserve">• </w:t>
      </w:r>
      <w:r>
        <w:t>Cases opened before 1 August 2025 may retain prior routing labels but shall use v1.1 authority if a new decision is required after the effective date.</w:t>
      </w:r>
    </w:p>
    <w:p>
      <w:pPr>
        <w:ind w:left="259" w:hanging="202"/>
      </w:pPr>
      <w:r>
        <w:rPr>
          <w:b/>
        </w:rPr>
        <w:t xml:space="preserve">• </w:t>
      </w:r>
      <w:r>
        <w:t>The v1.0 target for senior-review cases was three business days; v1.1 distinguishes Level 2 and Level 3 targets.</w:t>
      </w:r>
    </w:p>
    <w:p>
      <w:pPr>
        <w:pStyle w:val="Heading2"/>
      </w:pPr>
      <w:r>
        <w:t>Records and control evidence</w:t>
      </w:r>
    </w:p>
    <w:p>
      <w:pPr>
        <w:ind w:left="259" w:hanging="202"/>
      </w:pPr>
      <w:r>
        <w:rPr>
          <w:b/>
        </w:rPr>
        <w:t xml:space="preserve">• </w:t>
      </w:r>
      <w:r>
        <w:t>Workflow version, reopened-case decision, historical labels.</w:t>
      </w:r>
    </w:p>
    <w:p>
      <w:r>
        <w:br w:type="page"/>
      </w:r>
    </w:p>
    <w:p>
      <w:pPr>
        <w:pStyle w:val="Heading1"/>
      </w:pPr>
      <w:r>
        <w:t>Appendix A. Severity Matrix</w:t>
      </w:r>
    </w:p>
    <w:p>
      <w:r>
        <w:t>Severity reflects the unresolved risk, not customer value or business urgency.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70" w:type="dxa"/>
              <w:start w:w="80" w:type="dxa"/>
              <w:bottom w:w="70" w:type="dxa"/>
              <w:end w:w="80" w:type="dxa"/>
            </w:tcMar>
            <w:shd w:fill="1F4E78"/>
          </w:tcPr>
          <w:p>
            <w:pPr>
              <w:spacing w:after="0" w:before="0"/>
            </w:pPr>
            <w:r>
              <w:rPr>
                <w:b/>
                <w:sz w:val="16"/>
                <w:color w:val="FFFFFF"/>
              </w:rPr>
              <w:t>Level</w:t>
            </w:r>
          </w:p>
        </w:tc>
        <w:tc>
          <w:tcPr>
            <w:tcW w:type="dxa" w:w="3456"/>
            <w:vAlign w:val="center"/>
            <w:tcMar>
              <w:top w:w="70" w:type="dxa"/>
              <w:start w:w="80" w:type="dxa"/>
              <w:bottom w:w="70" w:type="dxa"/>
              <w:end w:w="80" w:type="dxa"/>
            </w:tcMar>
            <w:shd w:fill="1F4E78"/>
          </w:tcPr>
          <w:p>
            <w:pPr>
              <w:spacing w:after="0" w:before="0"/>
            </w:pPr>
            <w:r>
              <w:rPr>
                <w:b/>
                <w:sz w:val="16"/>
                <w:color w:val="FFFFFF"/>
              </w:rPr>
              <w:t>Examples</w:t>
            </w:r>
          </w:p>
        </w:tc>
        <w:tc>
          <w:tcPr>
            <w:tcW w:type="dxa" w:w="3456"/>
            <w:vAlign w:val="center"/>
            <w:tcMar>
              <w:top w:w="70" w:type="dxa"/>
              <w:start w:w="80" w:type="dxa"/>
              <w:bottom w:w="70" w:type="dxa"/>
              <w:end w:w="80" w:type="dxa"/>
            </w:tcMar>
            <w:shd w:fill="1F4E78"/>
          </w:tcPr>
          <w:p>
            <w:pPr>
              <w:spacing w:after="0" w:before="0"/>
            </w:pPr>
            <w:r>
              <w:rPr>
                <w:b/>
                <w:sz w:val="16"/>
                <w:color w:val="FFFFFF"/>
              </w:rPr>
              <w:t>Restriction</w:t>
            </w:r>
          </w:p>
        </w:tc>
      </w:tr>
      <w:tr>
        <w:tc>
          <w:tcPr>
            <w:tcW w:type="dxa" w:w="3456"/>
            <w:vAlign w:val="center"/>
            <w:tcMar>
              <w:top w:w="70" w:type="dxa"/>
              <w:start w:w="80" w:type="dxa"/>
              <w:bottom w:w="70" w:type="dxa"/>
              <w:end w:w="80" w:type="dxa"/>
            </w:tcMar>
          </w:tcPr>
          <w:p>
            <w:pPr>
              <w:spacing w:after="0" w:before="0"/>
            </w:pPr>
            <w:r>
              <w:rPr>
                <w:sz w:val="16"/>
              </w:rPr>
              <w:t>1</w:t>
            </w:r>
          </w:p>
        </w:tc>
        <w:tc>
          <w:tcPr>
            <w:tcW w:type="dxa" w:w="3456"/>
            <w:vAlign w:val="center"/>
            <w:tcMar>
              <w:top w:w="70" w:type="dxa"/>
              <w:start w:w="80" w:type="dxa"/>
              <w:bottom w:w="70" w:type="dxa"/>
              <w:end w:w="80" w:type="dxa"/>
            </w:tcMar>
          </w:tcPr>
          <w:p>
            <w:pPr>
              <w:spacing w:after="0" w:before="0"/>
            </w:pPr>
            <w:r>
              <w:rPr>
                <w:sz w:val="16"/>
              </w:rPr>
              <w:t>Minor name/address clarification</w:t>
            </w:r>
          </w:p>
        </w:tc>
        <w:tc>
          <w:tcPr>
            <w:tcW w:type="dxa" w:w="3456"/>
            <w:vAlign w:val="center"/>
            <w:tcMar>
              <w:top w:w="70" w:type="dxa"/>
              <w:start w:w="80" w:type="dxa"/>
              <w:bottom w:w="70" w:type="dxa"/>
              <w:end w:w="80" w:type="dxa"/>
            </w:tcMar>
          </w:tcPr>
          <w:p>
            <w:pPr>
              <w:spacing w:after="0" w:before="0"/>
            </w:pPr>
            <w:r>
              <w:rPr>
                <w:sz w:val="16"/>
              </w:rPr>
              <w:t>None / document hold</w:t>
            </w:r>
          </w:p>
        </w:tc>
      </w:tr>
      <w:tr>
        <w:tc>
          <w:tcPr>
            <w:tcW w:type="dxa" w:w="3456"/>
            <w:vAlign w:val="center"/>
            <w:tcMar>
              <w:top w:w="70" w:type="dxa"/>
              <w:start w:w="80" w:type="dxa"/>
              <w:bottom w:w="70" w:type="dxa"/>
              <w:end w:w="80" w:type="dxa"/>
            </w:tcMar>
          </w:tcPr>
          <w:p>
            <w:pPr>
              <w:spacing w:after="0" w:before="0"/>
            </w:pPr>
            <w:r>
              <w:rPr>
                <w:sz w:val="16"/>
              </w:rPr>
              <w:t>2</w:t>
            </w:r>
          </w:p>
        </w:tc>
        <w:tc>
          <w:tcPr>
            <w:tcW w:type="dxa" w:w="3456"/>
            <w:vAlign w:val="center"/>
            <w:tcMar>
              <w:top w:w="70" w:type="dxa"/>
              <w:start w:w="80" w:type="dxa"/>
              <w:bottom w:w="70" w:type="dxa"/>
              <w:end w:w="80" w:type="dxa"/>
            </w:tcMar>
          </w:tcPr>
          <w:p>
            <w:pPr>
              <w:spacing w:after="0" w:before="0"/>
            </w:pPr>
            <w:r>
              <w:rPr>
                <w:sz w:val="16"/>
              </w:rPr>
              <w:t>Material mismatch; manual digital fallback</w:t>
            </w:r>
          </w:p>
        </w:tc>
        <w:tc>
          <w:tcPr>
            <w:tcW w:type="dxa" w:w="3456"/>
            <w:vAlign w:val="center"/>
            <w:tcMar>
              <w:top w:w="70" w:type="dxa"/>
              <w:start w:w="80" w:type="dxa"/>
              <w:bottom w:w="70" w:type="dxa"/>
              <w:end w:w="80" w:type="dxa"/>
            </w:tcMar>
          </w:tcPr>
          <w:p>
            <w:pPr>
              <w:spacing w:after="0" w:before="0"/>
            </w:pPr>
            <w:r>
              <w:rPr>
                <w:sz w:val="16"/>
              </w:rPr>
              <w:t>Restricted-KYC</w:t>
            </w:r>
          </w:p>
        </w:tc>
      </w:tr>
      <w:tr>
        <w:tc>
          <w:tcPr>
            <w:tcW w:type="dxa" w:w="3456"/>
            <w:vAlign w:val="center"/>
            <w:tcMar>
              <w:top w:w="70" w:type="dxa"/>
              <w:start w:w="80" w:type="dxa"/>
              <w:bottom w:w="70" w:type="dxa"/>
              <w:end w:w="80" w:type="dxa"/>
            </w:tcMar>
          </w:tcPr>
          <w:p>
            <w:pPr>
              <w:spacing w:after="0" w:before="0"/>
            </w:pPr>
            <w:r>
              <w:rPr>
                <w:sz w:val="16"/>
              </w:rPr>
              <w:t>3</w:t>
            </w:r>
          </w:p>
        </w:tc>
        <w:tc>
          <w:tcPr>
            <w:tcW w:type="dxa" w:w="3456"/>
            <w:vAlign w:val="center"/>
            <w:tcMar>
              <w:top w:w="70" w:type="dxa"/>
              <w:start w:w="80" w:type="dxa"/>
              <w:bottom w:w="70" w:type="dxa"/>
              <w:end w:w="80" w:type="dxa"/>
            </w:tcMar>
          </w:tcPr>
          <w:p>
            <w:pPr>
              <w:spacing w:after="0" w:before="0"/>
            </w:pPr>
            <w:r>
              <w:rPr>
                <w:sz w:val="16"/>
              </w:rPr>
              <w:t>PEP; unresolved BO; high-risk digital concerns</w:t>
            </w:r>
          </w:p>
        </w:tc>
        <w:tc>
          <w:tcPr>
            <w:tcW w:type="dxa" w:w="3456"/>
            <w:vAlign w:val="center"/>
            <w:tcMar>
              <w:top w:w="70" w:type="dxa"/>
              <w:start w:w="80" w:type="dxa"/>
              <w:bottom w:w="70" w:type="dxa"/>
              <w:end w:w="80" w:type="dxa"/>
            </w:tcMar>
          </w:tcPr>
          <w:p>
            <w:pPr>
              <w:spacing w:after="0" w:before="0"/>
            </w:pPr>
            <w:r>
              <w:rPr>
                <w:sz w:val="16"/>
              </w:rPr>
              <w:t>Restricted-KYC / specialist review</w:t>
            </w:r>
          </w:p>
        </w:tc>
      </w:tr>
      <w:tr>
        <w:tc>
          <w:tcPr>
            <w:tcW w:type="dxa" w:w="3456"/>
            <w:vAlign w:val="center"/>
            <w:tcMar>
              <w:top w:w="70" w:type="dxa"/>
              <w:start w:w="80" w:type="dxa"/>
              <w:bottom w:w="70" w:type="dxa"/>
              <w:end w:w="80" w:type="dxa"/>
            </w:tcMar>
          </w:tcPr>
          <w:p>
            <w:pPr>
              <w:spacing w:after="0" w:before="0"/>
            </w:pPr>
            <w:r>
              <w:rPr>
                <w:sz w:val="16"/>
              </w:rPr>
              <w:t>4</w:t>
            </w:r>
          </w:p>
        </w:tc>
        <w:tc>
          <w:tcPr>
            <w:tcW w:type="dxa" w:w="3456"/>
            <w:vAlign w:val="center"/>
            <w:tcMar>
              <w:top w:w="70" w:type="dxa"/>
              <w:start w:w="80" w:type="dxa"/>
              <w:bottom w:w="70" w:type="dxa"/>
              <w:end w:w="80" w:type="dxa"/>
            </w:tcMar>
          </w:tcPr>
          <w:p>
            <w:pPr>
              <w:spacing w:after="0" w:before="0"/>
            </w:pPr>
            <w:r>
              <w:rPr>
                <w:sz w:val="16"/>
              </w:rPr>
              <w:t>Potential sanctions; suspected identity fraud; systemic critical defect</w:t>
            </w:r>
          </w:p>
        </w:tc>
        <w:tc>
          <w:tcPr>
            <w:tcW w:type="dxa" w:w="3456"/>
            <w:vAlign w:val="center"/>
            <w:tcMar>
              <w:top w:w="70" w:type="dxa"/>
              <w:start w:w="80" w:type="dxa"/>
              <w:bottom w:w="70" w:type="dxa"/>
              <w:end w:w="80" w:type="dxa"/>
            </w:tcMar>
          </w:tcPr>
          <w:p>
            <w:pPr>
              <w:spacing w:after="0" w:before="0"/>
            </w:pPr>
            <w:r>
              <w:rPr>
                <w:sz w:val="16"/>
              </w:rPr>
              <w:t>Full hold / specialist control</w:t>
            </w:r>
          </w:p>
        </w:tc>
      </w:tr>
    </w:tbl>
    <w:p>
      <w:pPr>
        <w:spacing w:after="20"/>
      </w:pPr>
    </w:p>
    <w:p>
      <w:r>
        <w:br w:type="page"/>
      </w:r>
    </w:p>
    <w:p>
      <w:pPr>
        <w:pStyle w:val="Heading1"/>
      </w:pPr>
      <w:r>
        <w:t>Appendix B. Escalation Authority Matrix</w:t>
      </w:r>
    </w:p>
    <w:p>
      <w:r>
        <w:t>Minimum decision authorities.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70" w:type="dxa"/>
              <w:start w:w="80" w:type="dxa"/>
              <w:bottom w:w="70" w:type="dxa"/>
              <w:end w:w="80" w:type="dxa"/>
            </w:tcMar>
            <w:shd w:fill="1F4E78"/>
          </w:tcPr>
          <w:p>
            <w:pPr>
              <w:spacing w:after="0" w:before="0"/>
            </w:pPr>
            <w:r>
              <w:rPr>
                <w:b/>
                <w:sz w:val="16"/>
                <w:color w:val="FFFFFF"/>
              </w:rPr>
              <w:t>Matter</w:t>
            </w:r>
          </w:p>
        </w:tc>
        <w:tc>
          <w:tcPr>
            <w:tcW w:type="dxa" w:w="3456"/>
            <w:vAlign w:val="center"/>
            <w:tcMar>
              <w:top w:w="70" w:type="dxa"/>
              <w:start w:w="80" w:type="dxa"/>
              <w:bottom w:w="70" w:type="dxa"/>
              <w:end w:w="80" w:type="dxa"/>
            </w:tcMar>
            <w:shd w:fill="1F4E78"/>
          </w:tcPr>
          <w:p>
            <w:pPr>
              <w:spacing w:after="0" w:before="0"/>
            </w:pPr>
            <w:r>
              <w:rPr>
                <w:b/>
                <w:sz w:val="16"/>
                <w:color w:val="FFFFFF"/>
              </w:rPr>
              <w:t>Primary authority</w:t>
            </w:r>
          </w:p>
        </w:tc>
        <w:tc>
          <w:tcPr>
            <w:tcW w:type="dxa" w:w="3456"/>
            <w:vAlign w:val="center"/>
            <w:tcMar>
              <w:top w:w="70" w:type="dxa"/>
              <w:start w:w="80" w:type="dxa"/>
              <w:bottom w:w="70" w:type="dxa"/>
              <w:end w:w="80" w:type="dxa"/>
            </w:tcMar>
            <w:shd w:fill="1F4E78"/>
          </w:tcPr>
          <w:p>
            <w:pPr>
              <w:spacing w:after="0" w:before="0"/>
            </w:pPr>
            <w:r>
              <w:rPr>
                <w:b/>
                <w:sz w:val="16"/>
                <w:color w:val="FFFFFF"/>
              </w:rPr>
              <w:t>Concurrence</w:t>
            </w:r>
          </w:p>
        </w:tc>
      </w:tr>
      <w:tr>
        <w:tc>
          <w:tcPr>
            <w:tcW w:type="dxa" w:w="3456"/>
            <w:vAlign w:val="center"/>
            <w:tcMar>
              <w:top w:w="70" w:type="dxa"/>
              <w:start w:w="80" w:type="dxa"/>
              <w:bottom w:w="70" w:type="dxa"/>
              <w:end w:w="80" w:type="dxa"/>
            </w:tcMar>
          </w:tcPr>
          <w:p>
            <w:pPr>
              <w:spacing w:after="0" w:before="0"/>
            </w:pPr>
            <w:r>
              <w:rPr>
                <w:sz w:val="16"/>
              </w:rPr>
              <w:t>Material identity mismatch</w:t>
            </w:r>
          </w:p>
        </w:tc>
        <w:tc>
          <w:tcPr>
            <w:tcW w:type="dxa" w:w="3456"/>
            <w:vAlign w:val="center"/>
            <w:tcMar>
              <w:top w:w="70" w:type="dxa"/>
              <w:start w:w="80" w:type="dxa"/>
              <w:bottom w:w="70" w:type="dxa"/>
              <w:end w:w="80" w:type="dxa"/>
            </w:tcMar>
          </w:tcPr>
          <w:p>
            <w:pPr>
              <w:spacing w:after="0" w:before="0"/>
            </w:pPr>
            <w:r>
              <w:rPr>
                <w:sz w:val="16"/>
              </w:rPr>
              <w:t>Senior KYC Checker</w:t>
            </w:r>
          </w:p>
        </w:tc>
        <w:tc>
          <w:tcPr>
            <w:tcW w:type="dxa" w:w="3456"/>
            <w:vAlign w:val="center"/>
            <w:tcMar>
              <w:top w:w="70" w:type="dxa"/>
              <w:start w:w="80" w:type="dxa"/>
              <w:bottom w:w="70" w:type="dxa"/>
              <w:end w:w="80" w:type="dxa"/>
            </w:tcMar>
          </w:tcPr>
          <w:p>
            <w:pPr>
              <w:spacing w:after="0" w:before="0"/>
            </w:pPr>
            <w:r>
              <w:rPr>
                <w:sz w:val="16"/>
              </w:rPr>
              <w:t>Fraud if suspicious</w:t>
            </w:r>
          </w:p>
        </w:tc>
      </w:tr>
      <w:tr>
        <w:tc>
          <w:tcPr>
            <w:tcW w:type="dxa" w:w="3456"/>
            <w:vAlign w:val="center"/>
            <w:tcMar>
              <w:top w:w="70" w:type="dxa"/>
              <w:start w:w="80" w:type="dxa"/>
              <w:bottom w:w="70" w:type="dxa"/>
              <w:end w:w="80" w:type="dxa"/>
            </w:tcMar>
          </w:tcPr>
          <w:p>
            <w:pPr>
              <w:spacing w:after="0" w:before="0"/>
            </w:pPr>
            <w:r>
              <w:rPr>
                <w:sz w:val="16"/>
              </w:rPr>
              <w:t>High-risk beneficial ownership</w:t>
            </w:r>
          </w:p>
        </w:tc>
        <w:tc>
          <w:tcPr>
            <w:tcW w:type="dxa" w:w="3456"/>
            <w:vAlign w:val="center"/>
            <w:tcMar>
              <w:top w:w="70" w:type="dxa"/>
              <w:start w:w="80" w:type="dxa"/>
              <w:bottom w:w="70" w:type="dxa"/>
              <w:end w:w="80" w:type="dxa"/>
            </w:tcMar>
          </w:tcPr>
          <w:p>
            <w:pPr>
              <w:spacing w:after="0" w:before="0"/>
            </w:pPr>
            <w:r>
              <w:rPr>
                <w:sz w:val="16"/>
              </w:rPr>
              <w:t>KYC Manager</w:t>
            </w:r>
          </w:p>
        </w:tc>
        <w:tc>
          <w:tcPr>
            <w:tcW w:type="dxa" w:w="3456"/>
            <w:vAlign w:val="center"/>
            <w:tcMar>
              <w:top w:w="70" w:type="dxa"/>
              <w:start w:w="80" w:type="dxa"/>
              <w:bottom w:w="70" w:type="dxa"/>
              <w:end w:w="80" w:type="dxa"/>
            </w:tcMar>
          </w:tcPr>
          <w:p>
            <w:pPr>
              <w:spacing w:after="0" w:before="0"/>
            </w:pPr>
            <w:r>
              <w:rPr>
                <w:sz w:val="16"/>
              </w:rPr>
              <w:t>Compliance/AML</w:t>
            </w:r>
          </w:p>
        </w:tc>
      </w:tr>
      <w:tr>
        <w:tc>
          <w:tcPr>
            <w:tcW w:type="dxa" w:w="3456"/>
            <w:vAlign w:val="center"/>
            <w:tcMar>
              <w:top w:w="70" w:type="dxa"/>
              <w:start w:w="80" w:type="dxa"/>
              <w:bottom w:w="70" w:type="dxa"/>
              <w:end w:w="80" w:type="dxa"/>
            </w:tcMar>
          </w:tcPr>
          <w:p>
            <w:pPr>
              <w:spacing w:after="0" w:before="0"/>
            </w:pPr>
            <w:r>
              <w:rPr>
                <w:sz w:val="16"/>
              </w:rPr>
              <w:t>Confirmed PEP</w:t>
            </w:r>
          </w:p>
        </w:tc>
        <w:tc>
          <w:tcPr>
            <w:tcW w:type="dxa" w:w="3456"/>
            <w:vAlign w:val="center"/>
            <w:tcMar>
              <w:top w:w="70" w:type="dxa"/>
              <w:start w:w="80" w:type="dxa"/>
              <w:bottom w:w="70" w:type="dxa"/>
              <w:end w:w="80" w:type="dxa"/>
            </w:tcMar>
          </w:tcPr>
          <w:p>
            <w:pPr>
              <w:spacing w:after="0" w:before="0"/>
            </w:pPr>
            <w:r>
              <w:rPr>
                <w:sz w:val="16"/>
              </w:rPr>
              <w:t>AML Compliance</w:t>
            </w:r>
          </w:p>
        </w:tc>
        <w:tc>
          <w:tcPr>
            <w:tcW w:type="dxa" w:w="3456"/>
            <w:vAlign w:val="center"/>
            <w:tcMar>
              <w:top w:w="70" w:type="dxa"/>
              <w:start w:w="80" w:type="dxa"/>
              <w:bottom w:w="70" w:type="dxa"/>
              <w:end w:w="80" w:type="dxa"/>
            </w:tcMar>
          </w:tcPr>
          <w:p>
            <w:pPr>
              <w:spacing w:after="0" w:before="0"/>
            </w:pPr>
            <w:r>
              <w:rPr>
                <w:sz w:val="16"/>
              </w:rPr>
              <w:t>Senior approval under AML policy</w:t>
            </w:r>
          </w:p>
        </w:tc>
      </w:tr>
      <w:tr>
        <w:tc>
          <w:tcPr>
            <w:tcW w:type="dxa" w:w="3456"/>
            <w:vAlign w:val="center"/>
            <w:tcMar>
              <w:top w:w="70" w:type="dxa"/>
              <w:start w:w="80" w:type="dxa"/>
              <w:bottom w:w="70" w:type="dxa"/>
              <w:end w:w="80" w:type="dxa"/>
            </w:tcMar>
          </w:tcPr>
          <w:p>
            <w:pPr>
              <w:spacing w:after="0" w:before="0"/>
            </w:pPr>
            <w:r>
              <w:rPr>
                <w:sz w:val="16"/>
              </w:rPr>
              <w:t>Potential sanctions</w:t>
            </w:r>
          </w:p>
        </w:tc>
        <w:tc>
          <w:tcPr>
            <w:tcW w:type="dxa" w:w="3456"/>
            <w:vAlign w:val="center"/>
            <w:tcMar>
              <w:top w:w="70" w:type="dxa"/>
              <w:start w:w="80" w:type="dxa"/>
              <w:bottom w:w="70" w:type="dxa"/>
              <w:end w:w="80" w:type="dxa"/>
            </w:tcMar>
          </w:tcPr>
          <w:p>
            <w:pPr>
              <w:spacing w:after="0" w:before="0"/>
            </w:pPr>
            <w:r>
              <w:rPr>
                <w:sz w:val="16"/>
              </w:rPr>
              <w:t>AML specialist</w:t>
            </w:r>
          </w:p>
        </w:tc>
        <w:tc>
          <w:tcPr>
            <w:tcW w:type="dxa" w:w="3456"/>
            <w:vAlign w:val="center"/>
            <w:tcMar>
              <w:top w:w="70" w:type="dxa"/>
              <w:start w:w="80" w:type="dxa"/>
              <w:bottom w:w="70" w:type="dxa"/>
              <w:end w:w="80" w:type="dxa"/>
            </w:tcMar>
          </w:tcPr>
          <w:p>
            <w:pPr>
              <w:spacing w:after="0" w:before="0"/>
            </w:pPr>
            <w:r>
              <w:rPr>
                <w:sz w:val="16"/>
              </w:rPr>
              <w:t>Chief AML Officer for material cases</w:t>
            </w:r>
          </w:p>
        </w:tc>
      </w:tr>
      <w:tr>
        <w:tc>
          <w:tcPr>
            <w:tcW w:type="dxa" w:w="3456"/>
            <w:vAlign w:val="center"/>
            <w:tcMar>
              <w:top w:w="70" w:type="dxa"/>
              <w:start w:w="80" w:type="dxa"/>
              <w:bottom w:w="70" w:type="dxa"/>
              <w:end w:w="80" w:type="dxa"/>
            </w:tcMar>
          </w:tcPr>
          <w:p>
            <w:pPr>
              <w:spacing w:after="0" w:before="0"/>
            </w:pPr>
            <w:r>
              <w:rPr>
                <w:sz w:val="16"/>
              </w:rPr>
              <w:t>Systemic KYC control failure</w:t>
            </w:r>
          </w:p>
        </w:tc>
        <w:tc>
          <w:tcPr>
            <w:tcW w:type="dxa" w:w="3456"/>
            <w:vAlign w:val="center"/>
            <w:tcMar>
              <w:top w:w="70" w:type="dxa"/>
              <w:start w:w="80" w:type="dxa"/>
              <w:bottom w:w="70" w:type="dxa"/>
              <w:end w:w="80" w:type="dxa"/>
            </w:tcMar>
          </w:tcPr>
          <w:p>
            <w:pPr>
              <w:spacing w:after="0" w:before="0"/>
            </w:pPr>
            <w:r>
              <w:rPr>
                <w:sz w:val="16"/>
              </w:rPr>
              <w:t>Head of KYC</w:t>
            </w:r>
          </w:p>
        </w:tc>
        <w:tc>
          <w:tcPr>
            <w:tcW w:type="dxa" w:w="3456"/>
            <w:vAlign w:val="center"/>
            <w:tcMar>
              <w:top w:w="70" w:type="dxa"/>
              <w:start w:w="80" w:type="dxa"/>
              <w:bottom w:w="70" w:type="dxa"/>
              <w:end w:w="80" w:type="dxa"/>
            </w:tcMar>
          </w:tcPr>
          <w:p>
            <w:pPr>
              <w:spacing w:after="0" w:before="0"/>
            </w:pPr>
            <w:r>
              <w:rPr>
                <w:sz w:val="16"/>
              </w:rPr>
              <w:t>Compliance / Operational Risk</w:t>
            </w:r>
          </w:p>
        </w:tc>
      </w:tr>
    </w:tbl>
    <w:p>
      <w:pPr>
        <w:spacing w:after="20"/>
      </w:pPr>
    </w:p>
    <w:p>
      <w:r>
        <w:br w:type="page"/>
      </w:r>
    </w:p>
    <w:p>
      <w:pPr>
        <w:pStyle w:val="Heading1"/>
      </w:pPr>
      <w:r>
        <w:t>Appendix C. Required Evidence by Escalation Type</w:t>
      </w:r>
    </w:p>
    <w:p>
      <w:r>
        <w:t>Evidence requirements are proportionate.</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Mar>
              <w:top w:w="70" w:type="dxa"/>
              <w:start w:w="80" w:type="dxa"/>
              <w:bottom w:w="70" w:type="dxa"/>
              <w:end w:w="80" w:type="dxa"/>
            </w:tcMar>
            <w:shd w:fill="1F4E78"/>
          </w:tcPr>
          <w:p>
            <w:pPr>
              <w:spacing w:after="0" w:before="0"/>
            </w:pPr>
            <w:r>
              <w:rPr>
                <w:b/>
                <w:sz w:val="16"/>
                <w:color w:val="FFFFFF"/>
              </w:rPr>
              <w:t>Type</w:t>
            </w:r>
          </w:p>
        </w:tc>
        <w:tc>
          <w:tcPr>
            <w:tcW w:type="dxa" w:w="5184"/>
            <w:vAlign w:val="center"/>
            <w:tcMar>
              <w:top w:w="70" w:type="dxa"/>
              <w:start w:w="80" w:type="dxa"/>
              <w:bottom w:w="70" w:type="dxa"/>
              <w:end w:w="80" w:type="dxa"/>
            </w:tcMar>
            <w:shd w:fill="1F4E78"/>
          </w:tcPr>
          <w:p>
            <w:pPr>
              <w:spacing w:after="0" w:before="0"/>
            </w:pPr>
            <w:r>
              <w:rPr>
                <w:b/>
                <w:sz w:val="16"/>
                <w:color w:val="FFFFFF"/>
              </w:rPr>
              <w:t>Minimum evidence</w:t>
            </w:r>
          </w:p>
        </w:tc>
      </w:tr>
      <w:tr>
        <w:tc>
          <w:tcPr>
            <w:tcW w:type="dxa" w:w="5184"/>
            <w:vAlign w:val="center"/>
            <w:tcMar>
              <w:top w:w="70" w:type="dxa"/>
              <w:start w:w="80" w:type="dxa"/>
              <w:bottom w:w="70" w:type="dxa"/>
              <w:end w:w="80" w:type="dxa"/>
            </w:tcMar>
          </w:tcPr>
          <w:p>
            <w:pPr>
              <w:spacing w:after="0" w:before="0"/>
            </w:pPr>
            <w:r>
              <w:rPr>
                <w:sz w:val="16"/>
              </w:rPr>
              <w:t>Identity</w:t>
            </w:r>
          </w:p>
        </w:tc>
        <w:tc>
          <w:tcPr>
            <w:tcW w:type="dxa" w:w="5184"/>
            <w:vAlign w:val="center"/>
            <w:tcMar>
              <w:top w:w="70" w:type="dxa"/>
              <w:start w:w="80" w:type="dxa"/>
              <w:bottom w:w="70" w:type="dxa"/>
              <w:end w:w="80" w:type="dxa"/>
            </w:tcMar>
          </w:tcPr>
          <w:p>
            <w:pPr>
              <w:spacing w:after="0" w:before="0"/>
            </w:pPr>
            <w:r>
              <w:rPr>
                <w:sz w:val="16"/>
              </w:rPr>
              <w:t>Compared identifiers, original documents/results, customer explanation</w:t>
            </w:r>
          </w:p>
        </w:tc>
      </w:tr>
      <w:tr>
        <w:tc>
          <w:tcPr>
            <w:tcW w:type="dxa" w:w="5184"/>
            <w:vAlign w:val="center"/>
            <w:tcMar>
              <w:top w:w="70" w:type="dxa"/>
              <w:start w:w="80" w:type="dxa"/>
              <w:bottom w:w="70" w:type="dxa"/>
              <w:end w:w="80" w:type="dxa"/>
            </w:tcMar>
          </w:tcPr>
          <w:p>
            <w:pPr>
              <w:spacing w:after="0" w:before="0"/>
            </w:pPr>
            <w:r>
              <w:rPr>
                <w:sz w:val="16"/>
              </w:rPr>
              <w:t>Ownership</w:t>
            </w:r>
          </w:p>
        </w:tc>
        <w:tc>
          <w:tcPr>
            <w:tcW w:type="dxa" w:w="5184"/>
            <w:vAlign w:val="center"/>
            <w:tcMar>
              <w:top w:w="70" w:type="dxa"/>
              <w:start w:w="80" w:type="dxa"/>
              <w:bottom w:w="70" w:type="dxa"/>
              <w:end w:w="80" w:type="dxa"/>
            </w:tcMar>
          </w:tcPr>
          <w:p>
            <w:pPr>
              <w:spacing w:after="0" w:before="0"/>
            </w:pPr>
            <w:r>
              <w:rPr>
                <w:sz w:val="16"/>
              </w:rPr>
              <w:t>Ownership chart, entity evidence, source checks, unresolved gaps</w:t>
            </w:r>
          </w:p>
        </w:tc>
      </w:tr>
      <w:tr>
        <w:tc>
          <w:tcPr>
            <w:tcW w:type="dxa" w:w="5184"/>
            <w:vAlign w:val="center"/>
            <w:tcMar>
              <w:top w:w="70" w:type="dxa"/>
              <w:start w:w="80" w:type="dxa"/>
              <w:bottom w:w="70" w:type="dxa"/>
              <w:end w:w="80" w:type="dxa"/>
            </w:tcMar>
          </w:tcPr>
          <w:p>
            <w:pPr>
              <w:spacing w:after="0" w:before="0"/>
            </w:pPr>
            <w:r>
              <w:rPr>
                <w:sz w:val="16"/>
              </w:rPr>
              <w:t>PEP</w:t>
            </w:r>
          </w:p>
        </w:tc>
        <w:tc>
          <w:tcPr>
            <w:tcW w:type="dxa" w:w="5184"/>
            <w:vAlign w:val="center"/>
            <w:tcMar>
              <w:top w:w="70" w:type="dxa"/>
              <w:start w:w="80" w:type="dxa"/>
              <w:bottom w:w="70" w:type="dxa"/>
              <w:end w:w="80" w:type="dxa"/>
            </w:tcMar>
          </w:tcPr>
          <w:p>
            <w:pPr>
              <w:spacing w:after="0" w:before="0"/>
            </w:pPr>
            <w:r>
              <w:rPr>
                <w:sz w:val="16"/>
              </w:rPr>
              <w:t>Screening result, identifiers, public/source information used by AML</w:t>
            </w:r>
          </w:p>
        </w:tc>
      </w:tr>
      <w:tr>
        <w:tc>
          <w:tcPr>
            <w:tcW w:type="dxa" w:w="5184"/>
            <w:vAlign w:val="center"/>
            <w:tcMar>
              <w:top w:w="70" w:type="dxa"/>
              <w:start w:w="80" w:type="dxa"/>
              <w:bottom w:w="70" w:type="dxa"/>
              <w:end w:w="80" w:type="dxa"/>
            </w:tcMar>
          </w:tcPr>
          <w:p>
            <w:pPr>
              <w:spacing w:after="0" w:before="0"/>
            </w:pPr>
            <w:r>
              <w:rPr>
                <w:sz w:val="16"/>
              </w:rPr>
              <w:t>Digital</w:t>
            </w:r>
          </w:p>
        </w:tc>
        <w:tc>
          <w:tcPr>
            <w:tcW w:type="dxa" w:w="5184"/>
            <w:vAlign w:val="center"/>
            <w:tcMar>
              <w:top w:w="70" w:type="dxa"/>
              <w:start w:w="80" w:type="dxa"/>
              <w:bottom w:w="70" w:type="dxa"/>
              <w:end w:w="80" w:type="dxa"/>
            </w:tcMar>
          </w:tcPr>
          <w:p>
            <w:pPr>
              <w:spacing w:after="0" w:before="0"/>
            </w:pPr>
            <w:r>
              <w:rPr>
                <w:sz w:val="16"/>
              </w:rPr>
              <w:t>Liveness/verification logs, device events, retry history</w:t>
            </w:r>
          </w:p>
        </w:tc>
      </w:tr>
      <w:tr>
        <w:tc>
          <w:tcPr>
            <w:tcW w:type="dxa" w:w="5184"/>
            <w:vAlign w:val="center"/>
            <w:tcMar>
              <w:top w:w="70" w:type="dxa"/>
              <w:start w:w="80" w:type="dxa"/>
              <w:bottom w:w="70" w:type="dxa"/>
              <w:end w:w="80" w:type="dxa"/>
            </w:tcMar>
          </w:tcPr>
          <w:p>
            <w:pPr>
              <w:spacing w:after="0" w:before="0"/>
            </w:pPr>
            <w:r>
              <w:rPr>
                <w:sz w:val="16"/>
              </w:rPr>
              <w:t>Control failure</w:t>
            </w:r>
          </w:p>
        </w:tc>
        <w:tc>
          <w:tcPr>
            <w:tcW w:type="dxa" w:w="5184"/>
            <w:vAlign w:val="center"/>
            <w:tcMar>
              <w:top w:w="70" w:type="dxa"/>
              <w:start w:w="80" w:type="dxa"/>
              <w:bottom w:w="70" w:type="dxa"/>
              <w:end w:w="80" w:type="dxa"/>
            </w:tcMar>
          </w:tcPr>
          <w:p>
            <w:pPr>
              <w:spacing w:after="0" w:before="0"/>
            </w:pPr>
            <w:r>
              <w:rPr>
                <w:sz w:val="16"/>
              </w:rPr>
              <w:t>Affected population, control expectation, actual outcome, root-cause facts</w:t>
            </w:r>
          </w:p>
        </w:tc>
      </w:tr>
    </w:tbl>
    <w:p>
      <w:pPr>
        <w:spacing w:after="20"/>
      </w:pPr>
    </w:p>
    <w:p>
      <w:r>
        <w:br w:type="page"/>
      </w:r>
    </w:p>
    <w:p>
      <w:pPr>
        <w:pStyle w:val="Heading1"/>
      </w:pPr>
      <w:r>
        <w:t>Appendix D. Illustrative Scenarios</w:t>
      </w:r>
    </w:p>
    <w:p>
      <w:r>
        <w:t>Scenarios support consistent triage.</w:t>
      </w:r>
    </w:p>
    <w:p>
      <w:pPr>
        <w:ind w:left="259" w:hanging="202"/>
      </w:pPr>
      <w:r>
        <w:rPr>
          <w:b/>
        </w:rPr>
        <w:t xml:space="preserve">• </w:t>
      </w:r>
      <w:r>
        <w:t>Strong identity evidence but outdated address: Level 1 unless geography or fraud concern exists.</w:t>
      </w:r>
    </w:p>
    <w:p>
      <w:pPr>
        <w:ind w:left="259" w:hanging="202"/>
      </w:pPr>
      <w:r>
        <w:rPr>
          <w:b/>
        </w:rPr>
        <w:t xml:space="preserve">• </w:t>
      </w:r>
      <w:r>
        <w:t>Customer has a common name matching a PEP but different DOB and country: collect evidence and route under the PEP false-positive process.</w:t>
      </w:r>
    </w:p>
    <w:p>
      <w:pPr>
        <w:ind w:left="259" w:hanging="202"/>
      </w:pPr>
      <w:r>
        <w:rPr>
          <w:b/>
        </w:rPr>
        <w:t xml:space="preserve">• </w:t>
      </w:r>
      <w:r>
        <w:t>Company provides ownership to 25% but refuses enhanced 10% information after High-risk classification: Level 3 ownership escalation.</w:t>
      </w:r>
    </w:p>
    <w:p>
      <w:pPr>
        <w:ind w:left="259" w:hanging="202"/>
      </w:pPr>
      <w:r>
        <w:rPr>
          <w:b/>
        </w:rPr>
        <w:t xml:space="preserve">• </w:t>
      </w:r>
      <w:r>
        <w:t>Potential sanctions match: Level 4 regardless of business urgency.</w:t>
      </w:r>
    </w:p>
    <w:p>
      <w:pPr>
        <w:ind w:left="259" w:hanging="202"/>
      </w:pPr>
      <w:r>
        <w:rPr>
          <w:b/>
        </w:rPr>
        <w:t xml:space="preserve">• </w:t>
      </w:r>
      <w:r>
        <w:t>High-value borrower already credit-approved but KYC remains restricted: keep restriction; credit approval does not resolve KYC.</w:t>
      </w:r>
    </w:p>
    <w:sectPr w:rsidR="00FC693F" w:rsidRPr="0006063C" w:rsidSect="00034616">
      <w:headerReference w:type="default" r:id="rId9"/>
      <w:footerReference w:type="default" r:id="rId10"/>
      <w:pgSz w:w="12240" w:h="15840"/>
      <w:pgMar w:top="792" w:right="936" w:bottom="835" w:left="936" w:header="31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Northstar Financial — Synthetic Internal Document  |  INTERNAL — CONTROLLED  |  Page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sz w:val="15"/>
      </w:rPr>
      <w:t>NORTHSTAR FINANCIAL  |  KEP-022  |  KYC Escalation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