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b/>
          <w:sz w:val="40"/>
        </w:rPr>
        <w:t>NORTHSTAR FINANCIAL</w:t>
      </w:r>
    </w:p>
    <w:p>
      <w:pPr>
        <w:jc w:val="center"/>
      </w:pPr>
      <w:r>
        <w:rPr>
          <w:b/>
          <w:sz w:val="38"/>
        </w:rPr>
        <w:t>Know Your Customer (KYC) Policy</w:t>
      </w:r>
    </w:p>
    <w:p>
      <w:pPr>
        <w:jc w:val="center"/>
      </w:pPr>
      <w:r>
        <w:rPr>
          <w:b/>
          <w:sz w:val="24"/>
        </w:rPr>
        <w:t>KYC-004</w:t>
      </w:r>
    </w:p>
    <w:p>
      <w:pPr>
        <w:jc w:val="center"/>
      </w:pPr>
      <w:r>
        <w:rPr>
          <w:b/>
        </w:rPr>
        <w:t>Version 2.1  |  Effective 1 July 2025</w:t>
      </w:r>
    </w:p>
    <w:p>
      <w:pPr>
        <w:jc w:val="center"/>
      </w:pPr>
      <w:r>
        <w:rPr>
          <w:b/>
        </w:rPr>
        <w:t>Classification: INTERNAL — CONTROLLED</w:t>
      </w:r>
    </w:p>
    <w:p>
      <w:pPr>
        <w:spacing w:before="280"/>
        <w:jc w:val="center"/>
      </w:pPr>
      <w:r>
        <w:rPr>
          <w:i/>
          <w:sz w:val="17"/>
        </w:rPr>
        <w:t>Northstar Financial — Synthetic Internal Document. This document is fictional and created solely for educational and software-development purposes. It does not represent an actual financial institution, regulatory requirement, legal obligation, or financial advice.</w:t>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3024"/>
            <w:vAlign w:val="center"/>
            <w:tcMar>
              <w:top w:w="70" w:type="dxa"/>
              <w:start w:w="80" w:type="dxa"/>
              <w:bottom w:w="70" w:type="dxa"/>
              <w:end w:w="80" w:type="dxa"/>
            </w:tcMar>
          </w:tcPr>
          <w:p>
            <w:pPr>
              <w:spacing w:after="0" w:before="0"/>
            </w:pPr>
            <w:r>
              <w:rPr>
                <w:sz w:val="16"/>
              </w:rPr>
              <w:t>Document ID</w:t>
            </w:r>
          </w:p>
        </w:tc>
        <w:tc>
          <w:tcPr>
            <w:tcW w:type="dxa" w:w="6912"/>
            <w:vAlign w:val="center"/>
            <w:tcMar>
              <w:top w:w="70" w:type="dxa"/>
              <w:start w:w="80" w:type="dxa"/>
              <w:bottom w:w="70" w:type="dxa"/>
              <w:end w:w="80" w:type="dxa"/>
            </w:tcMar>
          </w:tcPr>
          <w:p>
            <w:pPr>
              <w:spacing w:after="0" w:before="0"/>
            </w:pPr>
            <w:r>
              <w:rPr>
                <w:sz w:val="16"/>
              </w:rPr>
              <w:t>KYC-004</w:t>
            </w:r>
          </w:p>
        </w:tc>
      </w:tr>
      <w:tr>
        <w:tc>
          <w:tcPr>
            <w:tcW w:type="dxa" w:w="3024"/>
            <w:vAlign w:val="center"/>
            <w:tcMar>
              <w:top w:w="70" w:type="dxa"/>
              <w:start w:w="80" w:type="dxa"/>
              <w:bottom w:w="70" w:type="dxa"/>
              <w:end w:w="80" w:type="dxa"/>
            </w:tcMar>
          </w:tcPr>
          <w:p>
            <w:pPr>
              <w:spacing w:after="0" w:before="0"/>
            </w:pPr>
            <w:r>
              <w:rPr>
                <w:sz w:val="16"/>
              </w:rPr>
              <w:t>Document Title</w:t>
            </w:r>
          </w:p>
        </w:tc>
        <w:tc>
          <w:tcPr>
            <w:tcW w:type="dxa" w:w="6912"/>
            <w:vAlign w:val="center"/>
            <w:tcMar>
              <w:top w:w="70" w:type="dxa"/>
              <w:start w:w="80" w:type="dxa"/>
              <w:bottom w:w="70" w:type="dxa"/>
              <w:end w:w="80" w:type="dxa"/>
            </w:tcMar>
          </w:tcPr>
          <w:p>
            <w:pPr>
              <w:spacing w:after="0" w:before="0"/>
            </w:pPr>
            <w:r>
              <w:rPr>
                <w:sz w:val="16"/>
              </w:rPr>
              <w:t>Know Your Customer (KYC) Policy</w:t>
            </w:r>
          </w:p>
        </w:tc>
      </w:tr>
      <w:tr>
        <w:tc>
          <w:tcPr>
            <w:tcW w:type="dxa" w:w="3024"/>
            <w:vAlign w:val="center"/>
            <w:tcMar>
              <w:top w:w="70" w:type="dxa"/>
              <w:start w:w="80" w:type="dxa"/>
              <w:bottom w:w="70" w:type="dxa"/>
              <w:end w:w="80" w:type="dxa"/>
            </w:tcMar>
          </w:tcPr>
          <w:p>
            <w:pPr>
              <w:spacing w:after="0" w:before="0"/>
            </w:pPr>
            <w:r>
              <w:rPr>
                <w:sz w:val="16"/>
              </w:rPr>
              <w:t>Version</w:t>
            </w:r>
          </w:p>
        </w:tc>
        <w:tc>
          <w:tcPr>
            <w:tcW w:type="dxa" w:w="6912"/>
            <w:vAlign w:val="center"/>
            <w:tcMar>
              <w:top w:w="70" w:type="dxa"/>
              <w:start w:w="80" w:type="dxa"/>
              <w:bottom w:w="70" w:type="dxa"/>
              <w:end w:w="80" w:type="dxa"/>
            </w:tcMar>
          </w:tcPr>
          <w:p>
            <w:pPr>
              <w:spacing w:after="0" w:before="0"/>
            </w:pPr>
            <w:r>
              <w:rPr>
                <w:sz w:val="16"/>
              </w:rPr>
              <w:t>2.1</w:t>
            </w:r>
          </w:p>
        </w:tc>
      </w:tr>
      <w:tr>
        <w:tc>
          <w:tcPr>
            <w:tcW w:type="dxa" w:w="3024"/>
            <w:vAlign w:val="center"/>
            <w:tcMar>
              <w:top w:w="70" w:type="dxa"/>
              <w:start w:w="80" w:type="dxa"/>
              <w:bottom w:w="70" w:type="dxa"/>
              <w:end w:w="80" w:type="dxa"/>
            </w:tcMar>
          </w:tcPr>
          <w:p>
            <w:pPr>
              <w:spacing w:after="0" w:before="0"/>
            </w:pPr>
            <w:r>
              <w:rPr>
                <w:sz w:val="16"/>
              </w:rPr>
              <w:t>Policy / Procedure Owner</w:t>
            </w:r>
          </w:p>
        </w:tc>
        <w:tc>
          <w:tcPr>
            <w:tcW w:type="dxa" w:w="6912"/>
            <w:vAlign w:val="center"/>
            <w:tcMar>
              <w:top w:w="70" w:type="dxa"/>
              <w:start w:w="80" w:type="dxa"/>
              <w:bottom w:w="70" w:type="dxa"/>
              <w:end w:w="80" w:type="dxa"/>
            </w:tcMar>
          </w:tcPr>
          <w:p>
            <w:pPr>
              <w:spacing w:after="0" w:before="0"/>
            </w:pPr>
            <w:r>
              <w:rPr>
                <w:sz w:val="16"/>
              </w:rPr>
              <w:t>Meera Kulkarni — Head of KYC Operations</w:t>
            </w:r>
          </w:p>
        </w:tc>
      </w:tr>
      <w:tr>
        <w:tc>
          <w:tcPr>
            <w:tcW w:type="dxa" w:w="3024"/>
            <w:vAlign w:val="center"/>
            <w:tcMar>
              <w:top w:w="70" w:type="dxa"/>
              <w:start w:w="80" w:type="dxa"/>
              <w:bottom w:w="70" w:type="dxa"/>
              <w:end w:w="80" w:type="dxa"/>
            </w:tcMar>
          </w:tcPr>
          <w:p>
            <w:pPr>
              <w:spacing w:after="0" w:before="0"/>
            </w:pPr>
            <w:r>
              <w:rPr>
                <w:sz w:val="16"/>
              </w:rPr>
              <w:t>Business Unit</w:t>
            </w:r>
          </w:p>
        </w:tc>
        <w:tc>
          <w:tcPr>
            <w:tcW w:type="dxa" w:w="6912"/>
            <w:vAlign w:val="center"/>
            <w:tcMar>
              <w:top w:w="70" w:type="dxa"/>
              <w:start w:w="80" w:type="dxa"/>
              <w:bottom w:w="70" w:type="dxa"/>
              <w:end w:w="80" w:type="dxa"/>
            </w:tcMar>
          </w:tcPr>
          <w:p>
            <w:pPr>
              <w:spacing w:after="0" w:before="0"/>
            </w:pPr>
            <w:r>
              <w:rPr>
                <w:sz w:val="16"/>
              </w:rPr>
              <w:t>KYC Operations / Compliance</w:t>
            </w:r>
          </w:p>
        </w:tc>
      </w:tr>
      <w:tr>
        <w:tc>
          <w:tcPr>
            <w:tcW w:type="dxa" w:w="3024"/>
            <w:vAlign w:val="center"/>
            <w:tcMar>
              <w:top w:w="70" w:type="dxa"/>
              <w:start w:w="80" w:type="dxa"/>
              <w:bottom w:w="70" w:type="dxa"/>
              <w:end w:w="80" w:type="dxa"/>
            </w:tcMar>
          </w:tcPr>
          <w:p>
            <w:pPr>
              <w:spacing w:after="0" w:before="0"/>
            </w:pPr>
            <w:r>
              <w:rPr>
                <w:sz w:val="16"/>
              </w:rPr>
              <w:t>Approving Authority</w:t>
            </w:r>
          </w:p>
        </w:tc>
        <w:tc>
          <w:tcPr>
            <w:tcW w:type="dxa" w:w="6912"/>
            <w:vAlign w:val="center"/>
            <w:tcMar>
              <w:top w:w="70" w:type="dxa"/>
              <w:start w:w="80" w:type="dxa"/>
              <w:bottom w:w="70" w:type="dxa"/>
              <w:end w:w="80" w:type="dxa"/>
            </w:tcMar>
          </w:tcPr>
          <w:p>
            <w:pPr>
              <w:spacing w:after="0" w:before="0"/>
            </w:pPr>
            <w:r>
              <w:rPr>
                <w:sz w:val="16"/>
              </w:rPr>
              <w:t>Compliance &amp; Conduct Committee</w:t>
            </w:r>
          </w:p>
        </w:tc>
      </w:tr>
      <w:tr>
        <w:tc>
          <w:tcPr>
            <w:tcW w:type="dxa" w:w="3024"/>
            <w:vAlign w:val="center"/>
            <w:tcMar>
              <w:top w:w="70" w:type="dxa"/>
              <w:start w:w="80" w:type="dxa"/>
              <w:bottom w:w="70" w:type="dxa"/>
              <w:end w:w="80" w:type="dxa"/>
            </w:tcMar>
          </w:tcPr>
          <w:p>
            <w:pPr>
              <w:spacing w:after="0" w:before="0"/>
            </w:pPr>
            <w:r>
              <w:rPr>
                <w:sz w:val="16"/>
              </w:rPr>
              <w:t>Effective Date</w:t>
            </w:r>
          </w:p>
        </w:tc>
        <w:tc>
          <w:tcPr>
            <w:tcW w:type="dxa" w:w="6912"/>
            <w:vAlign w:val="center"/>
            <w:tcMar>
              <w:top w:w="70" w:type="dxa"/>
              <w:start w:w="80" w:type="dxa"/>
              <w:bottom w:w="70" w:type="dxa"/>
              <w:end w:w="80" w:type="dxa"/>
            </w:tcMar>
          </w:tcPr>
          <w:p>
            <w:pPr>
              <w:spacing w:after="0" w:before="0"/>
            </w:pPr>
            <w:r>
              <w:rPr>
                <w:sz w:val="16"/>
              </w:rPr>
              <w:t>1 July 2025</w:t>
            </w:r>
          </w:p>
        </w:tc>
      </w:tr>
      <w:tr>
        <w:tc>
          <w:tcPr>
            <w:tcW w:type="dxa" w:w="3024"/>
            <w:vAlign w:val="center"/>
            <w:tcMar>
              <w:top w:w="70" w:type="dxa"/>
              <w:start w:w="80" w:type="dxa"/>
              <w:bottom w:w="70" w:type="dxa"/>
              <w:end w:w="80" w:type="dxa"/>
            </w:tcMar>
          </w:tcPr>
          <w:p>
            <w:pPr>
              <w:spacing w:after="0" w:before="0"/>
            </w:pPr>
            <w:r>
              <w:rPr>
                <w:sz w:val="16"/>
              </w:rPr>
              <w:t>Previous Version</w:t>
            </w:r>
          </w:p>
        </w:tc>
        <w:tc>
          <w:tcPr>
            <w:tcW w:type="dxa" w:w="6912"/>
            <w:vAlign w:val="center"/>
            <w:tcMar>
              <w:top w:w="70" w:type="dxa"/>
              <w:start w:w="80" w:type="dxa"/>
              <w:bottom w:w="70" w:type="dxa"/>
              <w:end w:w="80" w:type="dxa"/>
            </w:tcMar>
          </w:tcPr>
          <w:p>
            <w:pPr>
              <w:spacing w:after="0" w:before="0"/>
            </w:pPr>
            <w:r>
              <w:rPr>
                <w:sz w:val="16"/>
              </w:rPr>
              <w:t>2.0 — 1 January 2024</w:t>
            </w:r>
          </w:p>
        </w:tc>
      </w:tr>
      <w:tr>
        <w:tc>
          <w:tcPr>
            <w:tcW w:type="dxa" w:w="3024"/>
            <w:vAlign w:val="center"/>
            <w:tcMar>
              <w:top w:w="70" w:type="dxa"/>
              <w:start w:w="80" w:type="dxa"/>
              <w:bottom w:w="70" w:type="dxa"/>
              <w:end w:w="80" w:type="dxa"/>
            </w:tcMar>
          </w:tcPr>
          <w:p>
            <w:pPr>
              <w:spacing w:after="0" w:before="0"/>
            </w:pPr>
            <w:r>
              <w:rPr>
                <w:sz w:val="16"/>
              </w:rPr>
              <w:t>Review Frequency</w:t>
            </w:r>
          </w:p>
        </w:tc>
        <w:tc>
          <w:tcPr>
            <w:tcW w:type="dxa" w:w="6912"/>
            <w:vAlign w:val="center"/>
            <w:tcMar>
              <w:top w:w="70" w:type="dxa"/>
              <w:start w:w="80" w:type="dxa"/>
              <w:bottom w:w="70" w:type="dxa"/>
              <w:end w:w="80" w:type="dxa"/>
            </w:tcMar>
          </w:tcPr>
          <w:p>
            <w:pPr>
              <w:spacing w:after="0" w:before="0"/>
            </w:pPr>
            <w:r>
              <w:rPr>
                <w:sz w:val="16"/>
              </w:rPr>
              <w:t>Annual</w:t>
            </w:r>
          </w:p>
        </w:tc>
      </w:tr>
      <w:tr>
        <w:tc>
          <w:tcPr>
            <w:tcW w:type="dxa" w:w="3024"/>
            <w:vAlign w:val="center"/>
            <w:tcMar>
              <w:top w:w="70" w:type="dxa"/>
              <w:start w:w="80" w:type="dxa"/>
              <w:bottom w:w="70" w:type="dxa"/>
              <w:end w:w="80" w:type="dxa"/>
            </w:tcMar>
          </w:tcPr>
          <w:p>
            <w:pPr>
              <w:spacing w:after="0" w:before="0"/>
            </w:pPr>
            <w:r>
              <w:rPr>
                <w:sz w:val="16"/>
              </w:rPr>
              <w:t>Classification</w:t>
            </w:r>
          </w:p>
        </w:tc>
        <w:tc>
          <w:tcPr>
            <w:tcW w:type="dxa" w:w="6912"/>
            <w:vAlign w:val="center"/>
            <w:tcMar>
              <w:top w:w="70" w:type="dxa"/>
              <w:start w:w="80" w:type="dxa"/>
              <w:bottom w:w="70" w:type="dxa"/>
              <w:end w:w="80" w:type="dxa"/>
            </w:tcMar>
          </w:tcPr>
          <w:p>
            <w:pPr>
              <w:spacing w:after="0" w:before="0"/>
            </w:pPr>
            <w:r>
              <w:rPr>
                <w:sz w:val="16"/>
              </w:rPr>
              <w:t>INTERNAL — CONTROLLED</w:t>
            </w:r>
          </w:p>
        </w:tc>
      </w:tr>
      <w:tr>
        <w:tc>
          <w:tcPr>
            <w:tcW w:type="dxa" w:w="3024"/>
            <w:vAlign w:val="center"/>
            <w:tcMar>
              <w:top w:w="70" w:type="dxa"/>
              <w:start w:w="80" w:type="dxa"/>
              <w:bottom w:w="70" w:type="dxa"/>
              <w:end w:w="80" w:type="dxa"/>
            </w:tcMar>
          </w:tcPr>
          <w:p>
            <w:pPr>
              <w:spacing w:after="0" w:before="0"/>
            </w:pPr>
            <w:r>
              <w:rPr>
                <w:sz w:val="16"/>
              </w:rPr>
              <w:t>Status</w:t>
            </w:r>
          </w:p>
        </w:tc>
        <w:tc>
          <w:tcPr>
            <w:tcW w:type="dxa" w:w="6912"/>
            <w:vAlign w:val="center"/>
            <w:tcMar>
              <w:top w:w="70" w:type="dxa"/>
              <w:start w:w="80" w:type="dxa"/>
              <w:bottom w:w="70" w:type="dxa"/>
              <w:end w:w="80" w:type="dxa"/>
            </w:tcMar>
          </w:tcPr>
          <w:p>
            <w:pPr>
              <w:spacing w:after="0" w:before="0"/>
            </w:pPr>
            <w:r>
              <w:rPr>
                <w:sz w:val="16"/>
              </w:rPr>
              <w:t>Approved</w:t>
            </w:r>
          </w:p>
        </w:tc>
      </w:tr>
      <w:tr>
        <w:tc>
          <w:tcPr>
            <w:tcW w:type="dxa" w:w="3024"/>
            <w:vAlign w:val="center"/>
            <w:tcMar>
              <w:top w:w="70" w:type="dxa"/>
              <w:start w:w="80" w:type="dxa"/>
              <w:bottom w:w="70" w:type="dxa"/>
              <w:end w:w="80" w:type="dxa"/>
            </w:tcMar>
          </w:tcPr>
          <w:p>
            <w:pPr>
              <w:spacing w:after="0" w:before="0"/>
            </w:pPr>
            <w:r>
              <w:rPr>
                <w:sz w:val="16"/>
              </w:rPr>
              <w:t>Supersedes</w:t>
            </w:r>
          </w:p>
        </w:tc>
        <w:tc>
          <w:tcPr>
            <w:tcW w:type="dxa" w:w="6912"/>
            <w:vAlign w:val="center"/>
            <w:tcMar>
              <w:top w:w="70" w:type="dxa"/>
              <w:start w:w="80" w:type="dxa"/>
              <w:bottom w:w="70" w:type="dxa"/>
              <w:end w:w="80" w:type="dxa"/>
            </w:tcMar>
          </w:tcPr>
          <w:p>
            <w:pPr>
              <w:spacing w:after="0" w:before="0"/>
            </w:pPr>
            <w:r>
              <w:rPr>
                <w:sz w:val="16"/>
              </w:rPr>
              <w:t>KYC-004 v2.0</w:t>
            </w:r>
          </w:p>
        </w:tc>
      </w:tr>
      <w:tr>
        <w:tc>
          <w:tcPr>
            <w:tcW w:type="dxa" w:w="3024"/>
            <w:vAlign w:val="center"/>
            <w:tcMar>
              <w:top w:w="70" w:type="dxa"/>
              <w:start w:w="80" w:type="dxa"/>
              <w:bottom w:w="70" w:type="dxa"/>
              <w:end w:w="80" w:type="dxa"/>
            </w:tcMar>
          </w:tcPr>
          <w:p>
            <w:pPr>
              <w:spacing w:after="0" w:before="0"/>
            </w:pPr>
            <w:r>
              <w:rPr>
                <w:sz w:val="16"/>
              </w:rPr>
              <w:t>Related Documents</w:t>
            </w:r>
          </w:p>
        </w:tc>
        <w:tc>
          <w:tcPr>
            <w:tcW w:type="dxa" w:w="6912"/>
            <w:vAlign w:val="center"/>
            <w:tcMar>
              <w:top w:w="70" w:type="dxa"/>
              <w:start w:w="80" w:type="dxa"/>
              <w:bottom w:w="70" w:type="dxa"/>
              <w:end w:w="80" w:type="dxa"/>
            </w:tcMar>
          </w:tcPr>
          <w:p>
            <w:pPr>
              <w:spacing w:after="0" w:before="0"/>
            </w:pPr>
            <w:r>
              <w:rPr>
                <w:sz w:val="16"/>
              </w:rPr>
              <w:t>COP-021; KEP-022; AML-003; CDD-005 (future); LOP-002 v2.3; ISP-009 (future)</w:t>
            </w:r>
          </w:p>
        </w:tc>
      </w:tr>
    </w:tbl>
    <w:p>
      <w:pPr>
        <w:spacing w:after="20"/>
      </w:pPr>
    </w:p>
    <w:p>
      <w:pPr>
        <w:pStyle w:val="Heading2"/>
      </w:pPr>
      <w:r>
        <w:t>Approval Record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70" w:type="dxa"/>
              <w:start w:w="80" w:type="dxa"/>
              <w:bottom w:w="70" w:type="dxa"/>
              <w:end w:w="80" w:type="dxa"/>
            </w:tcMar>
            <w:shd w:fill="1F4E78"/>
          </w:tcPr>
          <w:p>
            <w:pPr>
              <w:spacing w:after="0" w:before="0"/>
            </w:pPr>
            <w:r>
              <w:rPr>
                <w:b/>
                <w:sz w:val="16"/>
                <w:color w:val="FFFFFF"/>
              </w:rPr>
              <w:t>Role</w:t>
            </w:r>
          </w:p>
        </w:tc>
        <w:tc>
          <w:tcPr>
            <w:tcW w:type="dxa" w:w="2592"/>
            <w:vAlign w:val="center"/>
            <w:tcMar>
              <w:top w:w="70" w:type="dxa"/>
              <w:start w:w="80" w:type="dxa"/>
              <w:bottom w:w="70" w:type="dxa"/>
              <w:end w:w="80" w:type="dxa"/>
            </w:tcMar>
            <w:shd w:fill="1F4E78"/>
          </w:tcPr>
          <w:p>
            <w:pPr>
              <w:spacing w:after="0" w:before="0"/>
            </w:pPr>
            <w:r>
              <w:rPr>
                <w:b/>
                <w:sz w:val="16"/>
                <w:color w:val="FFFFFF"/>
              </w:rPr>
              <w:t>Name / Committee</w:t>
            </w:r>
          </w:p>
        </w:tc>
        <w:tc>
          <w:tcPr>
            <w:tcW w:type="dxa" w:w="2592"/>
            <w:vAlign w:val="center"/>
            <w:tcMar>
              <w:top w:w="70" w:type="dxa"/>
              <w:start w:w="80" w:type="dxa"/>
              <w:bottom w:w="70" w:type="dxa"/>
              <w:end w:w="80" w:type="dxa"/>
            </w:tcMar>
            <w:shd w:fill="1F4E78"/>
          </w:tcPr>
          <w:p>
            <w:pPr>
              <w:spacing w:after="0" w:before="0"/>
            </w:pPr>
            <w:r>
              <w:rPr>
                <w:b/>
                <w:sz w:val="16"/>
                <w:color w:val="FFFFFF"/>
              </w:rPr>
              <w:t>Decision</w:t>
            </w:r>
          </w:p>
        </w:tc>
        <w:tc>
          <w:tcPr>
            <w:tcW w:type="dxa" w:w="2592"/>
            <w:vAlign w:val="center"/>
            <w:tcMar>
              <w:top w:w="70" w:type="dxa"/>
              <w:start w:w="80" w:type="dxa"/>
              <w:bottom w:w="70" w:type="dxa"/>
              <w:end w:w="80" w:type="dxa"/>
            </w:tcMar>
            <w:shd w:fill="1F4E78"/>
          </w:tcPr>
          <w:p>
            <w:pPr>
              <w:spacing w:after="0" w:before="0"/>
            </w:pPr>
            <w:r>
              <w:rPr>
                <w:b/>
                <w:sz w:val="16"/>
                <w:color w:val="FFFFFF"/>
              </w:rPr>
              <w:t>Date</w:t>
            </w:r>
          </w:p>
        </w:tc>
      </w:tr>
      <w:tr>
        <w:tc>
          <w:tcPr>
            <w:tcW w:type="dxa" w:w="2592"/>
            <w:vAlign w:val="center"/>
            <w:tcMar>
              <w:top w:w="70" w:type="dxa"/>
              <w:start w:w="80" w:type="dxa"/>
              <w:bottom w:w="70" w:type="dxa"/>
              <w:end w:w="80" w:type="dxa"/>
            </w:tcMar>
          </w:tcPr>
          <w:p>
            <w:pPr>
              <w:spacing w:after="0" w:before="0"/>
            </w:pPr>
            <w:r>
              <w:rPr>
                <w:sz w:val="16"/>
              </w:rPr>
              <w:t>Approving Authority</w:t>
            </w:r>
          </w:p>
        </w:tc>
        <w:tc>
          <w:tcPr>
            <w:tcW w:type="dxa" w:w="2592"/>
            <w:vAlign w:val="center"/>
            <w:tcMar>
              <w:top w:w="70" w:type="dxa"/>
              <w:start w:w="80" w:type="dxa"/>
              <w:bottom w:w="70" w:type="dxa"/>
              <w:end w:w="80" w:type="dxa"/>
            </w:tcMar>
          </w:tcPr>
          <w:p>
            <w:pPr>
              <w:spacing w:after="0" w:before="0"/>
            </w:pPr>
            <w:r>
              <w:rPr>
                <w:sz w:val="16"/>
              </w:rPr>
              <w:t>Compliance &amp; Conduct Committee</w:t>
            </w:r>
          </w:p>
        </w:tc>
        <w:tc>
          <w:tcPr>
            <w:tcW w:type="dxa" w:w="2592"/>
            <w:vAlign w:val="center"/>
            <w:tcMar>
              <w:top w:w="70" w:type="dxa"/>
              <w:start w:w="80" w:type="dxa"/>
              <w:bottom w:w="70" w:type="dxa"/>
              <w:end w:w="80" w:type="dxa"/>
            </w:tcMar>
          </w:tcPr>
          <w:p>
            <w:pPr>
              <w:spacing w:after="0" w:before="0"/>
            </w:pPr>
            <w:r>
              <w:rPr>
                <w:sz w:val="16"/>
              </w:rPr>
              <w:t>Approved</w:t>
            </w:r>
          </w:p>
        </w:tc>
        <w:tc>
          <w:tcPr>
            <w:tcW w:type="dxa" w:w="2592"/>
            <w:vAlign w:val="center"/>
            <w:tcMar>
              <w:top w:w="70" w:type="dxa"/>
              <w:start w:w="80" w:type="dxa"/>
              <w:bottom w:w="70" w:type="dxa"/>
              <w:end w:w="80" w:type="dxa"/>
            </w:tcMar>
          </w:tcPr>
          <w:p>
            <w:pPr>
              <w:spacing w:after="0" w:before="0"/>
            </w:pPr>
            <w:r>
              <w:rPr>
                <w:sz w:val="16"/>
              </w:rPr>
              <w:t>12 June 2025</w:t>
            </w:r>
          </w:p>
        </w:tc>
      </w:tr>
      <w:tr>
        <w:tc>
          <w:tcPr>
            <w:tcW w:type="dxa" w:w="2592"/>
            <w:vAlign w:val="center"/>
            <w:tcMar>
              <w:top w:w="70" w:type="dxa"/>
              <w:start w:w="80" w:type="dxa"/>
              <w:bottom w:w="70" w:type="dxa"/>
              <w:end w:w="80" w:type="dxa"/>
            </w:tcMar>
          </w:tcPr>
          <w:p>
            <w:pPr>
              <w:spacing w:after="0" w:before="0"/>
            </w:pPr>
            <w:r>
              <w:rPr>
                <w:sz w:val="16"/>
              </w:rPr>
              <w:t>Document Owner</w:t>
            </w:r>
          </w:p>
        </w:tc>
        <w:tc>
          <w:tcPr>
            <w:tcW w:type="dxa" w:w="2592"/>
            <w:vAlign w:val="center"/>
            <w:tcMar>
              <w:top w:w="70" w:type="dxa"/>
              <w:start w:w="80" w:type="dxa"/>
              <w:bottom w:w="70" w:type="dxa"/>
              <w:end w:w="80" w:type="dxa"/>
            </w:tcMar>
          </w:tcPr>
          <w:p>
            <w:pPr>
              <w:spacing w:after="0" w:before="0"/>
            </w:pPr>
            <w:r>
              <w:rPr>
                <w:sz w:val="16"/>
              </w:rPr>
              <w:t>Meera Kulkarni — Head of KYC Operations</w:t>
            </w:r>
          </w:p>
        </w:tc>
        <w:tc>
          <w:tcPr>
            <w:tcW w:type="dxa" w:w="2592"/>
            <w:vAlign w:val="center"/>
            <w:tcMar>
              <w:top w:w="70" w:type="dxa"/>
              <w:start w:w="80" w:type="dxa"/>
              <w:bottom w:w="70" w:type="dxa"/>
              <w:end w:w="80" w:type="dxa"/>
            </w:tcMar>
          </w:tcPr>
          <w:p>
            <w:pPr>
              <w:spacing w:after="0" w:before="0"/>
            </w:pPr>
            <w:r>
              <w:rPr>
                <w:sz w:val="16"/>
              </w:rPr>
              <w:t>Certified for issue</w:t>
            </w:r>
          </w:p>
        </w:tc>
        <w:tc>
          <w:tcPr>
            <w:tcW w:type="dxa" w:w="2592"/>
            <w:vAlign w:val="center"/>
            <w:tcMar>
              <w:top w:w="70" w:type="dxa"/>
              <w:start w:w="80" w:type="dxa"/>
              <w:bottom w:w="70" w:type="dxa"/>
              <w:end w:w="80" w:type="dxa"/>
            </w:tcMar>
          </w:tcPr>
          <w:p>
            <w:pPr>
              <w:spacing w:after="0" w:before="0"/>
            </w:pPr>
            <w:r>
              <w:rPr>
                <w:sz w:val="16"/>
              </w:rPr>
              <w:t>20 June 2025</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Version</w:t>
            </w:r>
          </w:p>
        </w:tc>
        <w:tc>
          <w:tcPr>
            <w:tcW w:type="dxa" w:w="3456"/>
            <w:vAlign w:val="center"/>
            <w:tcMar>
              <w:top w:w="70" w:type="dxa"/>
              <w:start w:w="80" w:type="dxa"/>
              <w:bottom w:w="70" w:type="dxa"/>
              <w:end w:w="80" w:type="dxa"/>
            </w:tcMar>
            <w:shd w:fill="1F4E78"/>
          </w:tcPr>
          <w:p>
            <w:pPr>
              <w:spacing w:after="0" w:before="0"/>
            </w:pPr>
            <w:r>
              <w:rPr>
                <w:b/>
                <w:sz w:val="16"/>
                <w:color w:val="FFFFFF"/>
              </w:rPr>
              <w:t>Effective date</w:t>
            </w:r>
          </w:p>
        </w:tc>
        <w:tc>
          <w:tcPr>
            <w:tcW w:type="dxa" w:w="3456"/>
            <w:vAlign w:val="center"/>
            <w:tcMar>
              <w:top w:w="70" w:type="dxa"/>
              <w:start w:w="80" w:type="dxa"/>
              <w:bottom w:w="70" w:type="dxa"/>
              <w:end w:w="80" w:type="dxa"/>
            </w:tcMar>
            <w:shd w:fill="1F4E78"/>
          </w:tcPr>
          <w:p>
            <w:pPr>
              <w:spacing w:after="0" w:before="0"/>
            </w:pPr>
            <w:r>
              <w:rPr>
                <w:b/>
                <w:sz w:val="16"/>
                <w:color w:val="FFFFFF"/>
              </w:rPr>
              <w:t>Change summary</w:t>
            </w:r>
          </w:p>
        </w:tc>
      </w:tr>
      <w:tr>
        <w:tc>
          <w:tcPr>
            <w:tcW w:type="dxa" w:w="3456"/>
            <w:vAlign w:val="center"/>
            <w:tcMar>
              <w:top w:w="70" w:type="dxa"/>
              <w:start w:w="80" w:type="dxa"/>
              <w:bottom w:w="70" w:type="dxa"/>
              <w:end w:w="80" w:type="dxa"/>
            </w:tcMar>
          </w:tcPr>
          <w:p>
            <w:pPr>
              <w:spacing w:after="0" w:before="0"/>
            </w:pPr>
            <w:r>
              <w:rPr>
                <w:sz w:val="16"/>
              </w:rPr>
              <w:t>1.0</w:t>
            </w:r>
          </w:p>
        </w:tc>
        <w:tc>
          <w:tcPr>
            <w:tcW w:type="dxa" w:w="3456"/>
            <w:vAlign w:val="center"/>
            <w:tcMar>
              <w:top w:w="70" w:type="dxa"/>
              <w:start w:w="80" w:type="dxa"/>
              <w:bottom w:w="70" w:type="dxa"/>
              <w:end w:w="80" w:type="dxa"/>
            </w:tcMar>
          </w:tcPr>
          <w:p>
            <w:pPr>
              <w:spacing w:after="0" w:before="0"/>
            </w:pPr>
            <w:r>
              <w:rPr>
                <w:sz w:val="16"/>
              </w:rPr>
              <w:t>1 June 2021</w:t>
            </w:r>
          </w:p>
        </w:tc>
        <w:tc>
          <w:tcPr>
            <w:tcW w:type="dxa" w:w="3456"/>
            <w:vAlign w:val="center"/>
            <w:tcMar>
              <w:top w:w="70" w:type="dxa"/>
              <w:start w:w="80" w:type="dxa"/>
              <w:bottom w:w="70" w:type="dxa"/>
              <w:end w:w="80" w:type="dxa"/>
            </w:tcMar>
          </w:tcPr>
          <w:p>
            <w:pPr>
              <w:spacing w:after="0" w:before="0"/>
            </w:pPr>
            <w:r>
              <w:rPr>
                <w:sz w:val="16"/>
              </w:rPr>
              <w:t>Initial customer identification and verification policy.</w:t>
            </w:r>
          </w:p>
        </w:tc>
      </w:tr>
      <w:tr>
        <w:tc>
          <w:tcPr>
            <w:tcW w:type="dxa" w:w="3456"/>
            <w:vAlign w:val="center"/>
            <w:tcMar>
              <w:top w:w="70" w:type="dxa"/>
              <w:start w:w="80" w:type="dxa"/>
              <w:bottom w:w="70" w:type="dxa"/>
              <w:end w:w="80" w:type="dxa"/>
            </w:tcMar>
          </w:tcPr>
          <w:p>
            <w:pPr>
              <w:spacing w:after="0" w:before="0"/>
            </w:pPr>
            <w:r>
              <w:rPr>
                <w:sz w:val="16"/>
              </w:rPr>
              <w:t>2.0</w:t>
            </w:r>
          </w:p>
        </w:tc>
        <w:tc>
          <w:tcPr>
            <w:tcW w:type="dxa" w:w="3456"/>
            <w:vAlign w:val="center"/>
            <w:tcMar>
              <w:top w:w="70" w:type="dxa"/>
              <w:start w:w="80" w:type="dxa"/>
              <w:bottom w:w="70" w:type="dxa"/>
              <w:end w:w="80" w:type="dxa"/>
            </w:tcMar>
          </w:tcPr>
          <w:p>
            <w:pPr>
              <w:spacing w:after="0" w:before="0"/>
            </w:pPr>
            <w:r>
              <w:rPr>
                <w:sz w:val="16"/>
              </w:rPr>
              <w:t>1 January 2024</w:t>
            </w:r>
          </w:p>
        </w:tc>
        <w:tc>
          <w:tcPr>
            <w:tcW w:type="dxa" w:w="3456"/>
            <w:vAlign w:val="center"/>
            <w:tcMar>
              <w:top w:w="70" w:type="dxa"/>
              <w:start w:w="80" w:type="dxa"/>
              <w:bottom w:w="70" w:type="dxa"/>
              <w:end w:w="80" w:type="dxa"/>
            </w:tcMar>
          </w:tcPr>
          <w:p>
            <w:pPr>
              <w:spacing w:after="0" w:before="0"/>
            </w:pPr>
            <w:r>
              <w:rPr>
                <w:sz w:val="16"/>
              </w:rPr>
              <w:t>Introduced digital onboarding, beneficial ownership tiers and risk-based refresh.</w:t>
            </w:r>
          </w:p>
        </w:tc>
      </w:tr>
      <w:tr>
        <w:tc>
          <w:tcPr>
            <w:tcW w:type="dxa" w:w="3456"/>
            <w:vAlign w:val="center"/>
            <w:tcMar>
              <w:top w:w="70" w:type="dxa"/>
              <w:start w:w="80" w:type="dxa"/>
              <w:bottom w:w="70" w:type="dxa"/>
              <w:end w:w="80" w:type="dxa"/>
            </w:tcMar>
          </w:tcPr>
          <w:p>
            <w:pPr>
              <w:spacing w:after="0" w:before="0"/>
            </w:pPr>
            <w:r>
              <w:rPr>
                <w:sz w:val="16"/>
              </w:rPr>
              <w:t>2.1</w:t>
            </w:r>
          </w:p>
        </w:tc>
        <w:tc>
          <w:tcPr>
            <w:tcW w:type="dxa" w:w="3456"/>
            <w:vAlign w:val="center"/>
            <w:tcMar>
              <w:top w:w="70" w:type="dxa"/>
              <w:start w:w="80" w:type="dxa"/>
              <w:bottom w:w="70" w:type="dxa"/>
              <w:end w:w="80" w:type="dxa"/>
            </w:tcMar>
          </w:tcPr>
          <w:p>
            <w:pPr>
              <w:spacing w:after="0" w:before="0"/>
            </w:pPr>
            <w:r>
              <w:rPr>
                <w:sz w:val="16"/>
              </w:rPr>
              <w:t>1 July 2025</w:t>
            </w:r>
          </w:p>
        </w:tc>
        <w:tc>
          <w:tcPr>
            <w:tcW w:type="dxa" w:w="3456"/>
            <w:vAlign w:val="center"/>
            <w:tcMar>
              <w:top w:w="70" w:type="dxa"/>
              <w:start w:w="80" w:type="dxa"/>
              <w:bottom w:w="70" w:type="dxa"/>
              <w:end w:w="80" w:type="dxa"/>
            </w:tcMar>
          </w:tcPr>
          <w:p>
            <w:pPr>
              <w:spacing w:after="0" w:before="0"/>
            </w:pPr>
            <w:r>
              <w:rPr>
                <w:sz w:val="16"/>
              </w:rPr>
              <w:t>Revised non-face-to-face controls, PEP treatment, discrepancy escalation and periodic refresh bands.</w:t>
            </w:r>
          </w:p>
        </w:tc>
      </w:tr>
    </w:tbl>
    <w:p>
      <w:pPr>
        <w:spacing w:after="20"/>
      </w:pPr>
    </w:p>
    <w:p>
      <w:pPr>
        <w:ind w:left="259" w:right="259"/>
      </w:pPr>
      <w:r>
        <w:rPr>
          <w:i/>
          <w:sz w:val="16"/>
        </w:rPr>
        <w:t>Controlled copies are maintained in the Northstar Financial policy repository. Printed or locally saved copies are uncontrolled unless explicitly marked otherwise.</w:t>
      </w:r>
    </w:p>
    <w:p>
      <w:pPr>
        <w:pStyle w:val="Heading1"/>
      </w:pPr>
      <w:r>
        <w:t>Contents</w:t>
      </w:r>
    </w:p>
    <w:p>
      <w:r>
        <w:t>1. Purpose and Policy Objectives</w:t>
      </w:r>
    </w:p>
    <w:p>
      <w:r>
        <w:t>2. Scope and Applicability</w:t>
      </w:r>
    </w:p>
    <w:p>
      <w:r>
        <w:t>3. KYC Governance and Responsibilities</w:t>
      </w:r>
    </w:p>
    <w:p>
      <w:r>
        <w:t>4. Customer Identification Requirements</w:t>
      </w:r>
    </w:p>
    <w:p>
      <w:r>
        <w:t>5. Verification Standards for Individuals</w:t>
      </w:r>
    </w:p>
    <w:p>
      <w:r>
        <w:t>6. Legal Entities, Partnerships and Trusts</w:t>
      </w:r>
    </w:p>
    <w:p>
      <w:r>
        <w:t>7. Beneficial Ownership</w:t>
      </w:r>
    </w:p>
    <w:p>
      <w:r>
        <w:t>8. Address and Contact Verification</w:t>
      </w:r>
    </w:p>
    <w:p>
      <w:r>
        <w:t>9. PAN, Aadhaar and Identity Evidence</w:t>
      </w:r>
    </w:p>
    <w:p>
      <w:r>
        <w:t>10. Digital and Non-Face-to-Face Onboarding</w:t>
      </w:r>
    </w:p>
    <w:p>
      <w:r>
        <w:t>11. Customer Risk Classification</w:t>
      </w:r>
    </w:p>
    <w:p>
      <w:r>
        <w:t>12. PEP Identification and Treatment</w:t>
      </w:r>
    </w:p>
    <w:p>
      <w:r>
        <w:t>13. Sanctions and Name Screening</w:t>
      </w:r>
    </w:p>
    <w:p>
      <w:r>
        <w:t>14. Discrepancies, False Positives and Escalation</w:t>
      </w:r>
    </w:p>
    <w:p>
      <w:r>
        <w:t>15. Periodic KYC Refresh and Trigger Events</w:t>
      </w:r>
    </w:p>
    <w:p>
      <w:r>
        <w:t>16. Dormant Relationships and Restrictions</w:t>
      </w:r>
    </w:p>
    <w:p>
      <w:r>
        <w:t>17. Documentation and Record Retention</w:t>
      </w:r>
    </w:p>
    <w:p>
      <w:r>
        <w:t>18. Quality Assurance, Monitoring and Breaches</w:t>
      </w:r>
    </w:p>
    <w:p>
      <w:r>
        <w:t>19. Effective Dates and Transitional Provisions</w:t>
      </w:r>
    </w:p>
    <w:p>
      <w:r>
        <w:t>Appendix A. KYC Risk Classification Matrix</w:t>
      </w:r>
    </w:p>
    <w:p>
      <w:r>
        <w:t>Appendix B. Illustrative Documentary Evidence Matrix</w:t>
      </w:r>
    </w:p>
    <w:p>
      <w:r>
        <w:t>Appendix C. Periodic Refresh Schedule</w:t>
      </w:r>
    </w:p>
    <w:p>
      <w:r>
        <w:t>Appendix D. KYC Discrepancy Examples</w:t>
      </w:r>
    </w:p>
    <w:p>
      <w:r>
        <w:t>Appendix E. Historical Rule Changes</w:t>
      </w:r>
    </w:p>
    <w:p>
      <w:pPr>
        <w:ind w:left="259" w:right="259"/>
      </w:pPr>
      <w:r>
        <w:rPr>
          <w:i/>
          <w:sz w:val="16"/>
        </w:rPr>
        <w:t>Section numbering in this document is authoritative. Cross-references are subject to the version and effective-date rules stated in the referenced document.</w:t>
      </w:r>
    </w:p>
    <w:p>
      <w:pPr>
        <w:pStyle w:val="Heading1"/>
      </w:pPr>
      <w:r>
        <w:t>1. Purpose and Policy Objectives</w:t>
      </w:r>
    </w:p>
    <w:p>
      <w:r>
        <w:t>This Policy establishes Northstar Financial’s minimum customer identification and verification requirements before, and where applicable during, a customer relationship. It is intended to ensure that customer identity, ownership and risk are understood to a level proportionate to the relationship and its risk characteristics.</w:t>
      </w:r>
    </w:p>
    <w:p>
      <w:r>
        <w:rPr>
          <w:b/>
        </w:rPr>
        <w:t>Control requirements</w:t>
      </w:r>
    </w:p>
    <w:p>
      <w:pPr>
        <w:ind w:left="259" w:hanging="202"/>
      </w:pPr>
      <w:r>
        <w:rPr>
          <w:b/>
        </w:rPr>
        <w:t xml:space="preserve">• </w:t>
      </w:r>
      <w:r>
        <w:t>No customer relationship shall be activated until required identification, verification and screening controls have been completed or a formally approved limited-use restriction is recorded.</w:t>
      </w:r>
    </w:p>
    <w:p>
      <w:pPr>
        <w:ind w:left="259" w:hanging="202"/>
      </w:pPr>
      <w:r>
        <w:rPr>
          <w:b/>
        </w:rPr>
        <w:t xml:space="preserve">• </w:t>
      </w:r>
      <w:r>
        <w:t>KYC evidence must be obtained from a source appropriate to the customer type and onboarding channel.</w:t>
      </w:r>
    </w:p>
    <w:p>
      <w:pPr>
        <w:ind w:left="259" w:hanging="202"/>
      </w:pPr>
      <w:r>
        <w:rPr>
          <w:b/>
        </w:rPr>
        <w:t xml:space="preserve">• </w:t>
      </w:r>
      <w:r>
        <w:t>Product or channel procedures may impose stricter documentary or review requirements than this Policy.</w:t>
      </w:r>
    </w:p>
    <w:p>
      <w:pPr>
        <w:ind w:left="259" w:hanging="202"/>
      </w:pPr>
      <w:r>
        <w:rPr>
          <w:b/>
        </w:rPr>
        <w:t xml:space="preserve">• </w:t>
      </w:r>
      <w:r>
        <w:t>KYC completion does not replace credit, fraud, AML or sanctions decisioning.</w:t>
      </w:r>
    </w:p>
    <w:p>
      <w:pPr>
        <w:pStyle w:val="Heading2"/>
      </w:pPr>
      <w:r>
        <w:t>Records and control evidence</w:t>
      </w:r>
    </w:p>
    <w:p>
      <w:pPr>
        <w:ind w:left="259" w:hanging="202"/>
      </w:pPr>
      <w:r>
        <w:rPr>
          <w:b/>
        </w:rPr>
        <w:t xml:space="preserve">• </w:t>
      </w:r>
      <w:r>
        <w:t>Approved policy, KYC control standards, exception and breach records.</w:t>
      </w:r>
    </w:p>
    <w:p>
      <w:pPr>
        <w:pStyle w:val="Heading1"/>
      </w:pPr>
      <w:r>
        <w:t>2. Scope and Applicability</w:t>
      </w:r>
    </w:p>
    <w:p>
      <w:r>
        <w:t>The Policy applies to individual customers, sole proprietors, partnerships, companies, trusts and other approved customer types using Northstar lending, deposit or investment services. Employee relationships remain in scope unless a separately approved employee program expressly provides otherwise.</w:t>
      </w:r>
    </w:p>
    <w:p>
      <w:r>
        <w:rPr>
          <w:b/>
        </w:rPr>
        <w:t>Control requirements</w:t>
      </w:r>
    </w:p>
    <w:p>
      <w:pPr>
        <w:ind w:left="259" w:hanging="202"/>
      </w:pPr>
      <w:r>
        <w:rPr>
          <w:b/>
        </w:rPr>
        <w:t xml:space="preserve">• </w:t>
      </w:r>
      <w:r>
        <w:t>Existing customers opening a new product may use verified information already held only where it remains current and no trigger event is present.</w:t>
      </w:r>
    </w:p>
    <w:p>
      <w:pPr>
        <w:ind w:left="259" w:hanging="202"/>
      </w:pPr>
      <w:r>
        <w:rPr>
          <w:b/>
        </w:rPr>
        <w:t xml:space="preserve">• </w:t>
      </w:r>
      <w:r>
        <w:t>Intermediary-sourced customers are subject to the same Northstar minimum controls as directly sourced customers.</w:t>
      </w:r>
    </w:p>
    <w:p>
      <w:pPr>
        <w:ind w:left="259" w:hanging="202"/>
      </w:pPr>
      <w:r>
        <w:rPr>
          <w:b/>
        </w:rPr>
        <w:t xml:space="preserve">• </w:t>
      </w:r>
      <w:r>
        <w:t>Third-party verification results may support a decision but do not transfer accountability away from Northstar.</w:t>
      </w:r>
    </w:p>
    <w:p>
      <w:pPr>
        <w:pStyle w:val="Heading2"/>
      </w:pPr>
      <w:r>
        <w:t>Records and control evidence</w:t>
      </w:r>
    </w:p>
    <w:p>
      <w:pPr>
        <w:ind w:left="259" w:hanging="202"/>
      </w:pPr>
      <w:r>
        <w:rPr>
          <w:b/>
        </w:rPr>
        <w:t xml:space="preserve">• </w:t>
      </w:r>
      <w:r>
        <w:t>Product applicability matrix, onboarding-channel inventory, approved waivers.</w:t>
      </w:r>
    </w:p>
    <w:p>
      <w:pPr>
        <w:pStyle w:val="Heading1"/>
      </w:pPr>
      <w:r>
        <w:t>3. KYC Governance and Responsibilities</w:t>
      </w:r>
    </w:p>
    <w:p>
      <w:r>
        <w:t>KYC Operations owns day-to-day customer verification; Compliance defines control interpretation and material escalation; business units own complete and accurate customer intake. AML Compliance owns AML risk treatment after KYC facts are established.</w:t>
      </w:r>
    </w:p>
    <w:p>
      <w:r>
        <w:rPr>
          <w:b/>
        </w:rPr>
        <w:t>Control requirements</w:t>
      </w:r>
    </w:p>
    <w:p>
      <w:pPr>
        <w:ind w:left="259" w:hanging="202"/>
      </w:pPr>
      <w:r>
        <w:rPr>
          <w:b/>
        </w:rPr>
        <w:t xml:space="preserve">• </w:t>
      </w:r>
      <w:r>
        <w:t>Maker-checker shall apply to high-risk KYC approvals, material discrepancy closure and override of automated name-matching dispositions.</w:t>
      </w:r>
    </w:p>
    <w:p>
      <w:pPr>
        <w:ind w:left="259" w:hanging="202"/>
      </w:pPr>
      <w:r>
        <w:rPr>
          <w:b/>
        </w:rPr>
        <w:t xml:space="preserve">• </w:t>
      </w:r>
      <w:r>
        <w:t>No employee may approve a KYC escalation they initiated where the escalation changes customer risk or removes a restriction.</w:t>
      </w:r>
    </w:p>
    <w:p>
      <w:pPr>
        <w:ind w:left="259" w:hanging="202"/>
      </w:pPr>
      <w:r>
        <w:rPr>
          <w:b/>
        </w:rPr>
        <w:t xml:space="preserve">• </w:t>
      </w:r>
      <w:r>
        <w:t>Material KYC control weaknesses shall be reported to Compliance and Enterprise Risk under the operational-risk process.</w:t>
      </w:r>
    </w:p>
    <w:p>
      <w:pPr>
        <w:pStyle w:val="Heading2"/>
      </w:pPr>
      <w:r>
        <w:t>Records and control evidence</w:t>
      </w:r>
    </w:p>
    <w:p>
      <w:pPr>
        <w:ind w:left="259" w:hanging="202"/>
      </w:pPr>
      <w:r>
        <w:rPr>
          <w:b/>
        </w:rPr>
        <w:t xml:space="preserve">• </w:t>
      </w:r>
      <w:r>
        <w:t>Role matrix, approval logs, QA findings, committee reporting.</w:t>
      </w:r>
    </w:p>
    <w:p>
      <w:pPr>
        <w:pStyle w:val="Heading1"/>
      </w:pPr>
      <w:r>
        <w:t>4. Customer Identification Requirements</w:t>
      </w:r>
    </w:p>
    <w:p>
      <w:r>
        <w:t>Customer identification data shall be sufficient to distinguish the customer from similarly named persons or entities and to support downstream screening, servicing and investigation.</w:t>
      </w:r>
    </w:p>
    <w:p>
      <w:r>
        <w:rPr>
          <w:b/>
        </w:rPr>
        <w:t>Control requirements</w:t>
      </w:r>
    </w:p>
    <w:p>
      <w:pPr>
        <w:ind w:left="259" w:hanging="202"/>
      </w:pPr>
      <w:r>
        <w:rPr>
          <w:b/>
        </w:rPr>
        <w:t xml:space="preserve">• </w:t>
      </w:r>
      <w:r>
        <w:t>Individuals: full name, date of birth, current address, nationality or residency information where relevant, PAN or other approved identifier, and contact details.</w:t>
      </w:r>
    </w:p>
    <w:p>
      <w:pPr>
        <w:ind w:left="259" w:hanging="202"/>
      </w:pPr>
      <w:r>
        <w:rPr>
          <w:b/>
        </w:rPr>
        <w:t xml:space="preserve">• </w:t>
      </w:r>
      <w:r>
        <w:t>Legal entities: legal name, constitution/type, registered address, operating address where different, registration identifier, tax identifier where applicable, authorized persons and ownership/control information.</w:t>
      </w:r>
    </w:p>
    <w:p>
      <w:pPr>
        <w:ind w:left="259" w:hanging="202"/>
      </w:pPr>
      <w:r>
        <w:rPr>
          <w:b/>
        </w:rPr>
        <w:t xml:space="preserve">• </w:t>
      </w:r>
      <w:r>
        <w:t>Material aliases, former names or trading names must be captured when known.</w:t>
      </w:r>
    </w:p>
    <w:p>
      <w:pPr>
        <w:ind w:left="259" w:hanging="202"/>
      </w:pPr>
      <w:r>
        <w:rPr>
          <w:b/>
        </w:rPr>
        <w:t xml:space="preserve">• </w:t>
      </w:r>
      <w:r>
        <w:t>Identity fields shall not be silently overwritten when reliable sources conflict; discrepancies are handled under Section 14.</w:t>
      </w:r>
    </w:p>
    <w:p>
      <w:pPr>
        <w:pStyle w:val="Heading2"/>
      </w:pPr>
      <w:r>
        <w:t>Records and control evidence</w:t>
      </w:r>
    </w:p>
    <w:p>
      <w:pPr>
        <w:ind w:left="259" w:hanging="202"/>
      </w:pPr>
      <w:r>
        <w:rPr>
          <w:b/>
        </w:rPr>
        <w:t xml:space="preserve">• </w:t>
      </w:r>
      <w:r>
        <w:t>Customer master record, source-document references, data-change history.</w:t>
      </w:r>
    </w:p>
    <w:p>
      <w:pPr>
        <w:pStyle w:val="Heading1"/>
      </w:pPr>
      <w:r>
        <w:t>5. Verification Standards for Individuals</w:t>
      </w:r>
    </w:p>
    <w:p>
      <w:r>
        <w:t>Identity verification for individuals shall use documentary, electronic or combined methods approved for the onboarding channel. Confidence in the result shall be considered together with document integrity, data consistency and fraud indicators.</w:t>
      </w:r>
    </w:p>
    <w:p>
      <w:r>
        <w:rPr>
          <w:b/>
        </w:rPr>
        <w:t>Control requirements</w:t>
      </w:r>
    </w:p>
    <w:p>
      <w:pPr>
        <w:ind w:left="259" w:hanging="202"/>
      </w:pPr>
      <w:r>
        <w:rPr>
          <w:b/>
        </w:rPr>
        <w:t xml:space="preserve">• </w:t>
      </w:r>
      <w:r>
        <w:t>A single successful electronic check does not override material inconsistencies in name, date of birth or address.</w:t>
      </w:r>
    </w:p>
    <w:p>
      <w:pPr>
        <w:ind w:left="259" w:hanging="202"/>
      </w:pPr>
      <w:r>
        <w:rPr>
          <w:b/>
        </w:rPr>
        <w:t xml:space="preserve">• </w:t>
      </w:r>
      <w:r>
        <w:t>Expired documents may be accepted only where an approved procedure explicitly permits the document type and compensating evidence is recorded.</w:t>
      </w:r>
    </w:p>
    <w:p>
      <w:pPr>
        <w:ind w:left="259" w:hanging="202"/>
      </w:pPr>
      <w:r>
        <w:rPr>
          <w:b/>
        </w:rPr>
        <w:t xml:space="preserve">• </w:t>
      </w:r>
      <w:r>
        <w:t>Image quality, document tampering indicators and liveness or possession checks shall be completed where the channel requires them.</w:t>
      </w:r>
    </w:p>
    <w:p>
      <w:pPr>
        <w:ind w:left="259" w:hanging="202"/>
      </w:pPr>
      <w:r>
        <w:rPr>
          <w:b/>
        </w:rPr>
        <w:t xml:space="preserve">• </w:t>
      </w:r>
      <w:r>
        <w:t>Manual review is required where automated verification returns inconclusive or conflicting results.</w:t>
      </w:r>
    </w:p>
    <w:p>
      <w:pPr>
        <w:pStyle w:val="Heading2"/>
      </w:pPr>
      <w:r>
        <w:t>Records and control evidence</w:t>
      </w:r>
    </w:p>
    <w:p>
      <w:pPr>
        <w:ind w:left="259" w:hanging="202"/>
      </w:pPr>
      <w:r>
        <w:rPr>
          <w:b/>
        </w:rPr>
        <w:t xml:space="preserve">• </w:t>
      </w:r>
      <w:r>
        <w:t>Verification result, document images or references, manual-review notes, reason codes.</w:t>
      </w:r>
    </w:p>
    <w:p>
      <w:pPr>
        <w:pStyle w:val="Heading1"/>
      </w:pPr>
      <w:r>
        <w:t>6. Legal Entities, Partnerships and Trusts</w:t>
      </w:r>
    </w:p>
    <w:p>
      <w:r>
        <w:t>Entity onboarding shall establish the legal existence of the customer and the persons who own, control or are authorized to act for it. The level of evidence shall reflect legal form, ownership complexity and relationship risk.</w:t>
      </w:r>
    </w:p>
    <w:p>
      <w:r>
        <w:rPr>
          <w:b/>
        </w:rPr>
        <w:t>Control requirements</w:t>
      </w:r>
    </w:p>
    <w:p>
      <w:pPr>
        <w:ind w:left="259" w:hanging="202"/>
      </w:pPr>
      <w:r>
        <w:rPr>
          <w:b/>
        </w:rPr>
        <w:t xml:space="preserve">• </w:t>
      </w:r>
      <w:r>
        <w:t>Constitutional documents, registration information and authority to act shall be verified using approved sources.</w:t>
      </w:r>
    </w:p>
    <w:p>
      <w:pPr>
        <w:ind w:left="259" w:hanging="202"/>
      </w:pPr>
      <w:r>
        <w:rPr>
          <w:b/>
        </w:rPr>
        <w:t xml:space="preserve">• </w:t>
      </w:r>
      <w:r>
        <w:t>Partnerships require identification of partners or controlling persons according to the relevant procedure.</w:t>
      </w:r>
    </w:p>
    <w:p>
      <w:pPr>
        <w:ind w:left="259" w:hanging="202"/>
      </w:pPr>
      <w:r>
        <w:rPr>
          <w:b/>
        </w:rPr>
        <w:t xml:space="preserve">• </w:t>
      </w:r>
      <w:r>
        <w:t>Trust onboarding requires settlor, trustee, protector and beneficiary information where applicable to the structure.</w:t>
      </w:r>
    </w:p>
    <w:p>
      <w:pPr>
        <w:ind w:left="259" w:hanging="202"/>
      </w:pPr>
      <w:r>
        <w:rPr>
          <w:b/>
        </w:rPr>
        <w:t xml:space="preserve">• </w:t>
      </w:r>
      <w:r>
        <w:t>Complex or layered ownership without a reasonable business explanation shall be escalated for enhanced review.</w:t>
      </w:r>
    </w:p>
    <w:p>
      <w:pPr>
        <w:pStyle w:val="Heading2"/>
      </w:pPr>
      <w:r>
        <w:t>Records and control evidence</w:t>
      </w:r>
    </w:p>
    <w:p>
      <w:pPr>
        <w:ind w:left="259" w:hanging="202"/>
      </w:pPr>
      <w:r>
        <w:rPr>
          <w:b/>
        </w:rPr>
        <w:t xml:space="preserve">• </w:t>
      </w:r>
      <w:r>
        <w:t>Entity file, constitutional evidence, authority documents, ownership chart, verification source record.</w:t>
      </w:r>
    </w:p>
    <w:p>
      <w:pPr>
        <w:pStyle w:val="Heading1"/>
      </w:pPr>
      <w:r>
        <w:t>7. Beneficial Ownership</w:t>
      </w:r>
    </w:p>
    <w:p>
      <w:r>
        <w:t>Northstar uses an internal beneficial-ownership threshold of 25% ownership or control for standard corporate customers. A lower 10% information-gathering threshold applies to customers rated High Risk or where ownership is materially layered. The lower threshold is an internal enhanced-review control and is not presented as a statutory requirement.</w:t>
      </w:r>
    </w:p>
    <w:p>
      <w:r>
        <w:rPr>
          <w:b/>
        </w:rPr>
        <w:t>Control requirements</w:t>
      </w:r>
    </w:p>
    <w:p>
      <w:pPr>
        <w:ind w:left="259" w:hanging="202"/>
      </w:pPr>
      <w:r>
        <w:rPr>
          <w:b/>
        </w:rPr>
        <w:t xml:space="preserve">• </w:t>
      </w:r>
      <w:r>
        <w:t>Ownership must be traced through intermediate entities to natural persons where reasonably practicable.</w:t>
      </w:r>
    </w:p>
    <w:p>
      <w:pPr>
        <w:ind w:left="259" w:hanging="202"/>
      </w:pPr>
      <w:r>
        <w:rPr>
          <w:b/>
        </w:rPr>
        <w:t xml:space="preserve">• </w:t>
      </w:r>
      <w:r>
        <w:t>Control through voting rights, contractual rights or other means shall be assessed even where ownership is below the stated threshold.</w:t>
      </w:r>
    </w:p>
    <w:p>
      <w:pPr>
        <w:ind w:left="259" w:hanging="202"/>
      </w:pPr>
      <w:r>
        <w:rPr>
          <w:b/>
        </w:rPr>
        <w:t xml:space="preserve">• </w:t>
      </w:r>
      <w:r>
        <w:t>Where no natural person meets the ownership threshold, the senior managing official and persons exercising effective control shall be recorded under the approved procedure.</w:t>
      </w:r>
    </w:p>
    <w:p>
      <w:pPr>
        <w:ind w:left="259" w:hanging="202"/>
      </w:pPr>
      <w:r>
        <w:rPr>
          <w:b/>
        </w:rPr>
        <w:t xml:space="preserve">• </w:t>
      </w:r>
      <w:r>
        <w:t>Inability to establish beneficial ownership to the required standard is an escalation condition and may prevent onboarding.</w:t>
      </w:r>
    </w:p>
    <w:p>
      <w:pPr>
        <w:pStyle w:val="Heading2"/>
      </w:pPr>
      <w:r>
        <w:t>Internal ownership thresholds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Customer risk</w:t>
            </w:r>
          </w:p>
        </w:tc>
        <w:tc>
          <w:tcPr>
            <w:tcW w:type="dxa" w:w="3456"/>
            <w:vAlign w:val="center"/>
            <w:tcMar>
              <w:top w:w="70" w:type="dxa"/>
              <w:start w:w="80" w:type="dxa"/>
              <w:bottom w:w="70" w:type="dxa"/>
              <w:end w:w="80" w:type="dxa"/>
            </w:tcMar>
            <w:shd w:fill="1F4E78"/>
          </w:tcPr>
          <w:p>
            <w:pPr>
              <w:spacing w:after="0" w:before="0"/>
            </w:pPr>
            <w:r>
              <w:rPr>
                <w:b/>
                <w:sz w:val="16"/>
                <w:color w:val="FFFFFF"/>
              </w:rPr>
              <w:t>Standard ownership threshold</w:t>
            </w:r>
          </w:p>
        </w:tc>
        <w:tc>
          <w:tcPr>
            <w:tcW w:type="dxa" w:w="3456"/>
            <w:vAlign w:val="center"/>
            <w:tcMar>
              <w:top w:w="70" w:type="dxa"/>
              <w:start w:w="80" w:type="dxa"/>
              <w:bottom w:w="70" w:type="dxa"/>
              <w:end w:w="80" w:type="dxa"/>
            </w:tcMar>
            <w:shd w:fill="1F4E78"/>
          </w:tcPr>
          <w:p>
            <w:pPr>
              <w:spacing w:after="0" w:before="0"/>
            </w:pPr>
            <w:r>
              <w:rPr>
                <w:b/>
                <w:sz w:val="16"/>
                <w:color w:val="FFFFFF"/>
              </w:rPr>
              <w:t>Enhanced information threshold</w:t>
            </w:r>
          </w:p>
        </w:tc>
      </w:tr>
      <w:tr>
        <w:tc>
          <w:tcPr>
            <w:tcW w:type="dxa" w:w="3456"/>
            <w:vAlign w:val="center"/>
            <w:tcMar>
              <w:top w:w="70" w:type="dxa"/>
              <w:start w:w="80" w:type="dxa"/>
              <w:bottom w:w="70" w:type="dxa"/>
              <w:end w:w="80" w:type="dxa"/>
            </w:tcMar>
          </w:tcPr>
          <w:p>
            <w:pPr>
              <w:spacing w:after="0" w:before="0"/>
            </w:pPr>
            <w:r>
              <w:rPr>
                <w:sz w:val="16"/>
              </w:rPr>
              <w:t>Low / Medium</w:t>
            </w:r>
          </w:p>
        </w:tc>
        <w:tc>
          <w:tcPr>
            <w:tcW w:type="dxa" w:w="3456"/>
            <w:vAlign w:val="center"/>
            <w:tcMar>
              <w:top w:w="70" w:type="dxa"/>
              <w:start w:w="80" w:type="dxa"/>
              <w:bottom w:w="70" w:type="dxa"/>
              <w:end w:w="80" w:type="dxa"/>
            </w:tcMar>
          </w:tcPr>
          <w:p>
            <w:pPr>
              <w:spacing w:after="0" w:before="0"/>
            </w:pPr>
            <w:r>
              <w:rPr>
                <w:sz w:val="16"/>
              </w:rPr>
              <w:t>25%</w:t>
            </w:r>
          </w:p>
        </w:tc>
        <w:tc>
          <w:tcPr>
            <w:tcW w:type="dxa" w:w="3456"/>
            <w:vAlign w:val="center"/>
            <w:tcMar>
              <w:top w:w="70" w:type="dxa"/>
              <w:start w:w="80" w:type="dxa"/>
              <w:bottom w:w="70" w:type="dxa"/>
              <w:end w:w="80" w:type="dxa"/>
            </w:tcMar>
          </w:tcPr>
          <w:p>
            <w:pPr>
              <w:spacing w:after="0" w:before="0"/>
            </w:pPr>
            <w:r>
              <w:rPr>
                <w:sz w:val="16"/>
              </w:rPr>
              <w:t>Not normally applied</w:t>
            </w:r>
          </w:p>
        </w:tc>
      </w:tr>
      <w:tr>
        <w:tc>
          <w:tcPr>
            <w:tcW w:type="dxa" w:w="3456"/>
            <w:vAlign w:val="center"/>
            <w:tcMar>
              <w:top w:w="70" w:type="dxa"/>
              <w:start w:w="80" w:type="dxa"/>
              <w:bottom w:w="70" w:type="dxa"/>
              <w:end w:w="80" w:type="dxa"/>
            </w:tcMar>
          </w:tcPr>
          <w:p>
            <w:pPr>
              <w:spacing w:after="0" w:before="0"/>
            </w:pPr>
            <w:r>
              <w:rPr>
                <w:sz w:val="16"/>
              </w:rPr>
              <w:t>High</w:t>
            </w:r>
          </w:p>
        </w:tc>
        <w:tc>
          <w:tcPr>
            <w:tcW w:type="dxa" w:w="3456"/>
            <w:vAlign w:val="center"/>
            <w:tcMar>
              <w:top w:w="70" w:type="dxa"/>
              <w:start w:w="80" w:type="dxa"/>
              <w:bottom w:w="70" w:type="dxa"/>
              <w:end w:w="80" w:type="dxa"/>
            </w:tcMar>
          </w:tcPr>
          <w:p>
            <w:pPr>
              <w:spacing w:after="0" w:before="0"/>
            </w:pPr>
            <w:r>
              <w:rPr>
                <w:sz w:val="16"/>
              </w:rPr>
              <w:t>25%</w:t>
            </w:r>
          </w:p>
        </w:tc>
        <w:tc>
          <w:tcPr>
            <w:tcW w:type="dxa" w:w="3456"/>
            <w:vAlign w:val="center"/>
            <w:tcMar>
              <w:top w:w="70" w:type="dxa"/>
              <w:start w:w="80" w:type="dxa"/>
              <w:bottom w:w="70" w:type="dxa"/>
              <w:end w:w="80" w:type="dxa"/>
            </w:tcMar>
          </w:tcPr>
          <w:p>
            <w:pPr>
              <w:spacing w:after="0" w:before="0"/>
            </w:pPr>
            <w:r>
              <w:rPr>
                <w:sz w:val="16"/>
              </w:rPr>
              <w:t>10% ownership/control information</w:t>
            </w:r>
          </w:p>
        </w:tc>
      </w:tr>
      <w:tr>
        <w:tc>
          <w:tcPr>
            <w:tcW w:type="dxa" w:w="3456"/>
            <w:vAlign w:val="center"/>
            <w:tcMar>
              <w:top w:w="70" w:type="dxa"/>
              <w:start w:w="80" w:type="dxa"/>
              <w:bottom w:w="70" w:type="dxa"/>
              <w:end w:w="80" w:type="dxa"/>
            </w:tcMar>
          </w:tcPr>
          <w:p>
            <w:pPr>
              <w:spacing w:after="0" w:before="0"/>
            </w:pPr>
            <w:r>
              <w:rPr>
                <w:sz w:val="16"/>
              </w:rPr>
              <w:t>Complex structure</w:t>
            </w:r>
          </w:p>
        </w:tc>
        <w:tc>
          <w:tcPr>
            <w:tcW w:type="dxa" w:w="3456"/>
            <w:vAlign w:val="center"/>
            <w:tcMar>
              <w:top w:w="70" w:type="dxa"/>
              <w:start w:w="80" w:type="dxa"/>
              <w:bottom w:w="70" w:type="dxa"/>
              <w:end w:w="80" w:type="dxa"/>
            </w:tcMar>
          </w:tcPr>
          <w:p>
            <w:pPr>
              <w:spacing w:after="0" w:before="0"/>
            </w:pPr>
            <w:r>
              <w:rPr>
                <w:sz w:val="16"/>
              </w:rPr>
              <w:t>25%</w:t>
            </w:r>
          </w:p>
        </w:tc>
        <w:tc>
          <w:tcPr>
            <w:tcW w:type="dxa" w:w="3456"/>
            <w:vAlign w:val="center"/>
            <w:tcMar>
              <w:top w:w="70" w:type="dxa"/>
              <w:start w:w="80" w:type="dxa"/>
              <w:bottom w:w="70" w:type="dxa"/>
              <w:end w:w="80" w:type="dxa"/>
            </w:tcMar>
          </w:tcPr>
          <w:p>
            <w:pPr>
              <w:spacing w:after="0" w:before="0"/>
            </w:pPr>
            <w:r>
              <w:rPr>
                <w:sz w:val="16"/>
              </w:rPr>
              <w:t>10% or lower where directed by Compliance</w:t>
            </w:r>
          </w:p>
        </w:tc>
      </w:tr>
    </w:tbl>
    <w:p>
      <w:pPr>
        <w:spacing w:after="20"/>
      </w:pPr>
    </w:p>
    <w:p>
      <w:pPr>
        <w:pStyle w:val="Heading2"/>
      </w:pPr>
      <w:r>
        <w:t>Records and control evidence</w:t>
      </w:r>
    </w:p>
    <w:p>
      <w:pPr>
        <w:ind w:left="259" w:hanging="202"/>
      </w:pPr>
      <w:r>
        <w:rPr>
          <w:b/>
        </w:rPr>
        <w:t xml:space="preserve">• </w:t>
      </w:r>
      <w:r>
        <w:t>Beneficial-ownership worksheet, ownership chart, source evidence, escalation decision.</w:t>
      </w:r>
    </w:p>
    <w:p>
      <w:pPr>
        <w:pStyle w:val="Heading1"/>
      </w:pPr>
      <w:r>
        <w:t>8. Address and Contact Verification</w:t>
      </w:r>
    </w:p>
    <w:p>
      <w:r>
        <w:t>The address used for customer records must be sufficiently reliable for identification, contact and risk assessment. Differences across documents do not automatically indicate fraud but require reconciliation where material.</w:t>
      </w:r>
    </w:p>
    <w:p>
      <w:r>
        <w:rPr>
          <w:b/>
        </w:rPr>
        <w:t>Control requirements</w:t>
      </w:r>
    </w:p>
    <w:p>
      <w:pPr>
        <w:ind w:left="259" w:hanging="202"/>
      </w:pPr>
      <w:r>
        <w:rPr>
          <w:b/>
        </w:rPr>
        <w:t xml:space="preserve">• </w:t>
      </w:r>
      <w:r>
        <w:t>Current residential address shall be captured for individuals; mailing address may be separately recorded.</w:t>
      </w:r>
    </w:p>
    <w:p>
      <w:pPr>
        <w:ind w:left="259" w:hanging="202"/>
      </w:pPr>
      <w:r>
        <w:rPr>
          <w:b/>
        </w:rPr>
        <w:t xml:space="preserve">• </w:t>
      </w:r>
      <w:r>
        <w:t>Where documentary address evidence is older than 90 days for a new high-risk relationship, a current secondary confirmation is required unless the procedure permits a documented alternative.</w:t>
      </w:r>
    </w:p>
    <w:p>
      <w:pPr>
        <w:ind w:left="259" w:hanging="202"/>
      </w:pPr>
      <w:r>
        <w:rPr>
          <w:b/>
        </w:rPr>
        <w:t xml:space="preserve">• </w:t>
      </w:r>
      <w:r>
        <w:t>Minor formatting differences may be standardized without escalation; different city, district or state details require review.</w:t>
      </w:r>
    </w:p>
    <w:p>
      <w:pPr>
        <w:ind w:left="259" w:hanging="202"/>
      </w:pPr>
      <w:r>
        <w:rPr>
          <w:b/>
        </w:rPr>
        <w:t xml:space="preserve">• </w:t>
      </w:r>
      <w:r>
        <w:t>Contact data changes shortly after onboarding may trigger re-verification under Section 15.</w:t>
      </w:r>
    </w:p>
    <w:p>
      <w:pPr>
        <w:pStyle w:val="Heading2"/>
      </w:pPr>
      <w:r>
        <w:t>Records and control evidence</w:t>
      </w:r>
    </w:p>
    <w:p>
      <w:pPr>
        <w:ind w:left="259" w:hanging="202"/>
      </w:pPr>
      <w:r>
        <w:rPr>
          <w:b/>
        </w:rPr>
        <w:t xml:space="preserve">• </w:t>
      </w:r>
      <w:r>
        <w:t>Address evidence, reconciliation note, customer confirmation, data-change log.</w:t>
      </w:r>
    </w:p>
    <w:p>
      <w:pPr>
        <w:pStyle w:val="Heading1"/>
      </w:pPr>
      <w:r>
        <w:t>9. PAN, Aadhaar and Identity Evidence</w:t>
      </w:r>
    </w:p>
    <w:p>
      <w:r>
        <w:t>PAN and Aadhaar references may be used only in accordance with Northstar’s approved internal process and the capabilities of the onboarding channel. This Policy does not describe any Northstar requirement as an external legal mandate.</w:t>
      </w:r>
    </w:p>
    <w:p>
      <w:r>
        <w:rPr>
          <w:b/>
        </w:rPr>
        <w:t>Control requirements</w:t>
      </w:r>
    </w:p>
    <w:p>
      <w:pPr>
        <w:ind w:left="259" w:hanging="202"/>
      </w:pPr>
      <w:r>
        <w:rPr>
          <w:b/>
        </w:rPr>
        <w:t xml:space="preserve">• </w:t>
      </w:r>
      <w:r>
        <w:t>PAN shall be validated through an approved method where collected for the product.</w:t>
      </w:r>
    </w:p>
    <w:p>
      <w:pPr>
        <w:ind w:left="259" w:hanging="202"/>
      </w:pPr>
      <w:r>
        <w:rPr>
          <w:b/>
        </w:rPr>
        <w:t xml:space="preserve">• </w:t>
      </w:r>
      <w:r>
        <w:t>Aadhaar-related information shall be handled in accordance with applicable internal privacy and information-security controls.</w:t>
      </w:r>
    </w:p>
    <w:p>
      <w:pPr>
        <w:ind w:left="259" w:hanging="202"/>
      </w:pPr>
      <w:r>
        <w:rPr>
          <w:b/>
        </w:rPr>
        <w:t xml:space="preserve">• </w:t>
      </w:r>
      <w:r>
        <w:t>Masked or tokenized representations should be used in operational views where full identifiers are not needed.</w:t>
      </w:r>
    </w:p>
    <w:p>
      <w:pPr>
        <w:ind w:left="259" w:hanging="202"/>
      </w:pPr>
      <w:r>
        <w:rPr>
          <w:b/>
        </w:rPr>
        <w:t xml:space="preserve">• </w:t>
      </w:r>
      <w:r>
        <w:t>A mismatch between PAN name and onboarding name requires documented resolution before unrestricted activation.</w:t>
      </w:r>
    </w:p>
    <w:p>
      <w:pPr>
        <w:pStyle w:val="Heading2"/>
      </w:pPr>
      <w:r>
        <w:t>Records and control evidence</w:t>
      </w:r>
    </w:p>
    <w:p>
      <w:pPr>
        <w:ind w:left="259" w:hanging="202"/>
      </w:pPr>
      <w:r>
        <w:rPr>
          <w:b/>
        </w:rPr>
        <w:t xml:space="preserve">• </w:t>
      </w:r>
      <w:r>
        <w:t>Validation result, masked identifier, discrepancy evidence, access log where applicable.</w:t>
      </w:r>
    </w:p>
    <w:p>
      <w:pPr>
        <w:pStyle w:val="Heading1"/>
      </w:pPr>
      <w:r>
        <w:t>10. Digital and Non-Face-to-Face Onboarding</w:t>
      </w:r>
    </w:p>
    <w:p>
      <w:r>
        <w:t>Non-face-to-face relationships carry additional impersonation, document and device risks. Northstar applies enhanced controls according to product, channel and risk tier.</w:t>
      </w:r>
    </w:p>
    <w:p>
      <w:r>
        <w:rPr>
          <w:b/>
        </w:rPr>
        <w:t>Control requirements</w:t>
      </w:r>
    </w:p>
    <w:p>
      <w:pPr>
        <w:ind w:left="259" w:hanging="202"/>
      </w:pPr>
      <w:r>
        <w:rPr>
          <w:b/>
        </w:rPr>
        <w:t xml:space="preserve">• </w:t>
      </w:r>
      <w:r>
        <w:t>Digital onboarding shall include device, contact-point and verification controls defined in COP-021.</w:t>
      </w:r>
    </w:p>
    <w:p>
      <w:pPr>
        <w:ind w:left="259" w:hanging="202"/>
      </w:pPr>
      <w:r>
        <w:rPr>
          <w:b/>
        </w:rPr>
        <w:t xml:space="preserve">• </w:t>
      </w:r>
      <w:r>
        <w:t>High-risk non-face-to-face customers require checker approval before first disbursement or unrestricted transaction capability.</w:t>
      </w:r>
    </w:p>
    <w:p>
      <w:pPr>
        <w:ind w:left="259" w:hanging="202"/>
      </w:pPr>
      <w:r>
        <w:rPr>
          <w:b/>
        </w:rPr>
        <w:t xml:space="preserve">• </w:t>
      </w:r>
      <w:r>
        <w:t>A failed liveness or repeated identity-verification attempt shall be reviewed for fraud indicators and may be escalated to Fraud Risk.</w:t>
      </w:r>
    </w:p>
    <w:p>
      <w:pPr>
        <w:ind w:left="259" w:hanging="202"/>
      </w:pPr>
      <w:r>
        <w:rPr>
          <w:b/>
        </w:rPr>
        <w:t xml:space="preserve">• </w:t>
      </w:r>
      <w:r>
        <w:t>Manual fallback shall not be used simply to bypass a failed automated control.</w:t>
      </w:r>
    </w:p>
    <w:p>
      <w:pPr>
        <w:pStyle w:val="Heading2"/>
      </w:pPr>
      <w:r>
        <w:t>Records and control evidence</w:t>
      </w:r>
    </w:p>
    <w:p>
      <w:pPr>
        <w:ind w:left="259" w:hanging="202"/>
      </w:pPr>
      <w:r>
        <w:rPr>
          <w:b/>
        </w:rPr>
        <w:t xml:space="preserve">• </w:t>
      </w:r>
      <w:r>
        <w:t>Channel verification logs, device/fraud results, checker approval, fallback rationale.</w:t>
      </w:r>
    </w:p>
    <w:p>
      <w:pPr>
        <w:pStyle w:val="Heading1"/>
      </w:pPr>
      <w:r>
        <w:t>11. Customer Risk Classification</w:t>
      </w:r>
    </w:p>
    <w:p>
      <w:r>
        <w:t>KYC risk classification supports the broader customer risk rating process. KYC Operations assigns an initial KYC tier using customer type, ownership, geography, channel and screening results; AML Compliance may assign a higher final AML risk rating.</w:t>
      </w:r>
    </w:p>
    <w:p>
      <w:r>
        <w:rPr>
          <w:b/>
        </w:rPr>
        <w:t>Control requirements</w:t>
      </w:r>
    </w:p>
    <w:p>
      <w:pPr>
        <w:ind w:left="259" w:hanging="202"/>
      </w:pPr>
      <w:r>
        <w:rPr>
          <w:b/>
        </w:rPr>
        <w:t xml:space="preserve">• </w:t>
      </w:r>
      <w:r>
        <w:t>KYC Low, Medium and High are internal operational tiers and may not map one-for-one to AML customer risk categories.</w:t>
      </w:r>
    </w:p>
    <w:p>
      <w:pPr>
        <w:ind w:left="259" w:hanging="202"/>
      </w:pPr>
      <w:r>
        <w:rPr>
          <w:b/>
        </w:rPr>
        <w:t xml:space="preserve">• </w:t>
      </w:r>
      <w:r>
        <w:t>A product procedure may require enhanced verification for a Medium customer without changing the formal KYC tier.</w:t>
      </w:r>
    </w:p>
    <w:p>
      <w:pPr>
        <w:ind w:left="259" w:hanging="202"/>
      </w:pPr>
      <w:r>
        <w:rPr>
          <w:b/>
        </w:rPr>
        <w:t xml:space="preserve">• </w:t>
      </w:r>
      <w:r>
        <w:t>High-risk classification requires documented reason codes and checker approval.</w:t>
      </w:r>
    </w:p>
    <w:p>
      <w:pPr>
        <w:ind w:left="259" w:hanging="202"/>
      </w:pPr>
      <w:r>
        <w:rPr>
          <w:b/>
        </w:rPr>
        <w:t xml:space="preserve">• </w:t>
      </w:r>
      <w:r>
        <w:t>Risk cannot be reduced solely because the customer has been approved for credit.</w:t>
      </w:r>
    </w:p>
    <w:p>
      <w:pPr>
        <w:pStyle w:val="Heading2"/>
      </w:pPr>
      <w:r>
        <w:t>Illustrative KYC risk factors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Factor</w:t>
            </w:r>
          </w:p>
        </w:tc>
        <w:tc>
          <w:tcPr>
            <w:tcW w:type="dxa" w:w="3456"/>
            <w:vAlign w:val="center"/>
            <w:tcMar>
              <w:top w:w="70" w:type="dxa"/>
              <w:start w:w="80" w:type="dxa"/>
              <w:bottom w:w="70" w:type="dxa"/>
              <w:end w:w="80" w:type="dxa"/>
            </w:tcMar>
            <w:shd w:fill="1F4E78"/>
          </w:tcPr>
          <w:p>
            <w:pPr>
              <w:spacing w:after="0" w:before="0"/>
            </w:pPr>
            <w:r>
              <w:rPr>
                <w:b/>
                <w:sz w:val="16"/>
                <w:color w:val="FFFFFF"/>
              </w:rPr>
              <w:t>Lower-risk indicator</w:t>
            </w:r>
          </w:p>
        </w:tc>
        <w:tc>
          <w:tcPr>
            <w:tcW w:type="dxa" w:w="3456"/>
            <w:vAlign w:val="center"/>
            <w:tcMar>
              <w:top w:w="70" w:type="dxa"/>
              <w:start w:w="80" w:type="dxa"/>
              <w:bottom w:w="70" w:type="dxa"/>
              <w:end w:w="80" w:type="dxa"/>
            </w:tcMar>
            <w:shd w:fill="1F4E78"/>
          </w:tcPr>
          <w:p>
            <w:pPr>
              <w:spacing w:after="0" w:before="0"/>
            </w:pPr>
            <w:r>
              <w:rPr>
                <w:b/>
                <w:sz w:val="16"/>
                <w:color w:val="FFFFFF"/>
              </w:rPr>
              <w:t>Higher-risk indicator</w:t>
            </w:r>
          </w:p>
        </w:tc>
      </w:tr>
      <w:tr>
        <w:tc>
          <w:tcPr>
            <w:tcW w:type="dxa" w:w="3456"/>
            <w:vAlign w:val="center"/>
            <w:tcMar>
              <w:top w:w="70" w:type="dxa"/>
              <w:start w:w="80" w:type="dxa"/>
              <w:bottom w:w="70" w:type="dxa"/>
              <w:end w:w="80" w:type="dxa"/>
            </w:tcMar>
          </w:tcPr>
          <w:p>
            <w:pPr>
              <w:spacing w:after="0" w:before="0"/>
            </w:pPr>
            <w:r>
              <w:rPr>
                <w:sz w:val="16"/>
              </w:rPr>
              <w:t>Customer type</w:t>
            </w:r>
          </w:p>
        </w:tc>
        <w:tc>
          <w:tcPr>
            <w:tcW w:type="dxa" w:w="3456"/>
            <w:vAlign w:val="center"/>
            <w:tcMar>
              <w:top w:w="70" w:type="dxa"/>
              <w:start w:w="80" w:type="dxa"/>
              <w:bottom w:w="70" w:type="dxa"/>
              <w:end w:w="80" w:type="dxa"/>
            </w:tcMar>
          </w:tcPr>
          <w:p>
            <w:pPr>
              <w:spacing w:after="0" w:before="0"/>
            </w:pPr>
            <w:r>
              <w:rPr>
                <w:sz w:val="16"/>
              </w:rPr>
              <w:t>Salaried individual, simple ownership</w:t>
            </w:r>
          </w:p>
        </w:tc>
        <w:tc>
          <w:tcPr>
            <w:tcW w:type="dxa" w:w="3456"/>
            <w:vAlign w:val="center"/>
            <w:tcMar>
              <w:top w:w="70" w:type="dxa"/>
              <w:start w:w="80" w:type="dxa"/>
              <w:bottom w:w="70" w:type="dxa"/>
              <w:end w:w="80" w:type="dxa"/>
            </w:tcMar>
          </w:tcPr>
          <w:p>
            <w:pPr>
              <w:spacing w:after="0" w:before="0"/>
            </w:pPr>
            <w:r>
              <w:rPr>
                <w:sz w:val="16"/>
              </w:rPr>
              <w:t>Complex entity, nominee or opaque ownership</w:t>
            </w:r>
          </w:p>
        </w:tc>
      </w:tr>
      <w:tr>
        <w:tc>
          <w:tcPr>
            <w:tcW w:type="dxa" w:w="3456"/>
            <w:vAlign w:val="center"/>
            <w:tcMar>
              <w:top w:w="70" w:type="dxa"/>
              <w:start w:w="80" w:type="dxa"/>
              <w:bottom w:w="70" w:type="dxa"/>
              <w:end w:w="80" w:type="dxa"/>
            </w:tcMar>
          </w:tcPr>
          <w:p>
            <w:pPr>
              <w:spacing w:after="0" w:before="0"/>
            </w:pPr>
            <w:r>
              <w:rPr>
                <w:sz w:val="16"/>
              </w:rPr>
              <w:t>Channel</w:t>
            </w:r>
          </w:p>
        </w:tc>
        <w:tc>
          <w:tcPr>
            <w:tcW w:type="dxa" w:w="3456"/>
            <w:vAlign w:val="center"/>
            <w:tcMar>
              <w:top w:w="70" w:type="dxa"/>
              <w:start w:w="80" w:type="dxa"/>
              <w:bottom w:w="70" w:type="dxa"/>
              <w:end w:w="80" w:type="dxa"/>
            </w:tcMar>
          </w:tcPr>
          <w:p>
            <w:pPr>
              <w:spacing w:after="0" w:before="0"/>
            </w:pPr>
            <w:r>
              <w:rPr>
                <w:sz w:val="16"/>
              </w:rPr>
              <w:t>Verified branch / controlled digital</w:t>
            </w:r>
          </w:p>
        </w:tc>
        <w:tc>
          <w:tcPr>
            <w:tcW w:type="dxa" w:w="3456"/>
            <w:vAlign w:val="center"/>
            <w:tcMar>
              <w:top w:w="70" w:type="dxa"/>
              <w:start w:w="80" w:type="dxa"/>
              <w:bottom w:w="70" w:type="dxa"/>
              <w:end w:w="80" w:type="dxa"/>
            </w:tcMar>
          </w:tcPr>
          <w:p>
            <w:pPr>
              <w:spacing w:after="0" w:before="0"/>
            </w:pPr>
            <w:r>
              <w:rPr>
                <w:sz w:val="16"/>
              </w:rPr>
              <w:t>Remote with weak corroboration</w:t>
            </w:r>
          </w:p>
        </w:tc>
      </w:tr>
      <w:tr>
        <w:tc>
          <w:tcPr>
            <w:tcW w:type="dxa" w:w="3456"/>
            <w:vAlign w:val="center"/>
            <w:tcMar>
              <w:top w:w="70" w:type="dxa"/>
              <w:start w:w="80" w:type="dxa"/>
              <w:bottom w:w="70" w:type="dxa"/>
              <w:end w:w="80" w:type="dxa"/>
            </w:tcMar>
          </w:tcPr>
          <w:p>
            <w:pPr>
              <w:spacing w:after="0" w:before="0"/>
            </w:pPr>
            <w:r>
              <w:rPr>
                <w:sz w:val="16"/>
              </w:rPr>
              <w:t>Geography</w:t>
            </w:r>
          </w:p>
        </w:tc>
        <w:tc>
          <w:tcPr>
            <w:tcW w:type="dxa" w:w="3456"/>
            <w:vAlign w:val="center"/>
            <w:tcMar>
              <w:top w:w="70" w:type="dxa"/>
              <w:start w:w="80" w:type="dxa"/>
              <w:bottom w:w="70" w:type="dxa"/>
              <w:end w:w="80" w:type="dxa"/>
            </w:tcMar>
          </w:tcPr>
          <w:p>
            <w:pPr>
              <w:spacing w:after="0" w:before="0"/>
            </w:pPr>
            <w:r>
              <w:rPr>
                <w:sz w:val="16"/>
              </w:rPr>
              <w:t>Domestic standard footprint</w:t>
            </w:r>
          </w:p>
        </w:tc>
        <w:tc>
          <w:tcPr>
            <w:tcW w:type="dxa" w:w="3456"/>
            <w:vAlign w:val="center"/>
            <w:tcMar>
              <w:top w:w="70" w:type="dxa"/>
              <w:start w:w="80" w:type="dxa"/>
              <w:bottom w:w="70" w:type="dxa"/>
              <w:end w:w="80" w:type="dxa"/>
            </w:tcMar>
          </w:tcPr>
          <w:p>
            <w:pPr>
              <w:spacing w:after="0" w:before="0"/>
            </w:pPr>
            <w:r>
              <w:rPr>
                <w:sz w:val="16"/>
              </w:rPr>
              <w:t>High-risk or unusual cross-border link</w:t>
            </w:r>
          </w:p>
        </w:tc>
      </w:tr>
      <w:tr>
        <w:tc>
          <w:tcPr>
            <w:tcW w:type="dxa" w:w="3456"/>
            <w:vAlign w:val="center"/>
            <w:tcMar>
              <w:top w:w="70" w:type="dxa"/>
              <w:start w:w="80" w:type="dxa"/>
              <w:bottom w:w="70" w:type="dxa"/>
              <w:end w:w="80" w:type="dxa"/>
            </w:tcMar>
          </w:tcPr>
          <w:p>
            <w:pPr>
              <w:spacing w:after="0" w:before="0"/>
            </w:pPr>
            <w:r>
              <w:rPr>
                <w:sz w:val="16"/>
              </w:rPr>
              <w:t>Screening</w:t>
            </w:r>
          </w:p>
        </w:tc>
        <w:tc>
          <w:tcPr>
            <w:tcW w:type="dxa" w:w="3456"/>
            <w:vAlign w:val="center"/>
            <w:tcMar>
              <w:top w:w="70" w:type="dxa"/>
              <w:start w:w="80" w:type="dxa"/>
              <w:bottom w:w="70" w:type="dxa"/>
              <w:end w:w="80" w:type="dxa"/>
            </w:tcMar>
          </w:tcPr>
          <w:p>
            <w:pPr>
              <w:spacing w:after="0" w:before="0"/>
            </w:pPr>
            <w:r>
              <w:rPr>
                <w:sz w:val="16"/>
              </w:rPr>
              <w:t>No material match</w:t>
            </w:r>
          </w:p>
        </w:tc>
        <w:tc>
          <w:tcPr>
            <w:tcW w:type="dxa" w:w="3456"/>
            <w:vAlign w:val="center"/>
            <w:tcMar>
              <w:top w:w="70" w:type="dxa"/>
              <w:start w:w="80" w:type="dxa"/>
              <w:bottom w:w="70" w:type="dxa"/>
              <w:end w:w="80" w:type="dxa"/>
            </w:tcMar>
          </w:tcPr>
          <w:p>
            <w:pPr>
              <w:spacing w:after="0" w:before="0"/>
            </w:pPr>
            <w:r>
              <w:rPr>
                <w:sz w:val="16"/>
              </w:rPr>
              <w:t>PEP, sanctions or adverse-information escalation</w:t>
            </w:r>
          </w:p>
        </w:tc>
      </w:tr>
    </w:tbl>
    <w:p>
      <w:pPr>
        <w:spacing w:after="20"/>
      </w:pPr>
    </w:p>
    <w:p>
      <w:pPr>
        <w:pStyle w:val="Heading2"/>
      </w:pPr>
      <w:r>
        <w:t>Records and control evidence</w:t>
      </w:r>
    </w:p>
    <w:p>
      <w:pPr>
        <w:ind w:left="259" w:hanging="202"/>
      </w:pPr>
      <w:r>
        <w:rPr>
          <w:b/>
        </w:rPr>
        <w:t xml:space="preserve">• </w:t>
      </w:r>
      <w:r>
        <w:t>Risk score inputs, tier decision, approval record, override rationale.</w:t>
      </w:r>
    </w:p>
    <w:p>
      <w:pPr>
        <w:pStyle w:val="Heading1"/>
      </w:pPr>
      <w:r>
        <w:t>12. PEP Identification and Treatment</w:t>
      </w:r>
    </w:p>
    <w:p>
      <w:r>
        <w:t>Potential politically exposed person matches require risk-based review and shall not be closed as false positives solely because the customer denies the match. PEP status is not, by itself, a reason to reject a customer.</w:t>
      </w:r>
    </w:p>
    <w:p>
      <w:r>
        <w:rPr>
          <w:b/>
        </w:rPr>
        <w:t>Control requirements</w:t>
      </w:r>
    </w:p>
    <w:p>
      <w:pPr>
        <w:ind w:left="259" w:hanging="202"/>
      </w:pPr>
      <w:r>
        <w:rPr>
          <w:b/>
        </w:rPr>
        <w:t xml:space="preserve">• </w:t>
      </w:r>
      <w:r>
        <w:t>Potential matches shall be resolved using sufficient identifiers to distinguish the customer from the screened person.</w:t>
      </w:r>
    </w:p>
    <w:p>
      <w:pPr>
        <w:ind w:left="259" w:hanging="202"/>
      </w:pPr>
      <w:r>
        <w:rPr>
          <w:b/>
        </w:rPr>
        <w:t xml:space="preserve">• </w:t>
      </w:r>
      <w:r>
        <w:t>Confirmed PEP relationships require AML Compliance review and appropriate senior approval before activation.</w:t>
      </w:r>
    </w:p>
    <w:p>
      <w:pPr>
        <w:ind w:left="259" w:hanging="202"/>
      </w:pPr>
      <w:r>
        <w:rPr>
          <w:b/>
        </w:rPr>
        <w:t xml:space="preserve">• </w:t>
      </w:r>
      <w:r>
        <w:t>Source of funds and, where applicable, source of wealth shall be assessed under the enhanced due diligence process.</w:t>
      </w:r>
    </w:p>
    <w:p>
      <w:pPr>
        <w:ind w:left="259" w:hanging="202"/>
      </w:pPr>
      <w:r>
        <w:rPr>
          <w:b/>
        </w:rPr>
        <w:t xml:space="preserve">• </w:t>
      </w:r>
      <w:r>
        <w:t>Family-member or close-associate indicators are treated according to the AML and CDD procedures in force.</w:t>
      </w:r>
    </w:p>
    <w:p>
      <w:pPr>
        <w:pStyle w:val="Heading2"/>
      </w:pPr>
      <w:r>
        <w:t>Records and control evidence</w:t>
      </w:r>
    </w:p>
    <w:p>
      <w:pPr>
        <w:ind w:left="259" w:hanging="202"/>
      </w:pPr>
      <w:r>
        <w:rPr>
          <w:b/>
        </w:rPr>
        <w:t xml:space="preserve">• </w:t>
      </w:r>
      <w:r>
        <w:t>Screening alert, match-resolution evidence, PEP review, approval record.</w:t>
      </w:r>
    </w:p>
    <w:p>
      <w:pPr>
        <w:pStyle w:val="Heading1"/>
      </w:pPr>
      <w:r>
        <w:t>13. Sanctions and Name Screening</w:t>
      </w:r>
    </w:p>
    <w:p>
      <w:r>
        <w:t>Customer and related-party names shall be screened through Northstar’s approved screening service at onboarding and on an ongoing or periodic basis defined by the AML framework.</w:t>
      </w:r>
    </w:p>
    <w:p>
      <w:r>
        <w:rPr>
          <w:b/>
        </w:rPr>
        <w:t>Control requirements</w:t>
      </w:r>
    </w:p>
    <w:p>
      <w:pPr>
        <w:ind w:left="259" w:hanging="202"/>
      </w:pPr>
      <w:r>
        <w:rPr>
          <w:b/>
        </w:rPr>
        <w:t xml:space="preserve">• </w:t>
      </w:r>
      <w:r>
        <w:t>Potential sanctions matches must remain restricted until dispositioned by an authorized reviewer.</w:t>
      </w:r>
    </w:p>
    <w:p>
      <w:pPr>
        <w:ind w:left="259" w:hanging="202"/>
      </w:pPr>
      <w:r>
        <w:rPr>
          <w:b/>
        </w:rPr>
        <w:t xml:space="preserve">• </w:t>
      </w:r>
      <w:r>
        <w:t>Fuzzy-name score alone is not a decision; date of birth, geography, identifiers and contextual data shall be considered.</w:t>
      </w:r>
    </w:p>
    <w:p>
      <w:pPr>
        <w:ind w:left="259" w:hanging="202"/>
      </w:pPr>
      <w:r>
        <w:rPr>
          <w:b/>
        </w:rPr>
        <w:t xml:space="preserve">• </w:t>
      </w:r>
      <w:r>
        <w:t>Changes to screening thresholds are controlled by AML Compliance and shall be documented.</w:t>
      </w:r>
    </w:p>
    <w:p>
      <w:pPr>
        <w:ind w:left="259" w:hanging="202"/>
      </w:pPr>
      <w:r>
        <w:rPr>
          <w:b/>
        </w:rPr>
        <w:t xml:space="preserve">• </w:t>
      </w:r>
      <w:r>
        <w:t>A business unit shall not instruct KYC Operations to clear a sanctions match to meet turnaround time.</w:t>
      </w:r>
    </w:p>
    <w:p>
      <w:pPr>
        <w:pStyle w:val="Heading2"/>
      </w:pPr>
      <w:r>
        <w:t>Records and control evidence</w:t>
      </w:r>
    </w:p>
    <w:p>
      <w:pPr>
        <w:ind w:left="259" w:hanging="202"/>
      </w:pPr>
      <w:r>
        <w:rPr>
          <w:b/>
        </w:rPr>
        <w:t xml:space="preserve">• </w:t>
      </w:r>
      <w:r>
        <w:t>Screening result, alert disposition, supporting identifiers, reviewer record.</w:t>
      </w:r>
    </w:p>
    <w:p>
      <w:pPr>
        <w:pStyle w:val="Heading1"/>
      </w:pPr>
      <w:r>
        <w:t>14. Discrepancies, False Positives and Escalation</w:t>
      </w:r>
    </w:p>
    <w:p>
      <w:r>
        <w:t>KYC discrepancies shall be classified by materiality. Some may be resolved by documentary clarification; others require restriction, enhanced review or refusal to proceed.</w:t>
      </w:r>
    </w:p>
    <w:p>
      <w:r>
        <w:rPr>
          <w:b/>
        </w:rPr>
        <w:t>Control requirements</w:t>
      </w:r>
    </w:p>
    <w:p>
      <w:pPr>
        <w:ind w:left="259" w:hanging="202"/>
      </w:pPr>
      <w:r>
        <w:rPr>
          <w:b/>
        </w:rPr>
        <w:t xml:space="preserve">• </w:t>
      </w:r>
      <w:r>
        <w:t>Material identity mismatch, suspected tampering, unresolved ownership gap, confirmed PEP status and potential sanctions matches are escalation events.</w:t>
      </w:r>
    </w:p>
    <w:p>
      <w:pPr>
        <w:ind w:left="259" w:hanging="202"/>
      </w:pPr>
      <w:r>
        <w:rPr>
          <w:b/>
        </w:rPr>
        <w:t xml:space="preserve">• </w:t>
      </w:r>
      <w:r>
        <w:t>A discrepancy may be closed as administrative only where the core identity remains reliable and the rationale is recorded.</w:t>
      </w:r>
    </w:p>
    <w:p>
      <w:pPr>
        <w:ind w:left="259" w:hanging="202"/>
      </w:pPr>
      <w:r>
        <w:rPr>
          <w:b/>
        </w:rPr>
        <w:t xml:space="preserve">• </w:t>
      </w:r>
      <w:r>
        <w:t>Repeated false-positive screening may be handled through an approved suppression or whitelist control only by AML Compliance.</w:t>
      </w:r>
    </w:p>
    <w:p>
      <w:pPr>
        <w:ind w:left="259" w:hanging="202"/>
      </w:pPr>
      <w:r>
        <w:rPr>
          <w:b/>
        </w:rPr>
        <w:t xml:space="preserve">• </w:t>
      </w:r>
      <w:r>
        <w:t>KEP-022 governs formal escalation routes and approval levels.</w:t>
      </w:r>
    </w:p>
    <w:p>
      <w:pPr>
        <w:pStyle w:val="Heading2"/>
      </w:pPr>
      <w:r>
        <w:t>Records and control evidence</w:t>
      </w:r>
    </w:p>
    <w:p>
      <w:pPr>
        <w:ind w:left="259" w:hanging="202"/>
      </w:pPr>
      <w:r>
        <w:rPr>
          <w:b/>
        </w:rPr>
        <w:t xml:space="preserve">• </w:t>
      </w:r>
      <w:r>
        <w:t>Discrepancy log, supporting evidence, escalation record, closure reason.</w:t>
      </w:r>
    </w:p>
    <w:p>
      <w:pPr>
        <w:pStyle w:val="Heading1"/>
      </w:pPr>
      <w:r>
        <w:t>15. Periodic KYC Refresh and Trigger Events</w:t>
      </w:r>
    </w:p>
    <w:p>
      <w:r>
        <w:t>KYC records shall be refreshed on a risk-based cycle and when trigger events indicate that customer information may no longer be reliable. The cycle below is an internal Northstar control.</w:t>
      </w:r>
    </w:p>
    <w:p>
      <w:r>
        <w:rPr>
          <w:b/>
        </w:rPr>
        <w:t>Control requirements</w:t>
      </w:r>
    </w:p>
    <w:p>
      <w:pPr>
        <w:ind w:left="259" w:hanging="202"/>
      </w:pPr>
      <w:r>
        <w:rPr>
          <w:b/>
        </w:rPr>
        <w:t xml:space="preserve">• </w:t>
      </w:r>
      <w:r>
        <w:t>High-risk relationships: scheduled review every 12 months.</w:t>
      </w:r>
    </w:p>
    <w:p>
      <w:pPr>
        <w:ind w:left="259" w:hanging="202"/>
      </w:pPr>
      <w:r>
        <w:rPr>
          <w:b/>
        </w:rPr>
        <w:t xml:space="preserve">• </w:t>
      </w:r>
      <w:r>
        <w:t>Medium-risk relationships: scheduled review every 36 months.</w:t>
      </w:r>
    </w:p>
    <w:p>
      <w:pPr>
        <w:ind w:left="259" w:hanging="202"/>
      </w:pPr>
      <w:r>
        <w:rPr>
          <w:b/>
        </w:rPr>
        <w:t xml:space="preserve">• </w:t>
      </w:r>
      <w:r>
        <w:t>Low-risk relationships: scheduled review every 60 months.</w:t>
      </w:r>
    </w:p>
    <w:p>
      <w:pPr>
        <w:ind w:left="259" w:hanging="202"/>
      </w:pPr>
      <w:r>
        <w:rPr>
          <w:b/>
        </w:rPr>
        <w:t xml:space="preserve">• </w:t>
      </w:r>
      <w:r>
        <w:t>Trigger events can bring forward a review regardless of the scheduled cycle.</w:t>
      </w:r>
    </w:p>
    <w:p>
      <w:pPr>
        <w:pStyle w:val="Heading2"/>
      </w:pPr>
      <w:r>
        <w:t>Internal periodic refresh schedule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Risk tier</w:t>
            </w:r>
          </w:p>
        </w:tc>
        <w:tc>
          <w:tcPr>
            <w:tcW w:type="dxa" w:w="3456"/>
            <w:vAlign w:val="center"/>
            <w:tcMar>
              <w:top w:w="70" w:type="dxa"/>
              <w:start w:w="80" w:type="dxa"/>
              <w:bottom w:w="70" w:type="dxa"/>
              <w:end w:w="80" w:type="dxa"/>
            </w:tcMar>
            <w:shd w:fill="1F4E78"/>
          </w:tcPr>
          <w:p>
            <w:pPr>
              <w:spacing w:after="0" w:before="0"/>
            </w:pPr>
            <w:r>
              <w:rPr>
                <w:b/>
                <w:sz w:val="16"/>
                <w:color w:val="FFFFFF"/>
              </w:rPr>
              <w:t>Scheduled refresh</w:t>
            </w:r>
          </w:p>
        </w:tc>
        <w:tc>
          <w:tcPr>
            <w:tcW w:type="dxa" w:w="3456"/>
            <w:vAlign w:val="center"/>
            <w:tcMar>
              <w:top w:w="70" w:type="dxa"/>
              <w:start w:w="80" w:type="dxa"/>
              <w:bottom w:w="70" w:type="dxa"/>
              <w:end w:w="80" w:type="dxa"/>
            </w:tcMar>
            <w:shd w:fill="1F4E78"/>
          </w:tcPr>
          <w:p>
            <w:pPr>
              <w:spacing w:after="0" w:before="0"/>
            </w:pPr>
            <w:r>
              <w:rPr>
                <w:b/>
                <w:sz w:val="16"/>
                <w:color w:val="FFFFFF"/>
              </w:rPr>
              <w:t>Illustrative trigger events</w:t>
            </w:r>
          </w:p>
        </w:tc>
      </w:tr>
      <w:tr>
        <w:tc>
          <w:tcPr>
            <w:tcW w:type="dxa" w:w="3456"/>
            <w:vAlign w:val="center"/>
            <w:tcMar>
              <w:top w:w="70" w:type="dxa"/>
              <w:start w:w="80" w:type="dxa"/>
              <w:bottom w:w="70" w:type="dxa"/>
              <w:end w:w="80" w:type="dxa"/>
            </w:tcMar>
          </w:tcPr>
          <w:p>
            <w:pPr>
              <w:spacing w:after="0" w:before="0"/>
            </w:pPr>
            <w:r>
              <w:rPr>
                <w:sz w:val="16"/>
              </w:rPr>
              <w:t>High</w:t>
            </w:r>
          </w:p>
        </w:tc>
        <w:tc>
          <w:tcPr>
            <w:tcW w:type="dxa" w:w="3456"/>
            <w:vAlign w:val="center"/>
            <w:tcMar>
              <w:top w:w="70" w:type="dxa"/>
              <w:start w:w="80" w:type="dxa"/>
              <w:bottom w:w="70" w:type="dxa"/>
              <w:end w:w="80" w:type="dxa"/>
            </w:tcMar>
          </w:tcPr>
          <w:p>
            <w:pPr>
              <w:spacing w:after="0" w:before="0"/>
            </w:pPr>
            <w:r>
              <w:rPr>
                <w:sz w:val="16"/>
              </w:rPr>
              <w:t>12 months</w:t>
            </w:r>
          </w:p>
        </w:tc>
        <w:tc>
          <w:tcPr>
            <w:tcW w:type="dxa" w:w="3456"/>
            <w:vAlign w:val="center"/>
            <w:tcMar>
              <w:top w:w="70" w:type="dxa"/>
              <w:start w:w="80" w:type="dxa"/>
              <w:bottom w:w="70" w:type="dxa"/>
              <w:end w:w="80" w:type="dxa"/>
            </w:tcMar>
          </w:tcPr>
          <w:p>
            <w:pPr>
              <w:spacing w:after="0" w:before="0"/>
            </w:pPr>
            <w:r>
              <w:rPr>
                <w:sz w:val="16"/>
              </w:rPr>
              <w:t>PEP change; ownership change; unusual activity; material adverse information</w:t>
            </w:r>
          </w:p>
        </w:tc>
      </w:tr>
      <w:tr>
        <w:tc>
          <w:tcPr>
            <w:tcW w:type="dxa" w:w="3456"/>
            <w:vAlign w:val="center"/>
            <w:tcMar>
              <w:top w:w="70" w:type="dxa"/>
              <w:start w:w="80" w:type="dxa"/>
              <w:bottom w:w="70" w:type="dxa"/>
              <w:end w:w="80" w:type="dxa"/>
            </w:tcMar>
          </w:tcPr>
          <w:p>
            <w:pPr>
              <w:spacing w:after="0" w:before="0"/>
            </w:pPr>
            <w:r>
              <w:rPr>
                <w:sz w:val="16"/>
              </w:rPr>
              <w:t>Medium</w:t>
            </w:r>
          </w:p>
        </w:tc>
        <w:tc>
          <w:tcPr>
            <w:tcW w:type="dxa" w:w="3456"/>
            <w:vAlign w:val="center"/>
            <w:tcMar>
              <w:top w:w="70" w:type="dxa"/>
              <w:start w:w="80" w:type="dxa"/>
              <w:bottom w:w="70" w:type="dxa"/>
              <w:end w:w="80" w:type="dxa"/>
            </w:tcMar>
          </w:tcPr>
          <w:p>
            <w:pPr>
              <w:spacing w:after="0" w:before="0"/>
            </w:pPr>
            <w:r>
              <w:rPr>
                <w:sz w:val="16"/>
              </w:rPr>
              <w:t>36 months</w:t>
            </w:r>
          </w:p>
        </w:tc>
        <w:tc>
          <w:tcPr>
            <w:tcW w:type="dxa" w:w="3456"/>
            <w:vAlign w:val="center"/>
            <w:tcMar>
              <w:top w:w="70" w:type="dxa"/>
              <w:start w:w="80" w:type="dxa"/>
              <w:bottom w:w="70" w:type="dxa"/>
              <w:end w:w="80" w:type="dxa"/>
            </w:tcMar>
          </w:tcPr>
          <w:p>
            <w:pPr>
              <w:spacing w:after="0" w:before="0"/>
            </w:pPr>
            <w:r>
              <w:rPr>
                <w:sz w:val="16"/>
              </w:rPr>
              <w:t>Address change; significant product expansion; inconsistent customer data</w:t>
            </w:r>
          </w:p>
        </w:tc>
      </w:tr>
      <w:tr>
        <w:tc>
          <w:tcPr>
            <w:tcW w:type="dxa" w:w="3456"/>
            <w:vAlign w:val="center"/>
            <w:tcMar>
              <w:top w:w="70" w:type="dxa"/>
              <w:start w:w="80" w:type="dxa"/>
              <w:bottom w:w="70" w:type="dxa"/>
              <w:end w:w="80" w:type="dxa"/>
            </w:tcMar>
          </w:tcPr>
          <w:p>
            <w:pPr>
              <w:spacing w:after="0" w:before="0"/>
            </w:pPr>
            <w:r>
              <w:rPr>
                <w:sz w:val="16"/>
              </w:rPr>
              <w:t>Low</w:t>
            </w:r>
          </w:p>
        </w:tc>
        <w:tc>
          <w:tcPr>
            <w:tcW w:type="dxa" w:w="3456"/>
            <w:vAlign w:val="center"/>
            <w:tcMar>
              <w:top w:w="70" w:type="dxa"/>
              <w:start w:w="80" w:type="dxa"/>
              <w:bottom w:w="70" w:type="dxa"/>
              <w:end w:w="80" w:type="dxa"/>
            </w:tcMar>
          </w:tcPr>
          <w:p>
            <w:pPr>
              <w:spacing w:after="0" w:before="0"/>
            </w:pPr>
            <w:r>
              <w:rPr>
                <w:sz w:val="16"/>
              </w:rPr>
              <w:t>60 months</w:t>
            </w:r>
          </w:p>
        </w:tc>
        <w:tc>
          <w:tcPr>
            <w:tcW w:type="dxa" w:w="3456"/>
            <w:vAlign w:val="center"/>
            <w:tcMar>
              <w:top w:w="70" w:type="dxa"/>
              <w:start w:w="80" w:type="dxa"/>
              <w:bottom w:w="70" w:type="dxa"/>
              <w:end w:w="80" w:type="dxa"/>
            </w:tcMar>
          </w:tcPr>
          <w:p>
            <w:pPr>
              <w:spacing w:after="0" w:before="0"/>
            </w:pPr>
            <w:r>
              <w:rPr>
                <w:sz w:val="16"/>
              </w:rPr>
              <w:t>Identity data change; returned correspondence; dormant reactivation</w:t>
            </w:r>
          </w:p>
        </w:tc>
      </w:tr>
    </w:tbl>
    <w:p>
      <w:pPr>
        <w:spacing w:after="20"/>
      </w:pPr>
    </w:p>
    <w:p>
      <w:pPr>
        <w:pStyle w:val="Heading2"/>
      </w:pPr>
      <w:r>
        <w:t>Records and control evidence</w:t>
      </w:r>
    </w:p>
    <w:p>
      <w:pPr>
        <w:ind w:left="259" w:hanging="202"/>
      </w:pPr>
      <w:r>
        <w:rPr>
          <w:b/>
        </w:rPr>
        <w:t xml:space="preserve">• </w:t>
      </w:r>
      <w:r>
        <w:t>Review schedule, customer outreach, updated evidence, completed review record.</w:t>
      </w:r>
    </w:p>
    <w:p>
      <w:pPr>
        <w:pStyle w:val="Heading1"/>
      </w:pPr>
      <w:r>
        <w:t>16. Dormant Relationships and Restrictions</w:t>
      </w:r>
    </w:p>
    <w:p>
      <w:r>
        <w:t>Dormancy does not remove the obligation to maintain reliable customer information. Reactivation may require targeted or full refresh depending on elapsed time and risk.</w:t>
      </w:r>
    </w:p>
    <w:p>
      <w:r>
        <w:rPr>
          <w:b/>
        </w:rPr>
        <w:t>Control requirements</w:t>
      </w:r>
    </w:p>
    <w:p>
      <w:pPr>
        <w:ind w:left="259" w:hanging="202"/>
      </w:pPr>
      <w:r>
        <w:rPr>
          <w:b/>
        </w:rPr>
        <w:t xml:space="preserve">• </w:t>
      </w:r>
      <w:r>
        <w:t>High-risk dormant relationships require KYC review before reactivation where the last full review is older than 12 months.</w:t>
      </w:r>
    </w:p>
    <w:p>
      <w:pPr>
        <w:ind w:left="259" w:hanging="202"/>
      </w:pPr>
      <w:r>
        <w:rPr>
          <w:b/>
        </w:rPr>
        <w:t xml:space="preserve">• </w:t>
      </w:r>
      <w:r>
        <w:t>Medium and Low relationships may use a targeted refresh where core identity evidence remains reliable and no trigger is present.</w:t>
      </w:r>
    </w:p>
    <w:p>
      <w:pPr>
        <w:ind w:left="259" w:hanging="202"/>
      </w:pPr>
      <w:r>
        <w:rPr>
          <w:b/>
        </w:rPr>
        <w:t xml:space="preserve">• </w:t>
      </w:r>
      <w:r>
        <w:t>Restrictions must be system-recorded and may include no disbursement, no new product, or limited transactions.</w:t>
      </w:r>
    </w:p>
    <w:p>
      <w:pPr>
        <w:pStyle w:val="Heading2"/>
      </w:pPr>
      <w:r>
        <w:t>Records and control evidence</w:t>
      </w:r>
    </w:p>
    <w:p>
      <w:pPr>
        <w:ind w:left="259" w:hanging="202"/>
      </w:pPr>
      <w:r>
        <w:rPr>
          <w:b/>
        </w:rPr>
        <w:t xml:space="preserve">• </w:t>
      </w:r>
      <w:r>
        <w:t>Dormancy status, refresh decision, restriction record, reactivation approval.</w:t>
      </w:r>
    </w:p>
    <w:p>
      <w:pPr>
        <w:pStyle w:val="Heading1"/>
      </w:pPr>
      <w:r>
        <w:t>17. Documentation and Record Retention</w:t>
      </w:r>
    </w:p>
    <w:p>
      <w:r>
        <w:t>KYC records shall allow an independent reviewer to reconstruct what was known, what was checked, and why the relationship was approved, restricted or declined.</w:t>
      </w:r>
    </w:p>
    <w:p>
      <w:r>
        <w:rPr>
          <w:b/>
        </w:rPr>
        <w:t>Control requirements</w:t>
      </w:r>
    </w:p>
    <w:p>
      <w:pPr>
        <w:ind w:left="259" w:hanging="202"/>
      </w:pPr>
      <w:r>
        <w:rPr>
          <w:b/>
        </w:rPr>
        <w:t xml:space="preserve">• </w:t>
      </w:r>
      <w:r>
        <w:t>Operational notes shall identify sources used without unnecessarily reproducing sensitive identifiers.</w:t>
      </w:r>
    </w:p>
    <w:p>
      <w:pPr>
        <w:ind w:left="259" w:hanging="202"/>
      </w:pPr>
      <w:r>
        <w:rPr>
          <w:b/>
        </w:rPr>
        <w:t xml:space="preserve">• </w:t>
      </w:r>
      <w:r>
        <w:t>Evidence shall be retained according to the internal records schedule and access classification.</w:t>
      </w:r>
    </w:p>
    <w:p>
      <w:pPr>
        <w:ind w:left="259" w:hanging="202"/>
      </w:pPr>
      <w:r>
        <w:rPr>
          <w:b/>
        </w:rPr>
        <w:t xml:space="preserve">• </w:t>
      </w:r>
      <w:r>
        <w:t>Manual changes to critical identity fields require traceable user and timestamp information.</w:t>
      </w:r>
    </w:p>
    <w:p>
      <w:pPr>
        <w:ind w:left="259" w:hanging="202"/>
      </w:pPr>
      <w:r>
        <w:rPr>
          <w:b/>
        </w:rPr>
        <w:t xml:space="preserve">• </w:t>
      </w:r>
      <w:r>
        <w:t>Customer records must not contain invented explanatory text used to force a match or verification outcome.</w:t>
      </w:r>
    </w:p>
    <w:p>
      <w:pPr>
        <w:pStyle w:val="Heading2"/>
      </w:pPr>
      <w:r>
        <w:t>Records and control evidence</w:t>
      </w:r>
    </w:p>
    <w:p>
      <w:pPr>
        <w:ind w:left="259" w:hanging="202"/>
      </w:pPr>
      <w:r>
        <w:rPr>
          <w:b/>
        </w:rPr>
        <w:t xml:space="preserve">• </w:t>
      </w:r>
      <w:r>
        <w:t>Customer file, audit trail, retention tag, access history where required.</w:t>
      </w:r>
    </w:p>
    <w:p>
      <w:pPr>
        <w:pStyle w:val="Heading1"/>
      </w:pPr>
      <w:r>
        <w:t>18. Quality Assurance, Monitoring and Breaches</w:t>
      </w:r>
    </w:p>
    <w:p>
      <w:r>
        <w:t>KYC Operations shall perform sample-based quality assurance and thematic reviews. Compliance may independently test adherence and direct remediation.</w:t>
      </w:r>
    </w:p>
    <w:p>
      <w:r>
        <w:rPr>
          <w:b/>
        </w:rPr>
        <w:t>Control requirements</w:t>
      </w:r>
    </w:p>
    <w:p>
      <w:pPr>
        <w:ind w:left="259" w:hanging="202"/>
      </w:pPr>
      <w:r>
        <w:rPr>
          <w:b/>
        </w:rPr>
        <w:t xml:space="preserve">• </w:t>
      </w:r>
      <w:r>
        <w:t>Critical defects include onboarding with unresolved identity, ownership or sanctions issues.</w:t>
      </w:r>
    </w:p>
    <w:p>
      <w:pPr>
        <w:ind w:left="259" w:hanging="202"/>
      </w:pPr>
      <w:r>
        <w:rPr>
          <w:b/>
        </w:rPr>
        <w:t xml:space="preserve">• </w:t>
      </w:r>
      <w:r>
        <w:t>Material defects require case remediation and root-cause assessment.</w:t>
      </w:r>
    </w:p>
    <w:p>
      <w:pPr>
        <w:ind w:left="259" w:hanging="202"/>
      </w:pPr>
      <w:r>
        <w:rPr>
          <w:b/>
        </w:rPr>
        <w:t xml:space="preserve">• </w:t>
      </w:r>
      <w:r>
        <w:t>Repeated minor defects may be aggregated into a material control issue.</w:t>
      </w:r>
    </w:p>
    <w:p>
      <w:pPr>
        <w:ind w:left="259" w:hanging="202"/>
      </w:pPr>
      <w:r>
        <w:rPr>
          <w:b/>
        </w:rPr>
        <w:t xml:space="preserve">• </w:t>
      </w:r>
      <w:r>
        <w:t>Policy breaches shall be logged and escalated under the Compliance Breach Procedure when applicable.</w:t>
      </w:r>
    </w:p>
    <w:p>
      <w:pPr>
        <w:pStyle w:val="Heading2"/>
      </w:pPr>
      <w:r>
        <w:t>Records and control evidence</w:t>
      </w:r>
    </w:p>
    <w:p>
      <w:pPr>
        <w:ind w:left="259" w:hanging="202"/>
      </w:pPr>
      <w:r>
        <w:rPr>
          <w:b/>
        </w:rPr>
        <w:t xml:space="preserve">• </w:t>
      </w:r>
      <w:r>
        <w:t>QA sample results, defect register, remediation plan, compliance testing.</w:t>
      </w:r>
    </w:p>
    <w:p>
      <w:pPr>
        <w:pStyle w:val="Heading1"/>
      </w:pPr>
      <w:r>
        <w:t>19. Effective Dates and Transitional Provisions</w:t>
      </w:r>
    </w:p>
    <w:p>
      <w:r>
        <w:t>Version 2.1 applies to applications created on or after 1 July 2025. In-flight cases created before that date may continue under v2.0 for up to 30 calendar days unless a PEP, sanctions, fraud or material identity trigger occurs.</w:t>
      </w:r>
    </w:p>
    <w:p>
      <w:r>
        <w:rPr>
          <w:b/>
        </w:rPr>
        <w:t>Control requirements</w:t>
      </w:r>
    </w:p>
    <w:p>
      <w:pPr>
        <w:ind w:left="259" w:hanging="202"/>
      </w:pPr>
      <w:r>
        <w:rPr>
          <w:b/>
        </w:rPr>
        <w:t xml:space="preserve">• </w:t>
      </w:r>
      <w:r>
        <w:t>Cases not completed by 31 July 2025 shall be converted to v2.1 controls.</w:t>
      </w:r>
    </w:p>
    <w:p>
      <w:pPr>
        <w:ind w:left="259" w:hanging="202"/>
      </w:pPr>
      <w:r>
        <w:rPr>
          <w:b/>
        </w:rPr>
        <w:t xml:space="preserve">• </w:t>
      </w:r>
      <w:r>
        <w:t>Periodic-review cycles assigned before the effective date need not be shortened immediately unless the customer is High Risk or a trigger event occurs.</w:t>
      </w:r>
    </w:p>
    <w:p>
      <w:pPr>
        <w:ind w:left="259" w:hanging="202"/>
      </w:pPr>
      <w:r>
        <w:rPr>
          <w:b/>
        </w:rPr>
        <w:t xml:space="preserve">• </w:t>
      </w:r>
      <w:r>
        <w:t>COP-021 v1.2 may retain certain documentary references from the 2024 control design for transition cases; stricter v2.1 requirements prevail for new cases.</w:t>
      </w:r>
    </w:p>
    <w:p>
      <w:pPr>
        <w:pStyle w:val="Heading2"/>
      </w:pPr>
      <w:r>
        <w:t>Records and control evidence</w:t>
      </w:r>
    </w:p>
    <w:p>
      <w:pPr>
        <w:ind w:left="259" w:hanging="202"/>
      </w:pPr>
      <w:r>
        <w:rPr>
          <w:b/>
        </w:rPr>
        <w:t xml:space="preserve">• </w:t>
      </w:r>
      <w:r>
        <w:t>Effective-date record, transition population, converted-case log.</w:t>
      </w:r>
    </w:p>
    <w:p>
      <w:r>
        <w:br w:type="page"/>
      </w:r>
    </w:p>
    <w:p>
      <w:pPr>
        <w:pStyle w:val="Heading1"/>
      </w:pPr>
      <w:r>
        <w:t>Appendix A. KYC Risk Classification Matrix</w:t>
      </w:r>
    </w:p>
    <w:p>
      <w:r>
        <w:t>The following matrix is used for operational risk triage and does not replace AML customer risk scoring.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70" w:type="dxa"/>
              <w:start w:w="80" w:type="dxa"/>
              <w:bottom w:w="70" w:type="dxa"/>
              <w:end w:w="80" w:type="dxa"/>
            </w:tcMar>
            <w:shd w:fill="1F4E78"/>
          </w:tcPr>
          <w:p>
            <w:pPr>
              <w:spacing w:after="0" w:before="0"/>
            </w:pPr>
            <w:r>
              <w:rPr>
                <w:b/>
                <w:sz w:val="16"/>
                <w:color w:val="FFFFFF"/>
              </w:rPr>
              <w:t>Risk tier</w:t>
            </w:r>
          </w:p>
        </w:tc>
        <w:tc>
          <w:tcPr>
            <w:tcW w:type="dxa" w:w="2592"/>
            <w:vAlign w:val="center"/>
            <w:tcMar>
              <w:top w:w="70" w:type="dxa"/>
              <w:start w:w="80" w:type="dxa"/>
              <w:bottom w:w="70" w:type="dxa"/>
              <w:end w:w="80" w:type="dxa"/>
            </w:tcMar>
            <w:shd w:fill="1F4E78"/>
          </w:tcPr>
          <w:p>
            <w:pPr>
              <w:spacing w:after="0" w:before="0"/>
            </w:pPr>
            <w:r>
              <w:rPr>
                <w:b/>
                <w:sz w:val="16"/>
                <w:color w:val="FFFFFF"/>
              </w:rPr>
              <w:t>Typical profile</w:t>
            </w:r>
          </w:p>
        </w:tc>
        <w:tc>
          <w:tcPr>
            <w:tcW w:type="dxa" w:w="2592"/>
            <w:vAlign w:val="center"/>
            <w:tcMar>
              <w:top w:w="70" w:type="dxa"/>
              <w:start w:w="80" w:type="dxa"/>
              <w:bottom w:w="70" w:type="dxa"/>
              <w:end w:w="80" w:type="dxa"/>
            </w:tcMar>
            <w:shd w:fill="1F4E78"/>
          </w:tcPr>
          <w:p>
            <w:pPr>
              <w:spacing w:after="0" w:before="0"/>
            </w:pPr>
            <w:r>
              <w:rPr>
                <w:b/>
                <w:sz w:val="16"/>
                <w:color w:val="FFFFFF"/>
              </w:rPr>
              <w:t>Minimum approval</w:t>
            </w:r>
          </w:p>
        </w:tc>
        <w:tc>
          <w:tcPr>
            <w:tcW w:type="dxa" w:w="2592"/>
            <w:vAlign w:val="center"/>
            <w:tcMar>
              <w:top w:w="70" w:type="dxa"/>
              <w:start w:w="80" w:type="dxa"/>
              <w:bottom w:w="70" w:type="dxa"/>
              <w:end w:w="80" w:type="dxa"/>
            </w:tcMar>
            <w:shd w:fill="1F4E78"/>
          </w:tcPr>
          <w:p>
            <w:pPr>
              <w:spacing w:after="0" w:before="0"/>
            </w:pPr>
            <w:r>
              <w:rPr>
                <w:b/>
                <w:sz w:val="16"/>
                <w:color w:val="FFFFFF"/>
              </w:rPr>
              <w:t>Refresh</w:t>
            </w:r>
          </w:p>
        </w:tc>
      </w:tr>
      <w:tr>
        <w:tc>
          <w:tcPr>
            <w:tcW w:type="dxa" w:w="2592"/>
            <w:vAlign w:val="center"/>
            <w:tcMar>
              <w:top w:w="70" w:type="dxa"/>
              <w:start w:w="80" w:type="dxa"/>
              <w:bottom w:w="70" w:type="dxa"/>
              <w:end w:w="80" w:type="dxa"/>
            </w:tcMar>
          </w:tcPr>
          <w:p>
            <w:pPr>
              <w:spacing w:after="0" w:before="0"/>
            </w:pPr>
            <w:r>
              <w:rPr>
                <w:sz w:val="16"/>
              </w:rPr>
              <w:t>Low</w:t>
            </w:r>
          </w:p>
        </w:tc>
        <w:tc>
          <w:tcPr>
            <w:tcW w:type="dxa" w:w="2592"/>
            <w:vAlign w:val="center"/>
            <w:tcMar>
              <w:top w:w="70" w:type="dxa"/>
              <w:start w:w="80" w:type="dxa"/>
              <w:bottom w:w="70" w:type="dxa"/>
              <w:end w:w="80" w:type="dxa"/>
            </w:tcMar>
          </w:tcPr>
          <w:p>
            <w:pPr>
              <w:spacing w:after="0" w:before="0"/>
            </w:pPr>
            <w:r>
              <w:rPr>
                <w:sz w:val="16"/>
              </w:rPr>
              <w:t>Simple individual; standard channel; no screening concerns</w:t>
            </w:r>
          </w:p>
        </w:tc>
        <w:tc>
          <w:tcPr>
            <w:tcW w:type="dxa" w:w="2592"/>
            <w:vAlign w:val="center"/>
            <w:tcMar>
              <w:top w:w="70" w:type="dxa"/>
              <w:start w:w="80" w:type="dxa"/>
              <w:bottom w:w="70" w:type="dxa"/>
              <w:end w:w="80" w:type="dxa"/>
            </w:tcMar>
          </w:tcPr>
          <w:p>
            <w:pPr>
              <w:spacing w:after="0" w:before="0"/>
            </w:pPr>
            <w:r>
              <w:rPr>
                <w:sz w:val="16"/>
              </w:rPr>
              <w:t>Maker</w:t>
            </w:r>
          </w:p>
        </w:tc>
        <w:tc>
          <w:tcPr>
            <w:tcW w:type="dxa" w:w="2592"/>
            <w:vAlign w:val="center"/>
            <w:tcMar>
              <w:top w:w="70" w:type="dxa"/>
              <w:start w:w="80" w:type="dxa"/>
              <w:bottom w:w="70" w:type="dxa"/>
              <w:end w:w="80" w:type="dxa"/>
            </w:tcMar>
          </w:tcPr>
          <w:p>
            <w:pPr>
              <w:spacing w:after="0" w:before="0"/>
            </w:pPr>
            <w:r>
              <w:rPr>
                <w:sz w:val="16"/>
              </w:rPr>
              <w:t>60 months</w:t>
            </w:r>
          </w:p>
        </w:tc>
      </w:tr>
      <w:tr>
        <w:tc>
          <w:tcPr>
            <w:tcW w:type="dxa" w:w="2592"/>
            <w:vAlign w:val="center"/>
            <w:tcMar>
              <w:top w:w="70" w:type="dxa"/>
              <w:start w:w="80" w:type="dxa"/>
              <w:bottom w:w="70" w:type="dxa"/>
              <w:end w:w="80" w:type="dxa"/>
            </w:tcMar>
          </w:tcPr>
          <w:p>
            <w:pPr>
              <w:spacing w:after="0" w:before="0"/>
            </w:pPr>
            <w:r>
              <w:rPr>
                <w:sz w:val="16"/>
              </w:rPr>
              <w:t>Medium</w:t>
            </w:r>
          </w:p>
        </w:tc>
        <w:tc>
          <w:tcPr>
            <w:tcW w:type="dxa" w:w="2592"/>
            <w:vAlign w:val="center"/>
            <w:tcMar>
              <w:top w:w="70" w:type="dxa"/>
              <w:start w:w="80" w:type="dxa"/>
              <w:bottom w:w="70" w:type="dxa"/>
              <w:end w:w="80" w:type="dxa"/>
            </w:tcMar>
          </w:tcPr>
          <w:p>
            <w:pPr>
              <w:spacing w:after="0" w:before="0"/>
            </w:pPr>
            <w:r>
              <w:rPr>
                <w:sz w:val="16"/>
              </w:rPr>
              <w:t>Additional complexity or non-face-to-face indicators</w:t>
            </w:r>
          </w:p>
        </w:tc>
        <w:tc>
          <w:tcPr>
            <w:tcW w:type="dxa" w:w="2592"/>
            <w:vAlign w:val="center"/>
            <w:tcMar>
              <w:top w:w="70" w:type="dxa"/>
              <w:start w:w="80" w:type="dxa"/>
              <w:bottom w:w="70" w:type="dxa"/>
              <w:end w:w="80" w:type="dxa"/>
            </w:tcMar>
          </w:tcPr>
          <w:p>
            <w:pPr>
              <w:spacing w:after="0" w:before="0"/>
            </w:pPr>
            <w:r>
              <w:rPr>
                <w:sz w:val="16"/>
              </w:rPr>
              <w:t>Maker + rule-based checker where triggered</w:t>
            </w:r>
          </w:p>
        </w:tc>
        <w:tc>
          <w:tcPr>
            <w:tcW w:type="dxa" w:w="2592"/>
            <w:vAlign w:val="center"/>
            <w:tcMar>
              <w:top w:w="70" w:type="dxa"/>
              <w:start w:w="80" w:type="dxa"/>
              <w:bottom w:w="70" w:type="dxa"/>
              <w:end w:w="80" w:type="dxa"/>
            </w:tcMar>
          </w:tcPr>
          <w:p>
            <w:pPr>
              <w:spacing w:after="0" w:before="0"/>
            </w:pPr>
            <w:r>
              <w:rPr>
                <w:sz w:val="16"/>
              </w:rPr>
              <w:t>36 months</w:t>
            </w:r>
          </w:p>
        </w:tc>
      </w:tr>
      <w:tr>
        <w:tc>
          <w:tcPr>
            <w:tcW w:type="dxa" w:w="2592"/>
            <w:vAlign w:val="center"/>
            <w:tcMar>
              <w:top w:w="70" w:type="dxa"/>
              <w:start w:w="80" w:type="dxa"/>
              <w:bottom w:w="70" w:type="dxa"/>
              <w:end w:w="80" w:type="dxa"/>
            </w:tcMar>
          </w:tcPr>
          <w:p>
            <w:pPr>
              <w:spacing w:after="0" w:before="0"/>
            </w:pPr>
            <w:r>
              <w:rPr>
                <w:sz w:val="16"/>
              </w:rPr>
              <w:t>High</w:t>
            </w:r>
          </w:p>
        </w:tc>
        <w:tc>
          <w:tcPr>
            <w:tcW w:type="dxa" w:w="2592"/>
            <w:vAlign w:val="center"/>
            <w:tcMar>
              <w:top w:w="70" w:type="dxa"/>
              <w:start w:w="80" w:type="dxa"/>
              <w:bottom w:w="70" w:type="dxa"/>
              <w:end w:w="80" w:type="dxa"/>
            </w:tcMar>
          </w:tcPr>
          <w:p>
            <w:pPr>
              <w:spacing w:after="0" w:before="0"/>
            </w:pPr>
            <w:r>
              <w:rPr>
                <w:sz w:val="16"/>
              </w:rPr>
              <w:t>PEP, complex ownership, higher-risk geography or serious discrepancies</w:t>
            </w:r>
          </w:p>
        </w:tc>
        <w:tc>
          <w:tcPr>
            <w:tcW w:type="dxa" w:w="2592"/>
            <w:vAlign w:val="center"/>
            <w:tcMar>
              <w:top w:w="70" w:type="dxa"/>
              <w:start w:w="80" w:type="dxa"/>
              <w:bottom w:w="70" w:type="dxa"/>
              <w:end w:w="80" w:type="dxa"/>
            </w:tcMar>
          </w:tcPr>
          <w:p>
            <w:pPr>
              <w:spacing w:after="0" w:before="0"/>
            </w:pPr>
            <w:r>
              <w:rPr>
                <w:sz w:val="16"/>
              </w:rPr>
              <w:t>Maker + KYC Checker + AML review where applicable</w:t>
            </w:r>
          </w:p>
        </w:tc>
        <w:tc>
          <w:tcPr>
            <w:tcW w:type="dxa" w:w="2592"/>
            <w:vAlign w:val="center"/>
            <w:tcMar>
              <w:top w:w="70" w:type="dxa"/>
              <w:start w:w="80" w:type="dxa"/>
              <w:bottom w:w="70" w:type="dxa"/>
              <w:end w:w="80" w:type="dxa"/>
            </w:tcMar>
          </w:tcPr>
          <w:p>
            <w:pPr>
              <w:spacing w:after="0" w:before="0"/>
            </w:pPr>
            <w:r>
              <w:rPr>
                <w:sz w:val="16"/>
              </w:rPr>
              <w:t>12 months</w:t>
            </w:r>
          </w:p>
        </w:tc>
      </w:tr>
    </w:tbl>
    <w:p>
      <w:pPr>
        <w:spacing w:after="20"/>
      </w:pPr>
    </w:p>
    <w:p>
      <w:r>
        <w:br w:type="page"/>
      </w:r>
    </w:p>
    <w:p>
      <w:pPr>
        <w:pStyle w:val="Heading1"/>
      </w:pPr>
      <w:r>
        <w:t>Appendix B. Illustrative Documentary Evidence Matrix</w:t>
      </w:r>
    </w:p>
    <w:p>
      <w:r>
        <w:t>Evidence remains subject to channel-specific procedures and source reliability.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Customer type</w:t>
            </w:r>
          </w:p>
        </w:tc>
        <w:tc>
          <w:tcPr>
            <w:tcW w:type="dxa" w:w="3456"/>
            <w:vAlign w:val="center"/>
            <w:tcMar>
              <w:top w:w="70" w:type="dxa"/>
              <w:start w:w="80" w:type="dxa"/>
              <w:bottom w:w="70" w:type="dxa"/>
              <w:end w:w="80" w:type="dxa"/>
            </w:tcMar>
            <w:shd w:fill="1F4E78"/>
          </w:tcPr>
          <w:p>
            <w:pPr>
              <w:spacing w:after="0" w:before="0"/>
            </w:pPr>
            <w:r>
              <w:rPr>
                <w:b/>
                <w:sz w:val="16"/>
                <w:color w:val="FFFFFF"/>
              </w:rPr>
              <w:t>Core evidence</w:t>
            </w:r>
          </w:p>
        </w:tc>
        <w:tc>
          <w:tcPr>
            <w:tcW w:type="dxa" w:w="3456"/>
            <w:vAlign w:val="center"/>
            <w:tcMar>
              <w:top w:w="70" w:type="dxa"/>
              <w:start w:w="80" w:type="dxa"/>
              <w:bottom w:w="70" w:type="dxa"/>
              <w:end w:w="80" w:type="dxa"/>
            </w:tcMar>
            <w:shd w:fill="1F4E78"/>
          </w:tcPr>
          <w:p>
            <w:pPr>
              <w:spacing w:after="0" w:before="0"/>
            </w:pPr>
            <w:r>
              <w:rPr>
                <w:b/>
                <w:sz w:val="16"/>
                <w:color w:val="FFFFFF"/>
              </w:rPr>
              <w:t>Additional evidence where triggered</w:t>
            </w:r>
          </w:p>
        </w:tc>
      </w:tr>
      <w:tr>
        <w:tc>
          <w:tcPr>
            <w:tcW w:type="dxa" w:w="3456"/>
            <w:vAlign w:val="center"/>
            <w:tcMar>
              <w:top w:w="70" w:type="dxa"/>
              <w:start w:w="80" w:type="dxa"/>
              <w:bottom w:w="70" w:type="dxa"/>
              <w:end w:w="80" w:type="dxa"/>
            </w:tcMar>
          </w:tcPr>
          <w:p>
            <w:pPr>
              <w:spacing w:after="0" w:before="0"/>
            </w:pPr>
            <w:r>
              <w:rPr>
                <w:sz w:val="16"/>
              </w:rPr>
              <w:t>Individual</w:t>
            </w:r>
          </w:p>
        </w:tc>
        <w:tc>
          <w:tcPr>
            <w:tcW w:type="dxa" w:w="3456"/>
            <w:vAlign w:val="center"/>
            <w:tcMar>
              <w:top w:w="70" w:type="dxa"/>
              <w:start w:w="80" w:type="dxa"/>
              <w:bottom w:w="70" w:type="dxa"/>
              <w:end w:w="80" w:type="dxa"/>
            </w:tcMar>
          </w:tcPr>
          <w:p>
            <w:pPr>
              <w:spacing w:after="0" w:before="0"/>
            </w:pPr>
            <w:r>
              <w:rPr>
                <w:sz w:val="16"/>
              </w:rPr>
              <w:t>Identity + address + PAN/approved identifier</w:t>
            </w:r>
          </w:p>
        </w:tc>
        <w:tc>
          <w:tcPr>
            <w:tcW w:type="dxa" w:w="3456"/>
            <w:vAlign w:val="center"/>
            <w:tcMar>
              <w:top w:w="70" w:type="dxa"/>
              <w:start w:w="80" w:type="dxa"/>
              <w:bottom w:w="70" w:type="dxa"/>
              <w:end w:w="80" w:type="dxa"/>
            </w:tcMar>
          </w:tcPr>
          <w:p>
            <w:pPr>
              <w:spacing w:after="0" w:before="0"/>
            </w:pPr>
            <w:r>
              <w:rPr>
                <w:sz w:val="16"/>
              </w:rPr>
              <w:t>Income/source evidence; enhanced address confirmation</w:t>
            </w:r>
          </w:p>
        </w:tc>
      </w:tr>
      <w:tr>
        <w:tc>
          <w:tcPr>
            <w:tcW w:type="dxa" w:w="3456"/>
            <w:vAlign w:val="center"/>
            <w:tcMar>
              <w:top w:w="70" w:type="dxa"/>
              <w:start w:w="80" w:type="dxa"/>
              <w:bottom w:w="70" w:type="dxa"/>
              <w:end w:w="80" w:type="dxa"/>
            </w:tcMar>
          </w:tcPr>
          <w:p>
            <w:pPr>
              <w:spacing w:after="0" w:before="0"/>
            </w:pPr>
            <w:r>
              <w:rPr>
                <w:sz w:val="16"/>
              </w:rPr>
              <w:t>Company</w:t>
            </w:r>
          </w:p>
        </w:tc>
        <w:tc>
          <w:tcPr>
            <w:tcW w:type="dxa" w:w="3456"/>
            <w:vAlign w:val="center"/>
            <w:tcMar>
              <w:top w:w="70" w:type="dxa"/>
              <w:start w:w="80" w:type="dxa"/>
              <w:bottom w:w="70" w:type="dxa"/>
              <w:end w:w="80" w:type="dxa"/>
            </w:tcMar>
          </w:tcPr>
          <w:p>
            <w:pPr>
              <w:spacing w:after="0" w:before="0"/>
            </w:pPr>
            <w:r>
              <w:rPr>
                <w:sz w:val="16"/>
              </w:rPr>
              <w:t>Registration + constitutional evidence + authorized signatory</w:t>
            </w:r>
          </w:p>
        </w:tc>
        <w:tc>
          <w:tcPr>
            <w:tcW w:type="dxa" w:w="3456"/>
            <w:vAlign w:val="center"/>
            <w:tcMar>
              <w:top w:w="70" w:type="dxa"/>
              <w:start w:w="80" w:type="dxa"/>
              <w:bottom w:w="70" w:type="dxa"/>
              <w:end w:w="80" w:type="dxa"/>
            </w:tcMar>
          </w:tcPr>
          <w:p>
            <w:pPr>
              <w:spacing w:after="0" w:before="0"/>
            </w:pPr>
            <w:r>
              <w:rPr>
                <w:sz w:val="16"/>
              </w:rPr>
              <w:t>Ownership chart; operating address; source of funds</w:t>
            </w:r>
          </w:p>
        </w:tc>
      </w:tr>
      <w:tr>
        <w:tc>
          <w:tcPr>
            <w:tcW w:type="dxa" w:w="3456"/>
            <w:vAlign w:val="center"/>
            <w:tcMar>
              <w:top w:w="70" w:type="dxa"/>
              <w:start w:w="80" w:type="dxa"/>
              <w:bottom w:w="70" w:type="dxa"/>
              <w:end w:w="80" w:type="dxa"/>
            </w:tcMar>
          </w:tcPr>
          <w:p>
            <w:pPr>
              <w:spacing w:after="0" w:before="0"/>
            </w:pPr>
            <w:r>
              <w:rPr>
                <w:sz w:val="16"/>
              </w:rPr>
              <w:t>Partnership</w:t>
            </w:r>
          </w:p>
        </w:tc>
        <w:tc>
          <w:tcPr>
            <w:tcW w:type="dxa" w:w="3456"/>
            <w:vAlign w:val="center"/>
            <w:tcMar>
              <w:top w:w="70" w:type="dxa"/>
              <w:start w:w="80" w:type="dxa"/>
              <w:bottom w:w="70" w:type="dxa"/>
              <w:end w:w="80" w:type="dxa"/>
            </w:tcMar>
          </w:tcPr>
          <w:p>
            <w:pPr>
              <w:spacing w:after="0" w:before="0"/>
            </w:pPr>
            <w:r>
              <w:rPr>
                <w:sz w:val="16"/>
              </w:rPr>
              <w:t>Registration/constitution + partners + authority</w:t>
            </w:r>
          </w:p>
        </w:tc>
        <w:tc>
          <w:tcPr>
            <w:tcW w:type="dxa" w:w="3456"/>
            <w:vAlign w:val="center"/>
            <w:tcMar>
              <w:top w:w="70" w:type="dxa"/>
              <w:start w:w="80" w:type="dxa"/>
              <w:bottom w:w="70" w:type="dxa"/>
              <w:end w:w="80" w:type="dxa"/>
            </w:tcMar>
          </w:tcPr>
          <w:p>
            <w:pPr>
              <w:spacing w:after="0" w:before="0"/>
            </w:pPr>
            <w:r>
              <w:rPr>
                <w:sz w:val="16"/>
              </w:rPr>
              <w:t>Partner verification; business profile</w:t>
            </w:r>
          </w:p>
        </w:tc>
      </w:tr>
      <w:tr>
        <w:tc>
          <w:tcPr>
            <w:tcW w:type="dxa" w:w="3456"/>
            <w:vAlign w:val="center"/>
            <w:tcMar>
              <w:top w:w="70" w:type="dxa"/>
              <w:start w:w="80" w:type="dxa"/>
              <w:bottom w:w="70" w:type="dxa"/>
              <w:end w:w="80" w:type="dxa"/>
            </w:tcMar>
          </w:tcPr>
          <w:p>
            <w:pPr>
              <w:spacing w:after="0" w:before="0"/>
            </w:pPr>
            <w:r>
              <w:rPr>
                <w:sz w:val="16"/>
              </w:rPr>
              <w:t>Trust</w:t>
            </w:r>
          </w:p>
        </w:tc>
        <w:tc>
          <w:tcPr>
            <w:tcW w:type="dxa" w:w="3456"/>
            <w:vAlign w:val="center"/>
            <w:tcMar>
              <w:top w:w="70" w:type="dxa"/>
              <w:start w:w="80" w:type="dxa"/>
              <w:bottom w:w="70" w:type="dxa"/>
              <w:end w:w="80" w:type="dxa"/>
            </w:tcMar>
          </w:tcPr>
          <w:p>
            <w:pPr>
              <w:spacing w:after="0" w:before="0"/>
            </w:pPr>
            <w:r>
              <w:rPr>
                <w:sz w:val="16"/>
              </w:rPr>
              <w:t>Trust deed/constitution + trustees/control persons</w:t>
            </w:r>
          </w:p>
        </w:tc>
        <w:tc>
          <w:tcPr>
            <w:tcW w:type="dxa" w:w="3456"/>
            <w:vAlign w:val="center"/>
            <w:tcMar>
              <w:top w:w="70" w:type="dxa"/>
              <w:start w:w="80" w:type="dxa"/>
              <w:bottom w:w="70" w:type="dxa"/>
              <w:end w:w="80" w:type="dxa"/>
            </w:tcMar>
          </w:tcPr>
          <w:p>
            <w:pPr>
              <w:spacing w:after="0" w:before="0"/>
            </w:pPr>
            <w:r>
              <w:rPr>
                <w:sz w:val="16"/>
              </w:rPr>
              <w:t>Settlor/protector/beneficiary details</w:t>
            </w:r>
          </w:p>
        </w:tc>
      </w:tr>
    </w:tbl>
    <w:p>
      <w:pPr>
        <w:spacing w:after="20"/>
      </w:pPr>
    </w:p>
    <w:p>
      <w:r>
        <w:br w:type="page"/>
      </w:r>
    </w:p>
    <w:p>
      <w:pPr>
        <w:pStyle w:val="Heading1"/>
      </w:pPr>
      <w:r>
        <w:t>Appendix C. Periodic Refresh Schedule</w:t>
      </w:r>
    </w:p>
    <w:p>
      <w:r>
        <w:t>Scheduled refresh is complemented by event-driven review.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70" w:type="dxa"/>
              <w:start w:w="80" w:type="dxa"/>
              <w:bottom w:w="70" w:type="dxa"/>
              <w:end w:w="80" w:type="dxa"/>
            </w:tcMar>
            <w:shd w:fill="1F4E78"/>
          </w:tcPr>
          <w:p>
            <w:pPr>
              <w:spacing w:after="0" w:before="0"/>
            </w:pPr>
            <w:r>
              <w:rPr>
                <w:b/>
                <w:sz w:val="16"/>
                <w:color w:val="FFFFFF"/>
              </w:rPr>
              <w:t>Tier</w:t>
            </w:r>
          </w:p>
        </w:tc>
        <w:tc>
          <w:tcPr>
            <w:tcW w:type="dxa" w:w="2592"/>
            <w:vAlign w:val="center"/>
            <w:tcMar>
              <w:top w:w="70" w:type="dxa"/>
              <w:start w:w="80" w:type="dxa"/>
              <w:bottom w:w="70" w:type="dxa"/>
              <w:end w:w="80" w:type="dxa"/>
            </w:tcMar>
            <w:shd w:fill="1F4E78"/>
          </w:tcPr>
          <w:p>
            <w:pPr>
              <w:spacing w:after="0" w:before="0"/>
            </w:pPr>
            <w:r>
              <w:rPr>
                <w:b/>
                <w:sz w:val="16"/>
                <w:color w:val="FFFFFF"/>
              </w:rPr>
              <w:t>Cycle</w:t>
            </w:r>
          </w:p>
        </w:tc>
        <w:tc>
          <w:tcPr>
            <w:tcW w:type="dxa" w:w="2592"/>
            <w:vAlign w:val="center"/>
            <w:tcMar>
              <w:top w:w="70" w:type="dxa"/>
              <w:start w:w="80" w:type="dxa"/>
              <w:bottom w:w="70" w:type="dxa"/>
              <w:end w:w="80" w:type="dxa"/>
            </w:tcMar>
            <w:shd w:fill="1F4E78"/>
          </w:tcPr>
          <w:p>
            <w:pPr>
              <w:spacing w:after="0" w:before="0"/>
            </w:pPr>
            <w:r>
              <w:rPr>
                <w:b/>
                <w:sz w:val="16"/>
                <w:color w:val="FFFFFF"/>
              </w:rPr>
              <w:t>Responsible unit</w:t>
            </w:r>
          </w:p>
        </w:tc>
        <w:tc>
          <w:tcPr>
            <w:tcW w:type="dxa" w:w="2592"/>
            <w:vAlign w:val="center"/>
            <w:tcMar>
              <w:top w:w="70" w:type="dxa"/>
              <w:start w:w="80" w:type="dxa"/>
              <w:bottom w:w="70" w:type="dxa"/>
              <w:end w:w="80" w:type="dxa"/>
            </w:tcMar>
            <w:shd w:fill="1F4E78"/>
          </w:tcPr>
          <w:p>
            <w:pPr>
              <w:spacing w:after="0" w:before="0"/>
            </w:pPr>
            <w:r>
              <w:rPr>
                <w:b/>
                <w:sz w:val="16"/>
                <w:color w:val="FFFFFF"/>
              </w:rPr>
              <w:t>Escalation if overdue</w:t>
            </w:r>
          </w:p>
        </w:tc>
      </w:tr>
      <w:tr>
        <w:tc>
          <w:tcPr>
            <w:tcW w:type="dxa" w:w="2592"/>
            <w:vAlign w:val="center"/>
            <w:tcMar>
              <w:top w:w="70" w:type="dxa"/>
              <w:start w:w="80" w:type="dxa"/>
              <w:bottom w:w="70" w:type="dxa"/>
              <w:end w:w="80" w:type="dxa"/>
            </w:tcMar>
          </w:tcPr>
          <w:p>
            <w:pPr>
              <w:spacing w:after="0" w:before="0"/>
            </w:pPr>
            <w:r>
              <w:rPr>
                <w:sz w:val="16"/>
              </w:rPr>
              <w:t>High</w:t>
            </w:r>
          </w:p>
        </w:tc>
        <w:tc>
          <w:tcPr>
            <w:tcW w:type="dxa" w:w="2592"/>
            <w:vAlign w:val="center"/>
            <w:tcMar>
              <w:top w:w="70" w:type="dxa"/>
              <w:start w:w="80" w:type="dxa"/>
              <w:bottom w:w="70" w:type="dxa"/>
              <w:end w:w="80" w:type="dxa"/>
            </w:tcMar>
          </w:tcPr>
          <w:p>
            <w:pPr>
              <w:spacing w:after="0" w:before="0"/>
            </w:pPr>
            <w:r>
              <w:rPr>
                <w:sz w:val="16"/>
              </w:rPr>
              <w:t>12 months</w:t>
            </w:r>
          </w:p>
        </w:tc>
        <w:tc>
          <w:tcPr>
            <w:tcW w:type="dxa" w:w="2592"/>
            <w:vAlign w:val="center"/>
            <w:tcMar>
              <w:top w:w="70" w:type="dxa"/>
              <w:start w:w="80" w:type="dxa"/>
              <w:bottom w:w="70" w:type="dxa"/>
              <w:end w:w="80" w:type="dxa"/>
            </w:tcMar>
          </w:tcPr>
          <w:p>
            <w:pPr>
              <w:spacing w:after="0" w:before="0"/>
            </w:pPr>
            <w:r>
              <w:rPr>
                <w:sz w:val="16"/>
              </w:rPr>
              <w:t>KYC Operations / AML</w:t>
            </w:r>
          </w:p>
        </w:tc>
        <w:tc>
          <w:tcPr>
            <w:tcW w:type="dxa" w:w="2592"/>
            <w:vAlign w:val="center"/>
            <w:tcMar>
              <w:top w:w="70" w:type="dxa"/>
              <w:start w:w="80" w:type="dxa"/>
              <w:bottom w:w="70" w:type="dxa"/>
              <w:end w:w="80" w:type="dxa"/>
            </w:tcMar>
          </w:tcPr>
          <w:p>
            <w:pPr>
              <w:spacing w:after="0" w:before="0"/>
            </w:pPr>
            <w:r>
              <w:rPr>
                <w:sz w:val="16"/>
              </w:rPr>
              <w:t>30 days overdue: senior KYC escalation</w:t>
            </w:r>
          </w:p>
        </w:tc>
      </w:tr>
      <w:tr>
        <w:tc>
          <w:tcPr>
            <w:tcW w:type="dxa" w:w="2592"/>
            <w:vAlign w:val="center"/>
            <w:tcMar>
              <w:top w:w="70" w:type="dxa"/>
              <w:start w:w="80" w:type="dxa"/>
              <w:bottom w:w="70" w:type="dxa"/>
              <w:end w:w="80" w:type="dxa"/>
            </w:tcMar>
          </w:tcPr>
          <w:p>
            <w:pPr>
              <w:spacing w:after="0" w:before="0"/>
            </w:pPr>
            <w:r>
              <w:rPr>
                <w:sz w:val="16"/>
              </w:rPr>
              <w:t>Medium</w:t>
            </w:r>
          </w:p>
        </w:tc>
        <w:tc>
          <w:tcPr>
            <w:tcW w:type="dxa" w:w="2592"/>
            <w:vAlign w:val="center"/>
            <w:tcMar>
              <w:top w:w="70" w:type="dxa"/>
              <w:start w:w="80" w:type="dxa"/>
              <w:bottom w:w="70" w:type="dxa"/>
              <w:end w:w="80" w:type="dxa"/>
            </w:tcMar>
          </w:tcPr>
          <w:p>
            <w:pPr>
              <w:spacing w:after="0" w:before="0"/>
            </w:pPr>
            <w:r>
              <w:rPr>
                <w:sz w:val="16"/>
              </w:rPr>
              <w:t>36 months</w:t>
            </w:r>
          </w:p>
        </w:tc>
        <w:tc>
          <w:tcPr>
            <w:tcW w:type="dxa" w:w="2592"/>
            <w:vAlign w:val="center"/>
            <w:tcMar>
              <w:top w:w="70" w:type="dxa"/>
              <w:start w:w="80" w:type="dxa"/>
              <w:bottom w:w="70" w:type="dxa"/>
              <w:end w:w="80" w:type="dxa"/>
            </w:tcMar>
          </w:tcPr>
          <w:p>
            <w:pPr>
              <w:spacing w:after="0" w:before="0"/>
            </w:pPr>
            <w:r>
              <w:rPr>
                <w:sz w:val="16"/>
              </w:rPr>
              <w:t>KYC Operations</w:t>
            </w:r>
          </w:p>
        </w:tc>
        <w:tc>
          <w:tcPr>
            <w:tcW w:type="dxa" w:w="2592"/>
            <w:vAlign w:val="center"/>
            <w:tcMar>
              <w:top w:w="70" w:type="dxa"/>
              <w:start w:w="80" w:type="dxa"/>
              <w:bottom w:w="70" w:type="dxa"/>
              <w:end w:w="80" w:type="dxa"/>
            </w:tcMar>
          </w:tcPr>
          <w:p>
            <w:pPr>
              <w:spacing w:after="0" w:before="0"/>
            </w:pPr>
            <w:r>
              <w:rPr>
                <w:sz w:val="16"/>
              </w:rPr>
              <w:t>60 days overdue: restriction review</w:t>
            </w:r>
          </w:p>
        </w:tc>
      </w:tr>
      <w:tr>
        <w:tc>
          <w:tcPr>
            <w:tcW w:type="dxa" w:w="2592"/>
            <w:vAlign w:val="center"/>
            <w:tcMar>
              <w:top w:w="70" w:type="dxa"/>
              <w:start w:w="80" w:type="dxa"/>
              <w:bottom w:w="70" w:type="dxa"/>
              <w:end w:w="80" w:type="dxa"/>
            </w:tcMar>
          </w:tcPr>
          <w:p>
            <w:pPr>
              <w:spacing w:after="0" w:before="0"/>
            </w:pPr>
            <w:r>
              <w:rPr>
                <w:sz w:val="16"/>
              </w:rPr>
              <w:t>Low</w:t>
            </w:r>
          </w:p>
        </w:tc>
        <w:tc>
          <w:tcPr>
            <w:tcW w:type="dxa" w:w="2592"/>
            <w:vAlign w:val="center"/>
            <w:tcMar>
              <w:top w:w="70" w:type="dxa"/>
              <w:start w:w="80" w:type="dxa"/>
              <w:bottom w:w="70" w:type="dxa"/>
              <w:end w:w="80" w:type="dxa"/>
            </w:tcMar>
          </w:tcPr>
          <w:p>
            <w:pPr>
              <w:spacing w:after="0" w:before="0"/>
            </w:pPr>
            <w:r>
              <w:rPr>
                <w:sz w:val="16"/>
              </w:rPr>
              <w:t>60 months</w:t>
            </w:r>
          </w:p>
        </w:tc>
        <w:tc>
          <w:tcPr>
            <w:tcW w:type="dxa" w:w="2592"/>
            <w:vAlign w:val="center"/>
            <w:tcMar>
              <w:top w:w="70" w:type="dxa"/>
              <w:start w:w="80" w:type="dxa"/>
              <w:bottom w:w="70" w:type="dxa"/>
              <w:end w:w="80" w:type="dxa"/>
            </w:tcMar>
          </w:tcPr>
          <w:p>
            <w:pPr>
              <w:spacing w:after="0" w:before="0"/>
            </w:pPr>
            <w:r>
              <w:rPr>
                <w:sz w:val="16"/>
              </w:rPr>
              <w:t>KYC Operations</w:t>
            </w:r>
          </w:p>
        </w:tc>
        <w:tc>
          <w:tcPr>
            <w:tcW w:type="dxa" w:w="2592"/>
            <w:vAlign w:val="center"/>
            <w:tcMar>
              <w:top w:w="70" w:type="dxa"/>
              <w:start w:w="80" w:type="dxa"/>
              <w:bottom w:w="70" w:type="dxa"/>
              <w:end w:w="80" w:type="dxa"/>
            </w:tcMar>
          </w:tcPr>
          <w:p>
            <w:pPr>
              <w:spacing w:after="0" w:before="0"/>
            </w:pPr>
            <w:r>
              <w:rPr>
                <w:sz w:val="16"/>
              </w:rPr>
              <w:t>90 days overdue: restriction review</w:t>
            </w:r>
          </w:p>
        </w:tc>
      </w:tr>
    </w:tbl>
    <w:p>
      <w:pPr>
        <w:spacing w:after="20"/>
      </w:pPr>
    </w:p>
    <w:p>
      <w:r>
        <w:br w:type="page"/>
      </w:r>
    </w:p>
    <w:p>
      <w:pPr>
        <w:pStyle w:val="Heading1"/>
      </w:pPr>
      <w:r>
        <w:t>Appendix D. KYC Discrepancy Examples</w:t>
      </w:r>
    </w:p>
    <w:p>
      <w:r>
        <w:t>Examples show the expected treatment and are not exhaustive.</w:t>
      </w:r>
    </w:p>
    <w:p>
      <w:pPr>
        <w:ind w:left="259" w:hanging="202"/>
      </w:pPr>
      <w:r>
        <w:rPr>
          <w:b/>
        </w:rPr>
        <w:t xml:space="preserve">• </w:t>
      </w:r>
      <w:r>
        <w:t>Name differs only by punctuation or spacing: standardize with evidence; no escalation if identity is clear.</w:t>
      </w:r>
    </w:p>
    <w:p>
      <w:pPr>
        <w:ind w:left="259" w:hanging="202"/>
      </w:pPr>
      <w:r>
        <w:rPr>
          <w:b/>
        </w:rPr>
        <w:t xml:space="preserve">• </w:t>
      </w:r>
      <w:r>
        <w:t>PAN name materially differs from customer declaration: hold unrestricted activation and obtain clarification.</w:t>
      </w:r>
    </w:p>
    <w:p>
      <w:pPr>
        <w:ind w:left="259" w:hanging="202"/>
      </w:pPr>
      <w:r>
        <w:rPr>
          <w:b/>
        </w:rPr>
        <w:t xml:space="preserve">• </w:t>
      </w:r>
      <w:r>
        <w:t>Address differs between identity document and recent bank statement: record current address and reconcile; escalate if geography creates a risk trigger.</w:t>
      </w:r>
    </w:p>
    <w:p>
      <w:pPr>
        <w:ind w:left="259" w:hanging="202"/>
      </w:pPr>
      <w:r>
        <w:rPr>
          <w:b/>
        </w:rPr>
        <w:t xml:space="preserve">• </w:t>
      </w:r>
      <w:r>
        <w:t>Beneficial owner cannot be verified: escalate under KEP-022; onboarding may remain restricted or be declined.</w:t>
      </w:r>
    </w:p>
    <w:p>
      <w:pPr>
        <w:ind w:left="259" w:hanging="202"/>
      </w:pPr>
      <w:r>
        <w:rPr>
          <w:b/>
        </w:rPr>
        <w:t xml:space="preserve">• </w:t>
      </w:r>
      <w:r>
        <w:t>PEP alert shares name but has different date of birth and geography: document false-positive basis; checker required for high-score matches.</w:t>
      </w:r>
    </w:p>
    <w:p>
      <w:r>
        <w:br w:type="page"/>
      </w:r>
    </w:p>
    <w:p>
      <w:pPr>
        <w:pStyle w:val="Heading1"/>
      </w:pPr>
      <w:r>
        <w:t>Appendix E. Historical Rule Changes</w:t>
      </w:r>
    </w:p>
    <w:p>
      <w:r>
        <w:t>Historical differences are retained to support archive interpretation.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70" w:type="dxa"/>
              <w:start w:w="80" w:type="dxa"/>
              <w:bottom w:w="70" w:type="dxa"/>
              <w:end w:w="80" w:type="dxa"/>
            </w:tcMar>
            <w:shd w:fill="1F4E78"/>
          </w:tcPr>
          <w:p>
            <w:pPr>
              <w:spacing w:after="0" w:before="0"/>
            </w:pPr>
            <w:r>
              <w:rPr>
                <w:b/>
                <w:sz w:val="16"/>
                <w:color w:val="FFFFFF"/>
              </w:rPr>
              <w:t>Rule</w:t>
            </w:r>
          </w:p>
        </w:tc>
        <w:tc>
          <w:tcPr>
            <w:tcW w:type="dxa" w:w="3456"/>
            <w:vAlign w:val="center"/>
            <w:tcMar>
              <w:top w:w="70" w:type="dxa"/>
              <w:start w:w="80" w:type="dxa"/>
              <w:bottom w:w="70" w:type="dxa"/>
              <w:end w:w="80" w:type="dxa"/>
            </w:tcMar>
            <w:shd w:fill="1F4E78"/>
          </w:tcPr>
          <w:p>
            <w:pPr>
              <w:spacing w:after="0" w:before="0"/>
            </w:pPr>
            <w:r>
              <w:rPr>
                <w:b/>
                <w:sz w:val="16"/>
                <w:color w:val="FFFFFF"/>
              </w:rPr>
              <w:t>v2.0 (2024)</w:t>
            </w:r>
          </w:p>
        </w:tc>
        <w:tc>
          <w:tcPr>
            <w:tcW w:type="dxa" w:w="3456"/>
            <w:vAlign w:val="center"/>
            <w:tcMar>
              <w:top w:w="70" w:type="dxa"/>
              <w:start w:w="80" w:type="dxa"/>
              <w:bottom w:w="70" w:type="dxa"/>
              <w:end w:w="80" w:type="dxa"/>
            </w:tcMar>
            <w:shd w:fill="1F4E78"/>
          </w:tcPr>
          <w:p>
            <w:pPr>
              <w:spacing w:after="0" w:before="0"/>
            </w:pPr>
            <w:r>
              <w:rPr>
                <w:b/>
                <w:sz w:val="16"/>
                <w:color w:val="FFFFFF"/>
              </w:rPr>
              <w:t>v2.1 (2025)</w:t>
            </w:r>
          </w:p>
        </w:tc>
      </w:tr>
      <w:tr>
        <w:tc>
          <w:tcPr>
            <w:tcW w:type="dxa" w:w="3456"/>
            <w:vAlign w:val="center"/>
            <w:tcMar>
              <w:top w:w="70" w:type="dxa"/>
              <w:start w:w="80" w:type="dxa"/>
              <w:bottom w:w="70" w:type="dxa"/>
              <w:end w:w="80" w:type="dxa"/>
            </w:tcMar>
          </w:tcPr>
          <w:p>
            <w:pPr>
              <w:spacing w:after="0" w:before="0"/>
            </w:pPr>
            <w:r>
              <w:rPr>
                <w:sz w:val="16"/>
              </w:rPr>
              <w:t>High-risk non-face-to-face</w:t>
            </w:r>
          </w:p>
        </w:tc>
        <w:tc>
          <w:tcPr>
            <w:tcW w:type="dxa" w:w="3456"/>
            <w:vAlign w:val="center"/>
            <w:tcMar>
              <w:top w:w="70" w:type="dxa"/>
              <w:start w:w="80" w:type="dxa"/>
              <w:bottom w:w="70" w:type="dxa"/>
              <w:end w:w="80" w:type="dxa"/>
            </w:tcMar>
          </w:tcPr>
          <w:p>
            <w:pPr>
              <w:spacing w:after="0" w:before="0"/>
            </w:pPr>
            <w:r>
              <w:rPr>
                <w:sz w:val="16"/>
              </w:rPr>
              <w:t>Enhanced review; checker where system triggered</w:t>
            </w:r>
          </w:p>
        </w:tc>
        <w:tc>
          <w:tcPr>
            <w:tcW w:type="dxa" w:w="3456"/>
            <w:vAlign w:val="center"/>
            <w:tcMar>
              <w:top w:w="70" w:type="dxa"/>
              <w:start w:w="80" w:type="dxa"/>
              <w:bottom w:w="70" w:type="dxa"/>
              <w:end w:w="80" w:type="dxa"/>
            </w:tcMar>
          </w:tcPr>
          <w:p>
            <w:pPr>
              <w:spacing w:after="0" w:before="0"/>
            </w:pPr>
            <w:r>
              <w:rPr>
                <w:sz w:val="16"/>
              </w:rPr>
              <w:t>Checker required before unrestricted activation</w:t>
            </w:r>
          </w:p>
        </w:tc>
      </w:tr>
      <w:tr>
        <w:tc>
          <w:tcPr>
            <w:tcW w:type="dxa" w:w="3456"/>
            <w:vAlign w:val="center"/>
            <w:tcMar>
              <w:top w:w="70" w:type="dxa"/>
              <w:start w:w="80" w:type="dxa"/>
              <w:bottom w:w="70" w:type="dxa"/>
              <w:end w:w="80" w:type="dxa"/>
            </w:tcMar>
          </w:tcPr>
          <w:p>
            <w:pPr>
              <w:spacing w:after="0" w:before="0"/>
            </w:pPr>
            <w:r>
              <w:rPr>
                <w:sz w:val="16"/>
              </w:rPr>
              <w:t>High-risk KYC refresh</w:t>
            </w:r>
          </w:p>
        </w:tc>
        <w:tc>
          <w:tcPr>
            <w:tcW w:type="dxa" w:w="3456"/>
            <w:vAlign w:val="center"/>
            <w:tcMar>
              <w:top w:w="70" w:type="dxa"/>
              <w:start w:w="80" w:type="dxa"/>
              <w:bottom w:w="70" w:type="dxa"/>
              <w:end w:w="80" w:type="dxa"/>
            </w:tcMar>
          </w:tcPr>
          <w:p>
            <w:pPr>
              <w:spacing w:after="0" w:before="0"/>
            </w:pPr>
            <w:r>
              <w:rPr>
                <w:sz w:val="16"/>
              </w:rPr>
              <w:t>18 months for selected legacy segments</w:t>
            </w:r>
          </w:p>
        </w:tc>
        <w:tc>
          <w:tcPr>
            <w:tcW w:type="dxa" w:w="3456"/>
            <w:vAlign w:val="center"/>
            <w:tcMar>
              <w:top w:w="70" w:type="dxa"/>
              <w:start w:w="80" w:type="dxa"/>
              <w:bottom w:w="70" w:type="dxa"/>
              <w:end w:w="80" w:type="dxa"/>
            </w:tcMar>
          </w:tcPr>
          <w:p>
            <w:pPr>
              <w:spacing w:after="0" w:before="0"/>
            </w:pPr>
            <w:r>
              <w:rPr>
                <w:sz w:val="16"/>
              </w:rPr>
              <w:t>12 months</w:t>
            </w:r>
          </w:p>
        </w:tc>
      </w:tr>
      <w:tr>
        <w:tc>
          <w:tcPr>
            <w:tcW w:type="dxa" w:w="3456"/>
            <w:vAlign w:val="center"/>
            <w:tcMar>
              <w:top w:w="70" w:type="dxa"/>
              <w:start w:w="80" w:type="dxa"/>
              <w:bottom w:w="70" w:type="dxa"/>
              <w:end w:w="80" w:type="dxa"/>
            </w:tcMar>
          </w:tcPr>
          <w:p>
            <w:pPr>
              <w:spacing w:after="0" w:before="0"/>
            </w:pPr>
            <w:r>
              <w:rPr>
                <w:sz w:val="16"/>
              </w:rPr>
              <w:t>Beneficial ownership enhanced information</w:t>
            </w:r>
          </w:p>
        </w:tc>
        <w:tc>
          <w:tcPr>
            <w:tcW w:type="dxa" w:w="3456"/>
            <w:vAlign w:val="center"/>
            <w:tcMar>
              <w:top w:w="70" w:type="dxa"/>
              <w:start w:w="80" w:type="dxa"/>
              <w:bottom w:w="70" w:type="dxa"/>
              <w:end w:w="80" w:type="dxa"/>
            </w:tcMar>
          </w:tcPr>
          <w:p>
            <w:pPr>
              <w:spacing w:after="0" w:before="0"/>
            </w:pPr>
            <w:r>
              <w:rPr>
                <w:sz w:val="16"/>
              </w:rPr>
              <w:t>Applied case-by-case</w:t>
            </w:r>
          </w:p>
        </w:tc>
        <w:tc>
          <w:tcPr>
            <w:tcW w:type="dxa" w:w="3456"/>
            <w:vAlign w:val="center"/>
            <w:tcMar>
              <w:top w:w="70" w:type="dxa"/>
              <w:start w:w="80" w:type="dxa"/>
              <w:bottom w:w="70" w:type="dxa"/>
              <w:end w:w="80" w:type="dxa"/>
            </w:tcMar>
          </w:tcPr>
          <w:p>
            <w:pPr>
              <w:spacing w:after="0" w:before="0"/>
            </w:pPr>
            <w:r>
              <w:rPr>
                <w:sz w:val="16"/>
              </w:rPr>
              <w:t>10% information threshold for High/complex cases</w:t>
            </w:r>
          </w:p>
        </w:tc>
      </w:tr>
      <w:tr>
        <w:tc>
          <w:tcPr>
            <w:tcW w:type="dxa" w:w="3456"/>
            <w:vAlign w:val="center"/>
            <w:tcMar>
              <w:top w:w="70" w:type="dxa"/>
              <w:start w:w="80" w:type="dxa"/>
              <w:bottom w:w="70" w:type="dxa"/>
              <w:end w:w="80" w:type="dxa"/>
            </w:tcMar>
          </w:tcPr>
          <w:p>
            <w:pPr>
              <w:spacing w:after="0" w:before="0"/>
            </w:pPr>
            <w:r>
              <w:rPr>
                <w:sz w:val="16"/>
              </w:rPr>
              <w:t>Transition period</w:t>
            </w:r>
          </w:p>
        </w:tc>
        <w:tc>
          <w:tcPr>
            <w:tcW w:type="dxa" w:w="3456"/>
            <w:vAlign w:val="center"/>
            <w:tcMar>
              <w:top w:w="70" w:type="dxa"/>
              <w:start w:w="80" w:type="dxa"/>
              <w:bottom w:w="70" w:type="dxa"/>
              <w:end w:w="80" w:type="dxa"/>
            </w:tcMar>
          </w:tcPr>
          <w:p>
            <w:pPr>
              <w:spacing w:after="0" w:before="0"/>
            </w:pPr>
            <w:r>
              <w:rPr>
                <w:sz w:val="16"/>
              </w:rPr>
              <w:t>Not applicable</w:t>
            </w:r>
          </w:p>
        </w:tc>
        <w:tc>
          <w:tcPr>
            <w:tcW w:type="dxa" w:w="3456"/>
            <w:vAlign w:val="center"/>
            <w:tcMar>
              <w:top w:w="70" w:type="dxa"/>
              <w:start w:w="80" w:type="dxa"/>
              <w:bottom w:w="70" w:type="dxa"/>
              <w:end w:w="80" w:type="dxa"/>
            </w:tcMar>
          </w:tcPr>
          <w:p>
            <w:pPr>
              <w:spacing w:after="0" w:before="0"/>
            </w:pPr>
            <w:r>
              <w:rPr>
                <w:sz w:val="16"/>
              </w:rPr>
              <w:t>30-day in-flight transition</w:t>
            </w:r>
          </w:p>
        </w:tc>
      </w:tr>
    </w:tbl>
    <w:p>
      <w:pPr>
        <w:spacing w:after="20"/>
      </w:pPr>
    </w:p>
    <w:sectPr w:rsidR="00FC693F" w:rsidRPr="0006063C" w:rsidSect="00034616">
      <w:headerReference w:type="default" r:id="rId9"/>
      <w:footerReference w:type="default" r:id="rId10"/>
      <w:pgSz w:w="12240" w:h="15840"/>
      <w:pgMar w:top="792" w:right="936" w:bottom="835" w:left="936"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Northstar Financial — Synthetic Internal Document  |  INTERNAL — CONTROLLED  |  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5"/>
      </w:rPr>
      <w:t>NORTHSTAR FINANCIAL  |  KYC-004  |  Know Your Customer (KYC)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