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eastAsia="Aptos"/>
          <w:b/>
          <w:color w:val="2F5597"/>
          <w:sz w:val="26"/>
        </w:rPr>
        <w:t>NORTHSTAR FINANCIAL</w:t>
      </w:r>
    </w:p>
    <w:p>
      <w:pPr>
        <w:spacing w:before="560"/>
        <w:jc w:val="center"/>
      </w:pPr>
      <w:r>
        <w:rPr>
          <w:rFonts w:ascii="Aptos" w:hAnsi="Aptos" w:eastAsia="Aptos"/>
          <w:b/>
          <w:color w:val="17365D"/>
          <w:sz w:val="50"/>
        </w:rPr>
        <w:t>Loan Origination Policy</w:t>
      </w:r>
    </w:p>
    <w:p>
      <w:pPr>
        <w:jc w:val="center"/>
      </w:pPr>
      <w:r>
        <w:rPr>
          <w:rFonts w:ascii="Aptos" w:hAnsi="Aptos" w:eastAsia="Aptos"/>
          <w:b/>
          <w:color w:val="595959"/>
          <w:sz w:val="26"/>
        </w:rPr>
        <w:t>LOP-002</w:t>
      </w:r>
    </w:p>
    <w:p>
      <w:pPr>
        <w:spacing w:before="520"/>
        <w:jc w:val="center"/>
      </w:pPr>
      <w:r>
        <w:rPr>
          <w:rFonts w:ascii="Aptos" w:hAnsi="Aptos" w:eastAsia="Aptos"/>
          <w:b w:val="0"/>
          <w:color w:val="595959"/>
          <w:sz w:val="22"/>
        </w:rPr>
        <w:t>Version 2.3  |  Effective 20 May 2025</w:t>
      </w:r>
    </w:p>
    <w:p>
      <w:pPr>
        <w:spacing w:before="2100"/>
        <w:jc w:val="center"/>
      </w:pPr>
      <w:r>
        <w:rPr>
          <w:rFonts w:ascii="Aptos" w:hAnsi="Aptos" w:eastAsia="Aptos"/>
          <w:b/>
          <w:color w:val="17365D"/>
          <w:sz w:val="18"/>
        </w:rPr>
        <w:t>Classification: INTERNAL — CONTROLLED</w:t>
      </w:r>
    </w:p>
    <w:p>
      <w:pPr>
        <w:jc w:val="center"/>
      </w:pPr>
      <w:r>
        <w:rPr>
          <w:rFonts w:ascii="Aptos" w:hAnsi="Aptos" w:eastAsia="Aptos"/>
          <w:b w:val="0"/>
          <w:i/>
          <w:color w:val="595959"/>
          <w:sz w:val="14"/>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c>
          <w:tcPr>
            <w:tcW w:type="dxa" w:w="4975"/>
            <w:shd w:fill="D9EAF7"/>
            <w:tcMar>
              <w:top w:w="70" w:type="dxa"/>
              <w:start w:w="90" w:type="dxa"/>
              <w:bottom w:w="70" w:type="dxa"/>
              <w:end w:w="90" w:type="dxa"/>
            </w:tcMar>
            <w:vAlign w:val="center"/>
          </w:tcPr>
          <w:p>
            <w:r>
              <w:rPr>
                <w:rFonts w:ascii="Aptos" w:hAnsi="Aptos" w:eastAsia="Aptos"/>
                <w:b/>
                <w:color w:val="17365D"/>
                <w:sz w:val="16"/>
              </w:rPr>
              <w:t>Document ID</w:t>
            </w:r>
          </w:p>
        </w:tc>
        <w:tc>
          <w:tcPr>
            <w:tcW w:type="dxa" w:w="4975"/>
            <w:tcMar>
              <w:top w:w="70" w:type="dxa"/>
              <w:start w:w="90" w:type="dxa"/>
              <w:bottom w:w="70" w:type="dxa"/>
              <w:end w:w="90" w:type="dxa"/>
            </w:tcMar>
            <w:vAlign w:val="center"/>
          </w:tcPr>
          <w:p>
            <w:r>
              <w:rPr>
                <w:rFonts w:ascii="Aptos" w:hAnsi="Aptos" w:eastAsia="Aptos"/>
                <w:b w:val="0"/>
                <w:sz w:val="16"/>
              </w:rPr>
              <w:t>LOP-002</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Document Title</w:t>
            </w:r>
          </w:p>
        </w:tc>
        <w:tc>
          <w:tcPr>
            <w:tcW w:type="dxa" w:w="4975"/>
            <w:tcMar>
              <w:top w:w="70" w:type="dxa"/>
              <w:start w:w="90" w:type="dxa"/>
              <w:bottom w:w="70" w:type="dxa"/>
              <w:end w:w="90" w:type="dxa"/>
            </w:tcMar>
            <w:vAlign w:val="center"/>
          </w:tcPr>
          <w:p>
            <w:r>
              <w:rPr>
                <w:rFonts w:ascii="Aptos" w:hAnsi="Aptos" w:eastAsia="Aptos"/>
                <w:b w:val="0"/>
                <w:sz w:val="16"/>
              </w:rPr>
              <w:t>Loan Origination Policy</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Version</w:t>
            </w:r>
          </w:p>
        </w:tc>
        <w:tc>
          <w:tcPr>
            <w:tcW w:type="dxa" w:w="4975"/>
            <w:tcMar>
              <w:top w:w="70" w:type="dxa"/>
              <w:start w:w="90" w:type="dxa"/>
              <w:bottom w:w="70" w:type="dxa"/>
              <w:end w:w="90" w:type="dxa"/>
            </w:tcMar>
            <w:vAlign w:val="center"/>
          </w:tcPr>
          <w:p>
            <w:r>
              <w:rPr>
                <w:rFonts w:ascii="Aptos" w:hAnsi="Aptos" w:eastAsia="Aptos"/>
                <w:b w:val="0"/>
                <w:sz w:val="16"/>
              </w:rPr>
              <w:t>2.3</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Policy / Procedure Owner</w:t>
            </w:r>
          </w:p>
        </w:tc>
        <w:tc>
          <w:tcPr>
            <w:tcW w:type="dxa" w:w="4975"/>
            <w:tcMar>
              <w:top w:w="70" w:type="dxa"/>
              <w:start w:w="90" w:type="dxa"/>
              <w:bottom w:w="70" w:type="dxa"/>
              <w:end w:w="90" w:type="dxa"/>
            </w:tcMar>
            <w:vAlign w:val="center"/>
          </w:tcPr>
          <w:p>
            <w:r>
              <w:rPr>
                <w:rFonts w:ascii="Aptos" w:hAnsi="Aptos" w:eastAsia="Aptos"/>
                <w:b w:val="0"/>
                <w:sz w:val="16"/>
              </w:rPr>
              <w:t>Kavita Rao — Head of Retail Lending</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Business Unit</w:t>
            </w:r>
          </w:p>
        </w:tc>
        <w:tc>
          <w:tcPr>
            <w:tcW w:type="dxa" w:w="4975"/>
            <w:tcMar>
              <w:top w:w="70" w:type="dxa"/>
              <w:start w:w="90" w:type="dxa"/>
              <w:bottom w:w="70" w:type="dxa"/>
              <w:end w:w="90" w:type="dxa"/>
            </w:tcMar>
            <w:vAlign w:val="center"/>
          </w:tcPr>
          <w:p>
            <w:r>
              <w:rPr>
                <w:rFonts w:ascii="Aptos" w:hAnsi="Aptos" w:eastAsia="Aptos"/>
                <w:b w:val="0"/>
                <w:sz w:val="16"/>
              </w:rPr>
              <w:t>Retail Lending / Operations</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Approving Authority</w:t>
            </w:r>
          </w:p>
        </w:tc>
        <w:tc>
          <w:tcPr>
            <w:tcW w:type="dxa" w:w="4975"/>
            <w:tcMar>
              <w:top w:w="70" w:type="dxa"/>
              <w:start w:w="90" w:type="dxa"/>
              <w:bottom w:w="70" w:type="dxa"/>
              <w:end w:w="90" w:type="dxa"/>
            </w:tcMar>
            <w:vAlign w:val="center"/>
          </w:tcPr>
          <w:p>
            <w:r>
              <w:rPr>
                <w:rFonts w:ascii="Aptos" w:hAnsi="Aptos" w:eastAsia="Aptos"/>
                <w:b w:val="0"/>
                <w:sz w:val="16"/>
              </w:rPr>
              <w:t>Executive Credit and Operations Committee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Effective Date</w:t>
            </w:r>
          </w:p>
        </w:tc>
        <w:tc>
          <w:tcPr>
            <w:tcW w:type="dxa" w:w="4975"/>
            <w:tcMar>
              <w:top w:w="70" w:type="dxa"/>
              <w:start w:w="90" w:type="dxa"/>
              <w:bottom w:w="70" w:type="dxa"/>
              <w:end w:w="90" w:type="dxa"/>
            </w:tcMar>
            <w:vAlign w:val="center"/>
          </w:tcPr>
          <w:p>
            <w:r>
              <w:rPr>
                <w:rFonts w:ascii="Aptos" w:hAnsi="Aptos" w:eastAsia="Aptos"/>
                <w:b w:val="0"/>
                <w:sz w:val="16"/>
              </w:rPr>
              <w:t>20 May 2025</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Previous Version</w:t>
            </w:r>
          </w:p>
        </w:tc>
        <w:tc>
          <w:tcPr>
            <w:tcW w:type="dxa" w:w="4975"/>
            <w:tcMar>
              <w:top w:w="70" w:type="dxa"/>
              <w:start w:w="90" w:type="dxa"/>
              <w:bottom w:w="70" w:type="dxa"/>
              <w:end w:w="90" w:type="dxa"/>
            </w:tcMar>
            <w:vAlign w:val="center"/>
          </w:tcPr>
          <w:p>
            <w:r>
              <w:rPr>
                <w:rFonts w:ascii="Aptos" w:hAnsi="Aptos" w:eastAsia="Aptos"/>
                <w:b w:val="0"/>
                <w:sz w:val="16"/>
              </w:rPr>
              <w:t>Version 2.2 (effective 5 February 2025)</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Review Frequency</w:t>
            </w:r>
          </w:p>
        </w:tc>
        <w:tc>
          <w:tcPr>
            <w:tcW w:type="dxa" w:w="4975"/>
            <w:tcMar>
              <w:top w:w="70" w:type="dxa"/>
              <w:start w:w="90" w:type="dxa"/>
              <w:bottom w:w="70" w:type="dxa"/>
              <w:end w:w="90" w:type="dxa"/>
            </w:tcMar>
            <w:vAlign w:val="center"/>
          </w:tcPr>
          <w:p>
            <w:r>
              <w:rPr>
                <w:rFonts w:ascii="Aptos" w:hAnsi="Aptos" w:eastAsia="Aptos"/>
                <w:b w:val="0"/>
                <w:sz w:val="16"/>
              </w:rPr>
              <w:t>Annual, with quarterly operating-control attestation</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Classification</w:t>
            </w:r>
          </w:p>
        </w:tc>
        <w:tc>
          <w:tcPr>
            <w:tcW w:type="dxa" w:w="4975"/>
            <w:tcMar>
              <w:top w:w="70" w:type="dxa"/>
              <w:start w:w="90" w:type="dxa"/>
              <w:bottom w:w="70" w:type="dxa"/>
              <w:end w:w="90" w:type="dxa"/>
            </w:tcMar>
            <w:vAlign w:val="center"/>
          </w:tcPr>
          <w:p>
            <w:r>
              <w:rPr>
                <w:rFonts w:ascii="Aptos" w:hAnsi="Aptos" w:eastAsia="Aptos"/>
                <w:b w:val="0"/>
                <w:sz w:val="16"/>
              </w:rPr>
              <w:t>Internal — Controlled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Status</w:t>
            </w:r>
          </w:p>
        </w:tc>
        <w:tc>
          <w:tcPr>
            <w:tcW w:type="dxa" w:w="4975"/>
            <w:tcMar>
              <w:top w:w="70" w:type="dxa"/>
              <w:start w:w="90" w:type="dxa"/>
              <w:bottom w:w="70" w:type="dxa"/>
              <w:end w:w="90" w:type="dxa"/>
            </w:tcMar>
            <w:vAlign w:val="center"/>
          </w:tcPr>
          <w:p>
            <w:r>
              <w:rPr>
                <w:rFonts w:ascii="Aptos" w:hAnsi="Aptos" w:eastAsia="Aptos"/>
                <w:b w:val="0"/>
                <w:sz w:val="16"/>
              </w:rPr>
              <w:t>Approved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Supersedes</w:t>
            </w:r>
          </w:p>
        </w:tc>
        <w:tc>
          <w:tcPr>
            <w:tcW w:type="dxa" w:w="4975"/>
            <w:tcMar>
              <w:top w:w="70" w:type="dxa"/>
              <w:start w:w="90" w:type="dxa"/>
              <w:bottom w:w="70" w:type="dxa"/>
              <w:end w:w="90" w:type="dxa"/>
            </w:tcMar>
            <w:vAlign w:val="center"/>
          </w:tcPr>
          <w:p>
            <w:r>
              <w:rPr>
                <w:rFonts w:ascii="Aptos" w:hAnsi="Aptos" w:eastAsia="Aptos"/>
                <w:b w:val="0"/>
                <w:sz w:val="16"/>
              </w:rPr>
              <w:t>LOP-002 v2.2</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Related Documents</w:t>
            </w:r>
          </w:p>
        </w:tc>
        <w:tc>
          <w:tcPr>
            <w:tcW w:type="dxa" w:w="4975"/>
            <w:tcMar>
              <w:top w:w="70" w:type="dxa"/>
              <w:start w:w="90" w:type="dxa"/>
              <w:bottom w:w="70" w:type="dxa"/>
              <w:end w:w="90" w:type="dxa"/>
            </w:tcMar>
            <w:vAlign w:val="center"/>
          </w:tcPr>
          <w:p>
            <w:r>
              <w:rPr>
                <w:rFonts w:ascii="Aptos" w:hAnsi="Aptos" w:eastAsia="Aptos"/>
                <w:b w:val="0"/>
                <w:sz w:val="16"/>
              </w:rPr>
              <w:t>CRP-001 Credit Risk Policy; CEP-006 Credit Exception Procedure; CDAS-007 Credit Delegated Authority Schedule; PLU-011 Personal Loan Underwriting Procedure; LDP-013 Loan Disbursement Procedure; KYC Policy (future issue); AML Policy (future issue); Fraud Escalation Procedure (future issue)</w:t>
            </w:r>
          </w:p>
        </w:tc>
      </w:tr>
    </w:tbl>
    <w:p/>
    <w:p>
      <w:pPr>
        <w:pStyle w:val="Heading2"/>
      </w:pPr>
      <w:r>
        <w:t>Approval Record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8"/>
        <w:gridCol w:w="2488"/>
        <w:gridCol w:w="2488"/>
        <w:gridCol w:w="2488"/>
      </w:tblGrid>
      <w:tr>
        <w:trPr>
          <w:tblHeader w:val="true"/>
        </w:trPr>
        <w:tc>
          <w:tcPr>
            <w:tcW w:type="dxa" w:w="1872"/>
            <w:shd w:fill="17365D"/>
            <w:tcMar>
              <w:top w:w="70" w:type="dxa"/>
              <w:start w:w="90" w:type="dxa"/>
              <w:bottom w:w="70" w:type="dxa"/>
              <w:end w:w="90" w:type="dxa"/>
            </w:tcMar>
          </w:tcPr>
          <w:p>
            <w:pPr>
              <w:spacing w:after="0"/>
            </w:pPr>
            <w:r>
              <w:rPr>
                <w:rFonts w:ascii="Aptos" w:hAnsi="Aptos" w:eastAsia="Aptos"/>
                <w:b/>
                <w:color w:val="FFFFFF"/>
                <w:sz w:val="15"/>
              </w:rPr>
              <w:t>Role</w:t>
            </w:r>
          </w:p>
        </w:tc>
        <w:tc>
          <w:tcPr>
            <w:tcW w:type="dxa" w:w="3600"/>
            <w:shd w:fill="17365D"/>
            <w:tcMar>
              <w:top w:w="70" w:type="dxa"/>
              <w:start w:w="90" w:type="dxa"/>
              <w:bottom w:w="70" w:type="dxa"/>
              <w:end w:w="90" w:type="dxa"/>
            </w:tcMar>
          </w:tcPr>
          <w:p>
            <w:pPr>
              <w:spacing w:after="0"/>
            </w:pPr>
            <w:r>
              <w:rPr>
                <w:rFonts w:ascii="Aptos" w:hAnsi="Aptos" w:eastAsia="Aptos"/>
                <w:b/>
                <w:color w:val="FFFFFF"/>
                <w:sz w:val="15"/>
              </w:rPr>
              <w:t>Name / Committee</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Decision</w:t>
            </w:r>
          </w:p>
        </w:tc>
        <w:tc>
          <w:tcPr>
            <w:tcW w:type="dxa" w:w="1872"/>
            <w:shd w:fill="17365D"/>
            <w:tcMar>
              <w:top w:w="70" w:type="dxa"/>
              <w:start w:w="90" w:type="dxa"/>
              <w:bottom w:w="70" w:type="dxa"/>
              <w:end w:w="90" w:type="dxa"/>
            </w:tcMar>
          </w:tcPr>
          <w:p>
            <w:pPr>
              <w:spacing w:after="0"/>
            </w:pPr>
            <w:r>
              <w:rPr>
                <w:rFonts w:ascii="Aptos" w:hAnsi="Aptos" w:eastAsia="Aptos"/>
                <w:b/>
                <w:color w:val="FFFFFF"/>
                <w:sz w:val="15"/>
              </w:rPr>
              <w:t>Date</w:t>
            </w:r>
          </w:p>
        </w:tc>
      </w:tr>
      <w:tr>
        <w:tc>
          <w:tcPr>
            <w:tcW w:type="dxa" w:w="1872"/>
            <w:tcMar>
              <w:top w:w="70" w:type="dxa"/>
              <w:start w:w="90" w:type="dxa"/>
              <w:bottom w:w="70" w:type="dxa"/>
              <w:end w:w="90" w:type="dxa"/>
            </w:tcMar>
            <w:vAlign w:val="center"/>
          </w:tcPr>
          <w:p>
            <w:pPr>
              <w:spacing w:after="0"/>
            </w:pPr>
            <w:r>
              <w:rPr>
                <w:rFonts w:ascii="Aptos" w:hAnsi="Aptos" w:eastAsia="Aptos"/>
                <w:sz w:val="15"/>
              </w:rPr>
              <w:t>Approving Authority</w:t>
            </w:r>
          </w:p>
        </w:tc>
        <w:tc>
          <w:tcPr>
            <w:tcW w:type="dxa" w:w="3600"/>
            <w:tcMar>
              <w:top w:w="70" w:type="dxa"/>
              <w:start w:w="90" w:type="dxa"/>
              <w:bottom w:w="70" w:type="dxa"/>
              <w:end w:w="90" w:type="dxa"/>
            </w:tcMar>
            <w:vAlign w:val="center"/>
          </w:tcPr>
          <w:p>
            <w:pPr>
              <w:spacing w:after="0"/>
            </w:pPr>
            <w:r>
              <w:rPr>
                <w:rFonts w:ascii="Aptos" w:hAnsi="Aptos" w:eastAsia="Aptos"/>
                <w:sz w:val="15"/>
              </w:rPr>
              <w:t>Executive Credit and Operations Committee</w:t>
            </w:r>
          </w:p>
        </w:tc>
        <w:tc>
          <w:tcPr>
            <w:tcW w:type="dxa" w:w="1728"/>
            <w:tcMar>
              <w:top w:w="70" w:type="dxa"/>
              <w:start w:w="90" w:type="dxa"/>
              <w:bottom w:w="70" w:type="dxa"/>
              <w:end w:w="90" w:type="dxa"/>
            </w:tcMar>
            <w:vAlign w:val="center"/>
          </w:tcPr>
          <w:p>
            <w:pPr>
              <w:spacing w:after="0"/>
            </w:pPr>
            <w:r>
              <w:rPr>
                <w:rFonts w:ascii="Aptos" w:hAnsi="Aptos" w:eastAsia="Aptos"/>
                <w:sz w:val="15"/>
              </w:rPr>
              <w:t>Approved</w:t>
            </w:r>
          </w:p>
        </w:tc>
        <w:tc>
          <w:tcPr>
            <w:tcW w:type="dxa" w:w="1872"/>
            <w:tcMar>
              <w:top w:w="70" w:type="dxa"/>
              <w:start w:w="90" w:type="dxa"/>
              <w:bottom w:w="70" w:type="dxa"/>
              <w:end w:w="90" w:type="dxa"/>
            </w:tcMar>
            <w:vAlign w:val="center"/>
          </w:tcPr>
          <w:p>
            <w:pPr>
              <w:spacing w:after="0"/>
            </w:pPr>
            <w:r>
              <w:rPr>
                <w:rFonts w:ascii="Aptos" w:hAnsi="Aptos" w:eastAsia="Aptos"/>
                <w:sz w:val="15"/>
              </w:rPr>
              <w:t>12 May 2025</w:t>
            </w:r>
          </w:p>
        </w:tc>
      </w:tr>
      <w:tr>
        <w:tc>
          <w:tcPr>
            <w:tcW w:type="dxa" w:w="1872"/>
            <w:shd w:fill="F7F9FC"/>
            <w:tcMar>
              <w:top w:w="70" w:type="dxa"/>
              <w:start w:w="90" w:type="dxa"/>
              <w:bottom w:w="70" w:type="dxa"/>
              <w:end w:w="90" w:type="dxa"/>
            </w:tcMar>
            <w:vAlign w:val="center"/>
          </w:tcPr>
          <w:p>
            <w:pPr>
              <w:spacing w:after="0"/>
            </w:pPr>
            <w:r>
              <w:rPr>
                <w:rFonts w:ascii="Aptos" w:hAnsi="Aptos" w:eastAsia="Aptos"/>
                <w:sz w:val="15"/>
              </w:rPr>
              <w:t>Document Owner</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Kavita Rao — Head of Retail Lending</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Certified for issue</w:t>
            </w:r>
          </w:p>
        </w:tc>
        <w:tc>
          <w:tcPr>
            <w:tcW w:type="dxa" w:w="1872"/>
            <w:shd w:fill="F7F9FC"/>
            <w:tcMar>
              <w:top w:w="70" w:type="dxa"/>
              <w:start w:w="90" w:type="dxa"/>
              <w:bottom w:w="70" w:type="dxa"/>
              <w:end w:w="90" w:type="dxa"/>
            </w:tcMar>
            <w:vAlign w:val="center"/>
          </w:tcPr>
          <w:p>
            <w:pPr>
              <w:spacing w:after="0"/>
            </w:pPr>
            <w:r>
              <w:rPr>
                <w:rFonts w:ascii="Aptos" w:hAnsi="Aptos" w:eastAsia="Aptos"/>
                <w:sz w:val="15"/>
              </w:rPr>
              <w:t>15 May 2025</w:t>
            </w:r>
          </w:p>
        </w:tc>
      </w:tr>
    </w:tbl>
    <w:p>
      <w:pPr>
        <w:spacing w:after="0"/>
      </w:pPr>
    </w:p>
    <w:p>
      <w:pPr>
        <w:pStyle w:val="Heading2"/>
      </w:pPr>
      <w:r>
        <w:t>Revision History</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1152"/>
            <w:shd w:fill="17365D"/>
            <w:tcMar>
              <w:top w:w="70" w:type="dxa"/>
              <w:start w:w="90" w:type="dxa"/>
              <w:bottom w:w="70" w:type="dxa"/>
              <w:end w:w="90" w:type="dxa"/>
            </w:tcMar>
          </w:tcPr>
          <w:p>
            <w:pPr>
              <w:spacing w:after="0"/>
            </w:pPr>
            <w:r>
              <w:rPr>
                <w:rFonts w:ascii="Aptos" w:hAnsi="Aptos" w:eastAsia="Aptos"/>
                <w:b/>
                <w:color w:val="FFFFFF"/>
                <w:sz w:val="15"/>
              </w:rPr>
              <w:t>Version</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Effective date</w:t>
            </w:r>
          </w:p>
        </w:tc>
        <w:tc>
          <w:tcPr>
            <w:tcW w:type="dxa" w:w="6336"/>
            <w:shd w:fill="17365D"/>
            <w:tcMar>
              <w:top w:w="70" w:type="dxa"/>
              <w:start w:w="90" w:type="dxa"/>
              <w:bottom w:w="70" w:type="dxa"/>
              <w:end w:w="90" w:type="dxa"/>
            </w:tcMar>
          </w:tcPr>
          <w:p>
            <w:pPr>
              <w:spacing w:after="0"/>
            </w:pPr>
            <w:r>
              <w:rPr>
                <w:rFonts w:ascii="Aptos" w:hAnsi="Aptos" w:eastAsia="Aptos"/>
                <w:b/>
                <w:color w:val="FFFFFF"/>
                <w:sz w:val="15"/>
              </w:rPr>
              <w:t>Change summary</w:t>
            </w:r>
          </w:p>
        </w:tc>
      </w:tr>
      <w:tr>
        <w:tc>
          <w:tcPr>
            <w:tcW w:type="dxa" w:w="1152"/>
            <w:tcMar>
              <w:top w:w="70" w:type="dxa"/>
              <w:start w:w="90" w:type="dxa"/>
              <w:bottom w:w="70" w:type="dxa"/>
              <w:end w:w="90" w:type="dxa"/>
            </w:tcMar>
            <w:vAlign w:val="center"/>
          </w:tcPr>
          <w:p>
            <w:pPr>
              <w:spacing w:after="0"/>
            </w:pPr>
            <w:r>
              <w:rPr>
                <w:rFonts w:ascii="Aptos" w:hAnsi="Aptos" w:eastAsia="Aptos"/>
                <w:sz w:val="15"/>
              </w:rPr>
              <w:t>1.0</w:t>
            </w:r>
          </w:p>
        </w:tc>
        <w:tc>
          <w:tcPr>
            <w:tcW w:type="dxa" w:w="1728"/>
            <w:tcMar>
              <w:top w:w="70" w:type="dxa"/>
              <w:start w:w="90" w:type="dxa"/>
              <w:bottom w:w="70" w:type="dxa"/>
              <w:end w:w="90" w:type="dxa"/>
            </w:tcMar>
            <w:vAlign w:val="center"/>
          </w:tcPr>
          <w:p>
            <w:pPr>
              <w:spacing w:after="0"/>
            </w:pPr>
            <w:r>
              <w:rPr>
                <w:rFonts w:ascii="Aptos" w:hAnsi="Aptos" w:eastAsia="Aptos"/>
                <w:sz w:val="15"/>
              </w:rPr>
              <w:t>1 June 2022</w:t>
            </w:r>
          </w:p>
        </w:tc>
        <w:tc>
          <w:tcPr>
            <w:tcW w:type="dxa" w:w="6336"/>
            <w:tcMar>
              <w:top w:w="70" w:type="dxa"/>
              <w:start w:w="90" w:type="dxa"/>
              <w:bottom w:w="70" w:type="dxa"/>
              <w:end w:w="90" w:type="dxa"/>
            </w:tcMar>
            <w:vAlign w:val="center"/>
          </w:tcPr>
          <w:p>
            <w:pPr>
              <w:spacing w:after="0"/>
            </w:pPr>
            <w:r>
              <w:rPr>
                <w:rFonts w:ascii="Aptos" w:hAnsi="Aptos" w:eastAsia="Aptos"/>
                <w:sz w:val="15"/>
              </w:rPr>
              <w:t>Initial common origination policy.</w:t>
            </w:r>
          </w:p>
        </w:tc>
      </w:tr>
      <w:tr>
        <w:tc>
          <w:tcPr>
            <w:tcW w:type="dxa" w:w="1152"/>
            <w:shd w:fill="F7F9FC"/>
            <w:tcMar>
              <w:top w:w="70" w:type="dxa"/>
              <w:start w:w="90" w:type="dxa"/>
              <w:bottom w:w="70" w:type="dxa"/>
              <w:end w:w="90" w:type="dxa"/>
            </w:tcMar>
            <w:vAlign w:val="center"/>
          </w:tcPr>
          <w:p>
            <w:pPr>
              <w:spacing w:after="0"/>
            </w:pPr>
            <w:r>
              <w:rPr>
                <w:rFonts w:ascii="Aptos" w:hAnsi="Aptos" w:eastAsia="Aptos"/>
                <w:sz w:val="15"/>
              </w:rPr>
              <w:t>2.0</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12 August 2024</w:t>
            </w:r>
          </w:p>
        </w:tc>
        <w:tc>
          <w:tcPr>
            <w:tcW w:type="dxa" w:w="6336"/>
            <w:shd w:fill="F7F9FC"/>
            <w:tcMar>
              <w:top w:w="70" w:type="dxa"/>
              <w:start w:w="90" w:type="dxa"/>
              <w:bottom w:w="70" w:type="dxa"/>
              <w:end w:w="90" w:type="dxa"/>
            </w:tcMar>
            <w:vAlign w:val="center"/>
          </w:tcPr>
          <w:p>
            <w:pPr>
              <w:spacing w:after="0"/>
            </w:pPr>
            <w:r>
              <w:rPr>
                <w:rFonts w:ascii="Aptos" w:hAnsi="Aptos" w:eastAsia="Aptos"/>
                <w:sz w:val="15"/>
              </w:rPr>
              <w:t>Expanded digital intake, duplicate handling and fraud checks.</w:t>
            </w:r>
          </w:p>
        </w:tc>
      </w:tr>
      <w:tr>
        <w:tc>
          <w:tcPr>
            <w:tcW w:type="dxa" w:w="1152"/>
            <w:tcMar>
              <w:top w:w="70" w:type="dxa"/>
              <w:start w:w="90" w:type="dxa"/>
              <w:bottom w:w="70" w:type="dxa"/>
              <w:end w:w="90" w:type="dxa"/>
            </w:tcMar>
            <w:vAlign w:val="center"/>
          </w:tcPr>
          <w:p>
            <w:pPr>
              <w:spacing w:after="0"/>
            </w:pPr>
            <w:r>
              <w:rPr>
                <w:rFonts w:ascii="Aptos" w:hAnsi="Aptos" w:eastAsia="Aptos"/>
                <w:sz w:val="15"/>
              </w:rPr>
              <w:t>2.2</w:t>
            </w:r>
          </w:p>
        </w:tc>
        <w:tc>
          <w:tcPr>
            <w:tcW w:type="dxa" w:w="1728"/>
            <w:tcMar>
              <w:top w:w="70" w:type="dxa"/>
              <w:start w:w="90" w:type="dxa"/>
              <w:bottom w:w="70" w:type="dxa"/>
              <w:end w:w="90" w:type="dxa"/>
            </w:tcMar>
            <w:vAlign w:val="center"/>
          </w:tcPr>
          <w:p>
            <w:pPr>
              <w:spacing w:after="0"/>
            </w:pPr>
            <w:r>
              <w:rPr>
                <w:rFonts w:ascii="Aptos" w:hAnsi="Aptos" w:eastAsia="Aptos"/>
                <w:sz w:val="15"/>
              </w:rPr>
              <w:t>5 February 2025</w:t>
            </w:r>
          </w:p>
        </w:tc>
        <w:tc>
          <w:tcPr>
            <w:tcW w:type="dxa" w:w="6336"/>
            <w:tcMar>
              <w:top w:w="70" w:type="dxa"/>
              <w:start w:w="90" w:type="dxa"/>
              <w:bottom w:w="70" w:type="dxa"/>
              <w:end w:w="90" w:type="dxa"/>
            </w:tcMar>
            <w:vAlign w:val="center"/>
          </w:tcPr>
          <w:p>
            <w:pPr>
              <w:spacing w:after="0"/>
            </w:pPr>
            <w:r>
              <w:rPr>
                <w:rFonts w:ascii="Aptos" w:hAnsi="Aptos" w:eastAsia="Aptos"/>
                <w:sz w:val="15"/>
              </w:rPr>
              <w:t>Refreshed documentation and turnaround controls.</w:t>
            </w:r>
          </w:p>
        </w:tc>
      </w:tr>
      <w:tr>
        <w:tc>
          <w:tcPr>
            <w:tcW w:type="dxa" w:w="1152"/>
            <w:shd w:fill="F7F9FC"/>
            <w:tcMar>
              <w:top w:w="70" w:type="dxa"/>
              <w:start w:w="90" w:type="dxa"/>
              <w:bottom w:w="70" w:type="dxa"/>
              <w:end w:w="90" w:type="dxa"/>
            </w:tcMar>
            <w:vAlign w:val="center"/>
          </w:tcPr>
          <w:p>
            <w:pPr>
              <w:spacing w:after="0"/>
            </w:pPr>
            <w:r>
              <w:rPr>
                <w:rFonts w:ascii="Aptos" w:hAnsi="Aptos" w:eastAsia="Aptos"/>
                <w:sz w:val="15"/>
              </w:rPr>
              <w:t>2.3</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20 May 2025</w:t>
            </w:r>
          </w:p>
        </w:tc>
        <w:tc>
          <w:tcPr>
            <w:tcW w:type="dxa" w:w="6336"/>
            <w:shd w:fill="F7F9FC"/>
            <w:tcMar>
              <w:top w:w="70" w:type="dxa"/>
              <w:start w:w="90" w:type="dxa"/>
              <w:bottom w:w="70" w:type="dxa"/>
              <w:end w:w="90" w:type="dxa"/>
            </w:tcMar>
            <w:vAlign w:val="center"/>
          </w:tcPr>
          <w:p>
            <w:pPr>
              <w:spacing w:after="0"/>
            </w:pPr>
            <w:r>
              <w:rPr>
                <w:rFonts w:ascii="Aptos" w:hAnsi="Aptos" w:eastAsia="Aptos"/>
                <w:sz w:val="15"/>
              </w:rPr>
              <w:t>Aligned affordability and authority references; strengthened pre-disbursement readiness and post-approval change controls.</w:t>
            </w:r>
          </w:p>
        </w:tc>
      </w:tr>
    </w:tbl>
    <w:p>
      <w:pPr>
        <w:spacing w:after="0"/>
      </w:pPr>
    </w:p>
    <w:p>
      <w:pPr>
        <w:pStyle w:val="ControlNote"/>
      </w:pPr>
      <w:r>
        <w:t>Controlled copies are maintained in the Northstar Financial policy repository. Printed or locally saved copies are uncontrolled unless explicitly marked otherwise.</w:t>
      </w:r>
    </w:p>
    <w:p>
      <w:r>
        <w:br w:type="page"/>
      </w:r>
    </w:p>
    <w:p>
      <w:pPr>
        <w:pStyle w:val="Heading1"/>
      </w:pPr>
      <w:r>
        <w:t>Contents</w:t>
      </w:r>
    </w:p>
    <w:p>
      <w:pPr>
        <w:spacing w:after="30"/>
      </w:pPr>
      <w:r>
        <w:rPr>
          <w:rFonts w:ascii="Aptos" w:hAnsi="Aptos" w:eastAsia="Aptos"/>
          <w:sz w:val="18"/>
        </w:rPr>
        <w:t>1. Purpose and Origination Control Objectives</w:t>
      </w:r>
    </w:p>
    <w:p>
      <w:pPr>
        <w:spacing w:after="30"/>
      </w:pPr>
      <w:r>
        <w:rPr>
          <w:rFonts w:ascii="Aptos" w:hAnsi="Aptos" w:eastAsia="Aptos"/>
          <w:sz w:val="18"/>
        </w:rPr>
        <w:t>2. Scope, Products and Channels</w:t>
      </w:r>
    </w:p>
    <w:p>
      <w:pPr>
        <w:spacing w:after="30"/>
      </w:pPr>
      <w:r>
        <w:rPr>
          <w:rFonts w:ascii="Aptos" w:hAnsi="Aptos" w:eastAsia="Aptos"/>
          <w:sz w:val="18"/>
        </w:rPr>
        <w:t>3. Application Intake and Record Creation</w:t>
      </w:r>
    </w:p>
    <w:p>
      <w:pPr>
        <w:spacing w:after="30"/>
      </w:pPr>
      <w:r>
        <w:rPr>
          <w:rFonts w:ascii="Aptos" w:hAnsi="Aptos" w:eastAsia="Aptos"/>
          <w:sz w:val="18"/>
        </w:rPr>
        <w:t>4. Eligibility and Product Selection</w:t>
      </w:r>
    </w:p>
    <w:p>
      <w:pPr>
        <w:spacing w:after="30"/>
      </w:pPr>
      <w:r>
        <w:rPr>
          <w:rFonts w:ascii="Aptos" w:hAnsi="Aptos" w:eastAsia="Aptos"/>
          <w:sz w:val="18"/>
        </w:rPr>
        <w:t>5. Required Documentation</w:t>
      </w:r>
    </w:p>
    <w:p>
      <w:pPr>
        <w:spacing w:after="30"/>
      </w:pPr>
      <w:r>
        <w:rPr>
          <w:rFonts w:ascii="Aptos" w:hAnsi="Aptos" w:eastAsia="Aptos"/>
          <w:sz w:val="18"/>
        </w:rPr>
        <w:t>6. Identity and Address Verification Interface</w:t>
      </w:r>
    </w:p>
    <w:p>
      <w:pPr>
        <w:spacing w:after="30"/>
      </w:pPr>
      <w:r>
        <w:rPr>
          <w:rFonts w:ascii="Aptos" w:hAnsi="Aptos" w:eastAsia="Aptos"/>
          <w:sz w:val="18"/>
        </w:rPr>
        <w:t>7. Income and Employment Verification</w:t>
      </w:r>
    </w:p>
    <w:p>
      <w:pPr>
        <w:spacing w:after="30"/>
      </w:pPr>
      <w:r>
        <w:rPr>
          <w:rFonts w:ascii="Aptos" w:hAnsi="Aptos" w:eastAsia="Aptos"/>
          <w:sz w:val="18"/>
        </w:rPr>
        <w:t>8. Bank Statement Analysis</w:t>
      </w:r>
    </w:p>
    <w:p>
      <w:pPr>
        <w:spacing w:after="30"/>
      </w:pPr>
      <w:r>
        <w:rPr>
          <w:rFonts w:ascii="Aptos" w:hAnsi="Aptos" w:eastAsia="Aptos"/>
          <w:sz w:val="18"/>
        </w:rPr>
        <w:t>9. Credit Bureau Verification</w:t>
      </w:r>
    </w:p>
    <w:p>
      <w:pPr>
        <w:spacing w:after="30"/>
      </w:pPr>
      <w:r>
        <w:rPr>
          <w:rFonts w:ascii="Aptos" w:hAnsi="Aptos" w:eastAsia="Aptos"/>
          <w:sz w:val="18"/>
        </w:rPr>
        <w:t>10. Affordability Assessment</w:t>
      </w:r>
    </w:p>
    <w:p>
      <w:pPr>
        <w:spacing w:after="30"/>
      </w:pPr>
      <w:r>
        <w:rPr>
          <w:rFonts w:ascii="Aptos" w:hAnsi="Aptos" w:eastAsia="Aptos"/>
          <w:sz w:val="18"/>
        </w:rPr>
        <w:t>11. Fraud Checks and Duplicate Applications</w:t>
      </w:r>
    </w:p>
    <w:p>
      <w:pPr>
        <w:spacing w:after="30"/>
      </w:pPr>
      <w:r>
        <w:rPr>
          <w:rFonts w:ascii="Aptos" w:hAnsi="Aptos" w:eastAsia="Aptos"/>
          <w:sz w:val="18"/>
        </w:rPr>
        <w:t>12. KYC and AML Screening Interface</w:t>
      </w:r>
    </w:p>
    <w:p>
      <w:pPr>
        <w:spacing w:after="30"/>
      </w:pPr>
      <w:r>
        <w:rPr>
          <w:rFonts w:ascii="Aptos" w:hAnsi="Aptos" w:eastAsia="Aptos"/>
          <w:sz w:val="18"/>
        </w:rPr>
        <w:t>13. Automated Decisioning</w:t>
      </w:r>
    </w:p>
    <w:p>
      <w:pPr>
        <w:spacing w:after="30"/>
      </w:pPr>
      <w:r>
        <w:rPr>
          <w:rFonts w:ascii="Aptos" w:hAnsi="Aptos" w:eastAsia="Aptos"/>
          <w:sz w:val="18"/>
        </w:rPr>
        <w:t>14. Manual Underwriting</w:t>
      </w:r>
    </w:p>
    <w:p>
      <w:pPr>
        <w:spacing w:after="30"/>
      </w:pPr>
      <w:r>
        <w:rPr>
          <w:rFonts w:ascii="Aptos" w:hAnsi="Aptos" w:eastAsia="Aptos"/>
          <w:sz w:val="18"/>
        </w:rPr>
        <w:t>15. Approval and Conditions</w:t>
      </w:r>
    </w:p>
    <w:p>
      <w:pPr>
        <w:spacing w:after="30"/>
      </w:pPr>
      <w:r>
        <w:rPr>
          <w:rFonts w:ascii="Aptos" w:hAnsi="Aptos" w:eastAsia="Aptos"/>
          <w:sz w:val="18"/>
        </w:rPr>
        <w:t>16. Rejection, Withdrawal and Customer Communication</w:t>
      </w:r>
    </w:p>
    <w:p>
      <w:pPr>
        <w:spacing w:after="30"/>
      </w:pPr>
      <w:r>
        <w:rPr>
          <w:rFonts w:ascii="Aptos" w:hAnsi="Aptos" w:eastAsia="Aptos"/>
          <w:sz w:val="18"/>
        </w:rPr>
        <w:t>17. Amended Applications and Exceptions</w:t>
      </w:r>
    </w:p>
    <w:p>
      <w:pPr>
        <w:spacing w:after="30"/>
      </w:pPr>
      <w:r>
        <w:rPr>
          <w:rFonts w:ascii="Aptos" w:hAnsi="Aptos" w:eastAsia="Aptos"/>
          <w:sz w:val="18"/>
        </w:rPr>
        <w:t>18. Pre-Disbursement Readiness</w:t>
      </w:r>
    </w:p>
    <w:p>
      <w:pPr>
        <w:spacing w:after="30"/>
      </w:pPr>
      <w:r>
        <w:rPr>
          <w:rFonts w:ascii="Aptos" w:hAnsi="Aptos" w:eastAsia="Aptos"/>
          <w:sz w:val="18"/>
        </w:rPr>
        <w:t>19. Disbursement Handover</w:t>
      </w:r>
    </w:p>
    <w:p>
      <w:pPr>
        <w:spacing w:after="30"/>
      </w:pPr>
      <w:r>
        <w:rPr>
          <w:rFonts w:ascii="Aptos" w:hAnsi="Aptos" w:eastAsia="Aptos"/>
          <w:sz w:val="18"/>
        </w:rPr>
        <w:t>20. Post-Disbursement Monitoring Handover</w:t>
      </w:r>
    </w:p>
    <w:p>
      <w:pPr>
        <w:spacing w:after="30"/>
      </w:pPr>
      <w:r>
        <w:rPr>
          <w:rFonts w:ascii="Aptos" w:hAnsi="Aptos" w:eastAsia="Aptos"/>
          <w:sz w:val="18"/>
        </w:rPr>
        <w:t>21. Quality Assurance and Maker-Checker Controls</w:t>
      </w:r>
    </w:p>
    <w:p>
      <w:pPr>
        <w:spacing w:after="30"/>
      </w:pPr>
      <w:r>
        <w:rPr>
          <w:rFonts w:ascii="Aptos" w:hAnsi="Aptos" w:eastAsia="Aptos"/>
          <w:sz w:val="18"/>
        </w:rPr>
        <w:t>22. Turnaround Times and Escalation</w:t>
      </w:r>
    </w:p>
    <w:p>
      <w:pPr>
        <w:spacing w:after="30"/>
      </w:pPr>
      <w:r>
        <w:rPr>
          <w:rFonts w:ascii="Aptos" w:hAnsi="Aptos" w:eastAsia="Aptos"/>
          <w:sz w:val="18"/>
        </w:rPr>
        <w:t>23. Recordkeeping and Data Quality</w:t>
      </w:r>
    </w:p>
    <w:p>
      <w:pPr>
        <w:spacing w:after="30"/>
      </w:pPr>
      <w:r>
        <w:rPr>
          <w:rFonts w:ascii="Aptos" w:hAnsi="Aptos" w:eastAsia="Aptos"/>
          <w:sz w:val="18"/>
        </w:rPr>
        <w:t>24. Governance and Effective-Date Treatment</w:t>
      </w:r>
    </w:p>
    <w:p>
      <w:pPr>
        <w:spacing w:after="30"/>
      </w:pPr>
      <w:r>
        <w:rPr>
          <w:rFonts w:ascii="Aptos" w:hAnsi="Aptos" w:eastAsia="Aptos"/>
          <w:sz w:val="18"/>
        </w:rPr>
        <w:t>Appendix A. Origination Stage-Gate Matrix</w:t>
      </w:r>
    </w:p>
    <w:p>
      <w:pPr>
        <w:spacing w:after="30"/>
      </w:pPr>
      <w:r>
        <w:rPr>
          <w:rFonts w:ascii="Aptos" w:hAnsi="Aptos" w:eastAsia="Aptos"/>
          <w:sz w:val="18"/>
        </w:rPr>
        <w:t>Appendix B. Core Documentation Reference</w:t>
      </w:r>
    </w:p>
    <w:p>
      <w:pPr>
        <w:spacing w:after="30"/>
      </w:pPr>
      <w:r>
        <w:rPr>
          <w:rFonts w:ascii="Aptos" w:hAnsi="Aptos" w:eastAsia="Aptos"/>
          <w:sz w:val="18"/>
        </w:rPr>
        <w:t>Appendix C. Duplicate and Fraud Escalation Scenarios</w:t>
      </w:r>
    </w:p>
    <w:p>
      <w:pPr>
        <w:spacing w:after="30"/>
      </w:pPr>
      <w:r>
        <w:rPr>
          <w:rFonts w:ascii="Aptos" w:hAnsi="Aptos" w:eastAsia="Aptos"/>
          <w:sz w:val="18"/>
        </w:rPr>
        <w:t>Appendix D. Application Status Codes</w:t>
      </w:r>
    </w:p>
    <w:p/>
    <w:p>
      <w:pPr>
        <w:pStyle w:val="ControlNote"/>
      </w:pPr>
      <w:r>
        <w:t>Section numbering in this document is authoritative. References to other Northstar documents are subject to the version and effective-date rules stated in the referenced document.</w:t>
      </w:r>
    </w:p>
    <w:p>
      <w:r>
        <w:br w:type="page"/>
      </w:r>
    </w:p>
    <w:p>
      <w:pPr>
        <w:pStyle w:val="Heading1"/>
      </w:pPr>
      <w:r>
        <w:t>1. Purpose and Origination Control Objectives</w:t>
      </w:r>
    </w:p>
    <w:p>
      <w:pPr>
        <w:spacing w:after="80"/>
        <w:keepLines/>
      </w:pPr>
      <w:r>
        <w:t>This Policy establishes the end-to-end control framework for accepting, assessing, approving and handing over credit applications. It is designed to ensure that customer information, credit assessment and operational readiness remain traceable from first application through final disposition.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Every application shall have a unique application identifier and a recorded sourcing channel.</w:t>
      </w:r>
    </w:p>
    <w:p>
      <w:pPr>
        <w:spacing w:after="46"/>
        <w:ind w:left="259" w:hanging="173"/>
      </w:pPr>
      <w:r>
        <w:rPr>
          <w:rFonts w:ascii="Aptos" w:hAnsi="Aptos" w:eastAsia="Aptos"/>
          <w:b/>
          <w:color w:val="2F5597"/>
          <w:sz w:val="18"/>
        </w:rPr>
        <w:t xml:space="preserve">• </w:t>
      </w:r>
      <w:r>
        <w:rPr>
          <w:rFonts w:ascii="Aptos" w:hAnsi="Aptos" w:eastAsia="Aptos"/>
          <w:sz w:val="18"/>
        </w:rPr>
        <w:t>No application may proceed to final approval with unresolved mandatory identity, fraud or credit-control checks.</w:t>
      </w:r>
    </w:p>
    <w:p>
      <w:pPr>
        <w:spacing w:after="46"/>
        <w:ind w:left="259" w:hanging="173"/>
      </w:pPr>
      <w:r>
        <w:rPr>
          <w:rFonts w:ascii="Aptos" w:hAnsi="Aptos" w:eastAsia="Aptos"/>
          <w:b/>
          <w:color w:val="2F5597"/>
          <w:sz w:val="18"/>
        </w:rPr>
        <w:t xml:space="preserve">• </w:t>
      </w:r>
      <w:r>
        <w:rPr>
          <w:rFonts w:ascii="Aptos" w:hAnsi="Aptos" w:eastAsia="Aptos"/>
          <w:sz w:val="18"/>
        </w:rPr>
        <w:t>Sales ownership and credit approval shall remain distinct where independent credit review is required.</w:t>
      </w:r>
    </w:p>
    <w:p>
      <w:pPr>
        <w:spacing w:after="46"/>
        <w:ind w:left="259" w:hanging="173"/>
      </w:pPr>
      <w:r>
        <w:rPr>
          <w:rFonts w:ascii="Aptos" w:hAnsi="Aptos" w:eastAsia="Aptos"/>
          <w:b/>
          <w:color w:val="2F5597"/>
          <w:sz w:val="18"/>
        </w:rPr>
        <w:t xml:space="preserve">• </w:t>
      </w:r>
      <w:r>
        <w:rPr>
          <w:rFonts w:ascii="Aptos" w:hAnsi="Aptos" w:eastAsia="Aptos"/>
          <w:sz w:val="18"/>
        </w:rPr>
        <w:t>Approval does not mean the case is ready for disbursement; LDP-013 applies a separate readiness decision.</w:t>
      </w:r>
    </w:p>
    <w:p>
      <w:pPr>
        <w:spacing w:after="46"/>
        <w:ind w:left="259" w:hanging="173"/>
      </w:pPr>
      <w:r>
        <w:rPr>
          <w:rFonts w:ascii="Aptos" w:hAnsi="Aptos" w:eastAsia="Aptos"/>
          <w:b/>
          <w:color w:val="2F5597"/>
          <w:sz w:val="18"/>
        </w:rPr>
        <w:t xml:space="preserve">• </w:t>
      </w:r>
      <w:r>
        <w:rPr>
          <w:rFonts w:ascii="Aptos" w:hAnsi="Aptos" w:eastAsia="Aptos"/>
          <w:sz w:val="18"/>
        </w:rPr>
        <w:t>Material changes after approval shall be re-assessed before funds are released.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Application record; workflow history; final decision; handover checklist.</w:t>
      </w:r>
    </w:p>
    <w:p>
      <w:pPr>
        <w:pStyle w:val="Heading1"/>
      </w:pPr>
      <w:r>
        <w:t>2. Scope, Products and Channels</w:t>
      </w:r>
    </w:p>
    <w:p>
      <w:pPr>
        <w:spacing w:after="80"/>
        <w:keepLines/>
      </w:pPr>
      <w:r>
        <w:t>The Policy covers branch, digital, partner, dealer and assisted origination for personal loans, vehicle finance, SME credit and secured retail products, including top-ups and material renewals.</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Channel-specific processes may collect information differently but shall meet the same mandatory decision controls.</w:t>
      </w:r>
    </w:p>
    <w:p>
      <w:pPr>
        <w:spacing w:after="46"/>
        <w:ind w:left="259" w:hanging="173"/>
      </w:pPr>
      <w:r>
        <w:rPr>
          <w:rFonts w:ascii="Aptos" w:hAnsi="Aptos" w:eastAsia="Aptos"/>
          <w:b/>
          <w:color w:val="2F5597"/>
          <w:sz w:val="18"/>
        </w:rPr>
        <w:t xml:space="preserve">• </w:t>
      </w:r>
      <w:r>
        <w:rPr>
          <w:rFonts w:ascii="Aptos" w:hAnsi="Aptos" w:eastAsia="Aptos"/>
          <w:sz w:val="18"/>
        </w:rPr>
        <w:t>Partner or dealer pre-screening does not constitute Northstar credit approval.</w:t>
      </w:r>
    </w:p>
    <w:p>
      <w:pPr>
        <w:spacing w:after="46"/>
        <w:ind w:left="259" w:hanging="173"/>
      </w:pPr>
      <w:r>
        <w:rPr>
          <w:rFonts w:ascii="Aptos" w:hAnsi="Aptos" w:eastAsia="Aptos"/>
          <w:b/>
          <w:color w:val="2F5597"/>
          <w:sz w:val="18"/>
        </w:rPr>
        <w:t xml:space="preserve">• </w:t>
      </w:r>
      <w:r>
        <w:rPr>
          <w:rFonts w:ascii="Aptos" w:hAnsi="Aptos" w:eastAsia="Aptos"/>
          <w:sz w:val="18"/>
        </w:rPr>
        <w:t>Pre-approved marketing offers remain subject to identity, fraud and current eligibility checks before booking.</w:t>
      </w:r>
    </w:p>
    <w:p>
      <w:pPr>
        <w:spacing w:after="46"/>
        <w:ind w:left="259" w:hanging="173"/>
      </w:pPr>
      <w:r>
        <w:rPr>
          <w:rFonts w:ascii="Aptos" w:hAnsi="Aptos" w:eastAsia="Aptos"/>
          <w:b/>
          <w:color w:val="2F5597"/>
          <w:sz w:val="18"/>
        </w:rPr>
        <w:t xml:space="preserve">• </w:t>
      </w:r>
      <w:r>
        <w:rPr>
          <w:rFonts w:ascii="Aptos" w:hAnsi="Aptos" w:eastAsia="Aptos"/>
          <w:sz w:val="18"/>
        </w:rPr>
        <w:t>Employee lending may use separate program steps but must preserve approval and maker-checker controls.</w:t>
      </w:r>
    </w:p>
    <w:p>
      <w:pPr>
        <w:spacing w:after="46"/>
        <w:ind w:left="259" w:hanging="173"/>
      </w:pPr>
      <w:r>
        <w:rPr>
          <w:rFonts w:ascii="Aptos" w:hAnsi="Aptos" w:eastAsia="Aptos"/>
          <w:b/>
          <w:color w:val="2F5597"/>
          <w:sz w:val="18"/>
        </w:rPr>
        <w:t xml:space="preserve">• </w:t>
      </w:r>
      <w:r>
        <w:rPr>
          <w:rFonts w:ascii="Aptos" w:hAnsi="Aptos" w:eastAsia="Aptos"/>
          <w:sz w:val="18"/>
        </w:rPr>
        <w:t>Products shall not be originated through an unapproved channel solely because the workflow is technically available.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Product/channel matrix; sourcing code; partner identifier; program approval.</w:t>
      </w:r>
    </w:p>
    <w:p>
      <w:r>
        <w:br w:type="page"/>
      </w:r>
    </w:p>
    <w:p>
      <w:pPr>
        <w:pStyle w:val="Heading1"/>
      </w:pPr>
      <w:r>
        <w:t>3. Application Intake and Record Creation</w:t>
      </w:r>
    </w:p>
    <w:p>
      <w:pPr>
        <w:spacing w:after="80"/>
        <w:keepLines/>
      </w:pPr>
      <w:r>
        <w:t>Applications shall be recorded when sufficient information exists to identify the prospective customer and requested product. The system record must preserve the source and material changes throughout processing.</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Capture customer name, contact details, product, requested amount, tenor preference, declared income and source channel.</w:t>
      </w:r>
    </w:p>
    <w:p>
      <w:pPr>
        <w:spacing w:after="46"/>
        <w:ind w:left="259" w:hanging="173"/>
      </w:pPr>
      <w:r>
        <w:rPr>
          <w:rFonts w:ascii="Aptos" w:hAnsi="Aptos" w:eastAsia="Aptos"/>
          <w:b/>
          <w:color w:val="2F5597"/>
          <w:sz w:val="18"/>
        </w:rPr>
        <w:t xml:space="preserve">• </w:t>
      </w:r>
      <w:r>
        <w:rPr>
          <w:rFonts w:ascii="Aptos" w:hAnsi="Aptos" w:eastAsia="Aptos"/>
          <w:sz w:val="18"/>
        </w:rPr>
        <w:t>Record date/time of first submission for effective-date and transition decisions.</w:t>
      </w:r>
    </w:p>
    <w:p>
      <w:pPr>
        <w:spacing w:after="46"/>
        <w:ind w:left="259" w:hanging="173"/>
      </w:pPr>
      <w:r>
        <w:rPr>
          <w:rFonts w:ascii="Aptos" w:hAnsi="Aptos" w:eastAsia="Aptos"/>
          <w:b/>
          <w:color w:val="2F5597"/>
          <w:sz w:val="18"/>
        </w:rPr>
        <w:t xml:space="preserve">• </w:t>
      </w:r>
      <w:r>
        <w:rPr>
          <w:rFonts w:ascii="Aptos" w:hAnsi="Aptos" w:eastAsia="Aptos"/>
          <w:sz w:val="18"/>
        </w:rPr>
        <w:t>Consent and required customer acknowledgements shall be captured through approved methods.</w:t>
      </w:r>
    </w:p>
    <w:p>
      <w:pPr>
        <w:spacing w:after="46"/>
        <w:ind w:left="259" w:hanging="173"/>
      </w:pPr>
      <w:r>
        <w:rPr>
          <w:rFonts w:ascii="Aptos" w:hAnsi="Aptos" w:eastAsia="Aptos"/>
          <w:b/>
          <w:color w:val="2F5597"/>
          <w:sz w:val="18"/>
        </w:rPr>
        <w:t xml:space="preserve">• </w:t>
      </w:r>
      <w:r>
        <w:rPr>
          <w:rFonts w:ascii="Aptos" w:hAnsi="Aptos" w:eastAsia="Aptos"/>
          <w:sz w:val="18"/>
        </w:rPr>
        <w:t>Incomplete applications may be held in pending status but shall not be represented as approved or decisioned.</w:t>
      </w:r>
    </w:p>
    <w:p>
      <w:pPr>
        <w:spacing w:after="46"/>
        <w:ind w:left="259" w:hanging="173"/>
      </w:pPr>
      <w:r>
        <w:rPr>
          <w:rFonts w:ascii="Aptos" w:hAnsi="Aptos" w:eastAsia="Aptos"/>
          <w:b/>
          <w:color w:val="2F5597"/>
          <w:sz w:val="18"/>
        </w:rPr>
        <w:t xml:space="preserve">• </w:t>
      </w:r>
      <w:r>
        <w:rPr>
          <w:rFonts w:ascii="Aptos" w:hAnsi="Aptos" w:eastAsia="Aptos"/>
          <w:sz w:val="18"/>
        </w:rPr>
        <w:t>Manual or offline intake shall be back-entered using a controlled process with maker-checker where required.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Application timestamp; source record; consent evidence; offline intake log.</w:t>
      </w:r>
    </w:p>
    <w:p>
      <w:pPr>
        <w:pStyle w:val="Heading1"/>
      </w:pPr>
      <w:r>
        <w:t>4. Eligibility and Product Selection</w:t>
      </w:r>
    </w:p>
    <w:p>
      <w:pPr>
        <w:spacing w:after="80"/>
        <w:keepLines/>
      </w:pPr>
      <w:r>
        <w:t>Basic eligibility screening should remove cases that clearly fall outside product scope before detailed underwriting effort is incurred, while avoiding unauthorized substitution of one product for another.</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Age, residency, employment or business type, geography and product-specific minimums shall be checked against the current procedure.</w:t>
      </w:r>
    </w:p>
    <w:p>
      <w:pPr>
        <w:spacing w:after="46"/>
        <w:ind w:left="259" w:hanging="173"/>
      </w:pPr>
      <w:r>
        <w:rPr>
          <w:rFonts w:ascii="Aptos" w:hAnsi="Aptos" w:eastAsia="Aptos"/>
          <w:b/>
          <w:color w:val="2F5597"/>
          <w:sz w:val="18"/>
        </w:rPr>
        <w:t xml:space="preserve">• </w:t>
      </w:r>
      <w:r>
        <w:rPr>
          <w:rFonts w:ascii="Aptos" w:hAnsi="Aptos" w:eastAsia="Aptos"/>
          <w:sz w:val="18"/>
        </w:rPr>
        <w:t>A customer who fails one product's rule may be offered another product only where that product independently fits the customer's needs and eligibility.</w:t>
      </w:r>
    </w:p>
    <w:p>
      <w:pPr>
        <w:spacing w:after="46"/>
        <w:ind w:left="259" w:hanging="173"/>
      </w:pPr>
      <w:r>
        <w:rPr>
          <w:rFonts w:ascii="Aptos" w:hAnsi="Aptos" w:eastAsia="Aptos"/>
          <w:b/>
          <w:color w:val="2F5597"/>
          <w:sz w:val="18"/>
        </w:rPr>
        <w:t xml:space="preserve">• </w:t>
      </w:r>
      <w:r>
        <w:rPr>
          <w:rFonts w:ascii="Aptos" w:hAnsi="Aptos" w:eastAsia="Aptos"/>
          <w:sz w:val="18"/>
        </w:rPr>
        <w:t>Requested amount and tenor shall remain within product limits before credit approval.</w:t>
      </w:r>
    </w:p>
    <w:p>
      <w:pPr>
        <w:spacing w:after="46"/>
        <w:ind w:left="259" w:hanging="173"/>
      </w:pPr>
      <w:r>
        <w:rPr>
          <w:rFonts w:ascii="Aptos" w:hAnsi="Aptos" w:eastAsia="Aptos"/>
          <w:b/>
          <w:color w:val="2F5597"/>
          <w:sz w:val="18"/>
        </w:rPr>
        <w:t xml:space="preserve">• </w:t>
      </w:r>
      <w:r>
        <w:rPr>
          <w:rFonts w:ascii="Aptos" w:hAnsi="Aptos" w:eastAsia="Aptos"/>
          <w:sz w:val="18"/>
        </w:rPr>
        <w:t>No employee may alter customer-declared purpose merely to fit an eligibility rule.</w:t>
      </w:r>
    </w:p>
    <w:p>
      <w:pPr>
        <w:spacing w:after="46"/>
        <w:ind w:left="259" w:hanging="173"/>
      </w:pPr>
      <w:r>
        <w:rPr>
          <w:rFonts w:ascii="Aptos" w:hAnsi="Aptos" w:eastAsia="Aptos"/>
          <w:b/>
          <w:color w:val="2F5597"/>
          <w:sz w:val="18"/>
        </w:rPr>
        <w:t xml:space="preserve">• </w:t>
      </w:r>
      <w:r>
        <w:rPr>
          <w:rFonts w:ascii="Aptos" w:hAnsi="Aptos" w:eastAsia="Aptos"/>
          <w:sz w:val="18"/>
        </w:rPr>
        <w:t>Potential vulnerable-customer or fairness concerns shall be handled under future customer-protection and compliance standards.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Eligibility result; product code; reason for product change where applicable.</w:t>
      </w:r>
    </w:p>
    <w:p>
      <w:r>
        <w:br w:type="page"/>
      </w:r>
    </w:p>
    <w:p>
      <w:pPr>
        <w:pStyle w:val="Heading1"/>
      </w:pPr>
      <w:r>
        <w:t>5. Required Documentation</w:t>
      </w:r>
    </w:p>
    <w:p>
      <w:pPr>
        <w:spacing w:after="80"/>
        <w:keepLines/>
      </w:pPr>
      <w:r>
        <w:t>Document requirements shall be proportionate to product, channel and risk while remaining sufficient to support identity, income, bank, collateral and business information used in the decision.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Document checklists shall distinguish mandatory evidence from optional supporting evidence.</w:t>
      </w:r>
    </w:p>
    <w:p>
      <w:pPr>
        <w:spacing w:after="46"/>
        <w:ind w:left="259" w:hanging="173"/>
      </w:pPr>
      <w:r>
        <w:rPr>
          <w:rFonts w:ascii="Aptos" w:hAnsi="Aptos" w:eastAsia="Aptos"/>
          <w:b/>
          <w:color w:val="2F5597"/>
          <w:sz w:val="18"/>
        </w:rPr>
        <w:t xml:space="preserve">• </w:t>
      </w:r>
      <w:r>
        <w:rPr>
          <w:rFonts w:ascii="Aptos" w:hAnsi="Aptos" w:eastAsia="Aptos"/>
          <w:sz w:val="18"/>
        </w:rPr>
        <w:t>Images or digital documents must be legible and linked to the correct application.</w:t>
      </w:r>
    </w:p>
    <w:p>
      <w:pPr>
        <w:spacing w:after="46"/>
        <w:ind w:left="259" w:hanging="173"/>
      </w:pPr>
      <w:r>
        <w:rPr>
          <w:rFonts w:ascii="Aptos" w:hAnsi="Aptos" w:eastAsia="Aptos"/>
          <w:b/>
          <w:color w:val="2F5597"/>
          <w:sz w:val="18"/>
        </w:rPr>
        <w:t xml:space="preserve">• </w:t>
      </w:r>
      <w:r>
        <w:rPr>
          <w:rFonts w:ascii="Aptos" w:hAnsi="Aptos" w:eastAsia="Aptos"/>
          <w:sz w:val="18"/>
        </w:rPr>
        <w:t>Expired, altered or materially inconsistent documents shall be investigated rather than silently accepted.</w:t>
      </w:r>
    </w:p>
    <w:p>
      <w:pPr>
        <w:spacing w:after="46"/>
        <w:ind w:left="259" w:hanging="173"/>
      </w:pPr>
      <w:r>
        <w:rPr>
          <w:rFonts w:ascii="Aptos" w:hAnsi="Aptos" w:eastAsia="Aptos"/>
          <w:b/>
          <w:color w:val="2F5597"/>
          <w:sz w:val="18"/>
        </w:rPr>
        <w:t xml:space="preserve">• </w:t>
      </w:r>
      <w:r>
        <w:rPr>
          <w:rFonts w:ascii="Aptos" w:hAnsi="Aptos" w:eastAsia="Aptos"/>
          <w:sz w:val="18"/>
        </w:rPr>
        <w:t>A document waiver is permitted only where the governing product or exception process allows it.</w:t>
      </w:r>
    </w:p>
    <w:p>
      <w:pPr>
        <w:spacing w:after="46"/>
        <w:ind w:left="259" w:hanging="173"/>
      </w:pPr>
      <w:r>
        <w:rPr>
          <w:rFonts w:ascii="Aptos" w:hAnsi="Aptos" w:eastAsia="Aptos"/>
          <w:b/>
          <w:color w:val="2F5597"/>
          <w:sz w:val="18"/>
        </w:rPr>
        <w:t xml:space="preserve">• </w:t>
      </w:r>
      <w:r>
        <w:rPr>
          <w:rFonts w:ascii="Aptos" w:hAnsi="Aptos" w:eastAsia="Aptos"/>
          <w:sz w:val="18"/>
        </w:rPr>
        <w:t>The record shall show which evidence was relied on at final approval.</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Document checklist; image repository link; waiver/exception record; reviewer confirmation.</w:t>
      </w:r>
    </w:p>
    <w:p>
      <w:pPr>
        <w:pStyle w:val="Heading1"/>
      </w:pPr>
      <w:r>
        <w:t>6. Identity and Address Verification Interface</w:t>
      </w:r>
    </w:p>
    <w:p>
      <w:pPr>
        <w:spacing w:after="80"/>
        <w:keepLines/>
      </w:pPr>
      <w:r>
        <w:t>Origination shall obtain the identity and address evidence required by Northstar's controlled KYC process before final booking. This Policy does not define regulatory KYC obligations and does not replace the future KYC Policy.</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PAN and Aadhaar may be used where the approved internal KYC process permits and appropriate customer handling controls are followed.</w:t>
      </w:r>
    </w:p>
    <w:p>
      <w:pPr>
        <w:spacing w:after="46"/>
        <w:ind w:left="259" w:hanging="173"/>
      </w:pPr>
      <w:r>
        <w:rPr>
          <w:rFonts w:ascii="Aptos" w:hAnsi="Aptos" w:eastAsia="Aptos"/>
          <w:b/>
          <w:color w:val="2F5597"/>
          <w:sz w:val="18"/>
        </w:rPr>
        <w:t xml:space="preserve">• </w:t>
      </w:r>
      <w:r>
        <w:rPr>
          <w:rFonts w:ascii="Aptos" w:hAnsi="Aptos" w:eastAsia="Aptos"/>
          <w:sz w:val="18"/>
        </w:rPr>
        <w:t>Material name, date-of-birth or address differences shall be flagged for KYC review.</w:t>
      </w:r>
    </w:p>
    <w:p>
      <w:pPr>
        <w:spacing w:after="46"/>
        <w:ind w:left="259" w:hanging="173"/>
      </w:pPr>
      <w:r>
        <w:rPr>
          <w:rFonts w:ascii="Aptos" w:hAnsi="Aptos" w:eastAsia="Aptos"/>
          <w:b/>
          <w:color w:val="2F5597"/>
          <w:sz w:val="18"/>
        </w:rPr>
        <w:t xml:space="preserve">• </w:t>
      </w:r>
      <w:r>
        <w:rPr>
          <w:rFonts w:ascii="Aptos" w:hAnsi="Aptos" w:eastAsia="Aptos"/>
          <w:sz w:val="18"/>
        </w:rPr>
        <w:t>A successful credit bureau match does not replace formal identity verification.</w:t>
      </w:r>
    </w:p>
    <w:p>
      <w:pPr>
        <w:spacing w:after="46"/>
        <w:ind w:left="259" w:hanging="173"/>
      </w:pPr>
      <w:r>
        <w:rPr>
          <w:rFonts w:ascii="Aptos" w:hAnsi="Aptos" w:eastAsia="Aptos"/>
          <w:b/>
          <w:color w:val="2F5597"/>
          <w:sz w:val="18"/>
        </w:rPr>
        <w:t xml:space="preserve">• </w:t>
      </w:r>
      <w:r>
        <w:rPr>
          <w:rFonts w:ascii="Aptos" w:hAnsi="Aptos" w:eastAsia="Aptos"/>
          <w:sz w:val="18"/>
        </w:rPr>
        <w:t>Non-face-to-face applications may require additional verification under the applicable onboarding procedure.</w:t>
      </w:r>
    </w:p>
    <w:p>
      <w:pPr>
        <w:spacing w:after="46"/>
        <w:ind w:left="259" w:hanging="173"/>
      </w:pPr>
      <w:r>
        <w:rPr>
          <w:rFonts w:ascii="Aptos" w:hAnsi="Aptos" w:eastAsia="Aptos"/>
          <w:b/>
          <w:color w:val="2F5597"/>
          <w:sz w:val="18"/>
        </w:rPr>
        <w:t xml:space="preserve">• </w:t>
      </w:r>
      <w:r>
        <w:rPr>
          <w:rFonts w:ascii="Aptos" w:hAnsi="Aptos" w:eastAsia="Aptos"/>
          <w:sz w:val="18"/>
        </w:rPr>
        <w:t>Unresolved identity discrepancies block disbursement even where credit approval is otherwise valid.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KYC status; identity evidence; discrepancy resolution; onboarding reference.</w:t>
      </w:r>
    </w:p>
    <w:p>
      <w:r>
        <w:br w:type="page"/>
      </w:r>
    </w:p>
    <w:p>
      <w:pPr>
        <w:pStyle w:val="Heading1"/>
      </w:pPr>
      <w:r>
        <w:t>7. Income and Employment Verification</w:t>
      </w:r>
    </w:p>
    <w:p>
      <w:pPr>
        <w:spacing w:after="80"/>
        <w:keepLines/>
      </w:pPr>
      <w:r>
        <w:t>Income used for affordability shall be supported by the product's required evidence and checked for consistency with employment or business information.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Salaried customers shall provide or authorize the evidence specified in the underwriting procedure.</w:t>
      </w:r>
    </w:p>
    <w:p>
      <w:pPr>
        <w:spacing w:after="46"/>
        <w:ind w:left="259" w:hanging="173"/>
      </w:pPr>
      <w:r>
        <w:rPr>
          <w:rFonts w:ascii="Aptos" w:hAnsi="Aptos" w:eastAsia="Aptos"/>
          <w:b/>
          <w:color w:val="2F5597"/>
          <w:sz w:val="18"/>
        </w:rPr>
        <w:t xml:space="preserve">• </w:t>
      </w:r>
      <w:r>
        <w:rPr>
          <w:rFonts w:ascii="Aptos" w:hAnsi="Aptos" w:eastAsia="Aptos"/>
          <w:sz w:val="18"/>
        </w:rPr>
        <w:t>Material differences between salary documents and bank credits require explanation.</w:t>
      </w:r>
    </w:p>
    <w:p>
      <w:pPr>
        <w:spacing w:after="46"/>
        <w:ind w:left="259" w:hanging="173"/>
      </w:pPr>
      <w:r>
        <w:rPr>
          <w:rFonts w:ascii="Aptos" w:hAnsi="Aptos" w:eastAsia="Aptos"/>
          <w:b/>
          <w:color w:val="2F5597"/>
          <w:sz w:val="18"/>
        </w:rPr>
        <w:t xml:space="preserve">• </w:t>
      </w:r>
      <w:r>
        <w:rPr>
          <w:rFonts w:ascii="Aptos" w:hAnsi="Aptos" w:eastAsia="Aptos"/>
          <w:sz w:val="18"/>
        </w:rPr>
        <w:t>Recent job changes, probation or irregular salary credits shall be referred for manual underwriting where required.</w:t>
      </w:r>
    </w:p>
    <w:p>
      <w:pPr>
        <w:spacing w:after="46"/>
        <w:ind w:left="259" w:hanging="173"/>
      </w:pPr>
      <w:r>
        <w:rPr>
          <w:rFonts w:ascii="Aptos" w:hAnsi="Aptos" w:eastAsia="Aptos"/>
          <w:b/>
          <w:color w:val="2F5597"/>
          <w:sz w:val="18"/>
        </w:rPr>
        <w:t xml:space="preserve">• </w:t>
      </w:r>
      <w:r>
        <w:rPr>
          <w:rFonts w:ascii="Aptos" w:hAnsi="Aptos" w:eastAsia="Aptos"/>
          <w:sz w:val="18"/>
        </w:rPr>
        <w:t>Variable components may be averaged or haircutted rather than fully capitalized.</w:t>
      </w:r>
    </w:p>
    <w:p>
      <w:pPr>
        <w:spacing w:after="46"/>
        <w:ind w:left="259" w:hanging="173"/>
      </w:pPr>
      <w:r>
        <w:rPr>
          <w:rFonts w:ascii="Aptos" w:hAnsi="Aptos" w:eastAsia="Aptos"/>
          <w:b/>
          <w:color w:val="2F5597"/>
          <w:sz w:val="18"/>
        </w:rPr>
        <w:t xml:space="preserve">• </w:t>
      </w:r>
      <w:r>
        <w:rPr>
          <w:rFonts w:ascii="Aptos" w:hAnsi="Aptos" w:eastAsia="Aptos"/>
          <w:sz w:val="18"/>
        </w:rPr>
        <w:t>Employer verification shall use an approved method and preserve the result.</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Income documents; bank credits; employment check; underwriter adjustment.</w:t>
      </w:r>
    </w:p>
    <w:p>
      <w:pPr>
        <w:pStyle w:val="Heading1"/>
      </w:pPr>
      <w:r>
        <w:t>8. Bank Statement Analysis</w:t>
      </w:r>
    </w:p>
    <w:p>
      <w:pPr>
        <w:spacing w:after="80"/>
        <w:keepLines/>
      </w:pPr>
      <w:r>
        <w:t>Bank statements are used to assess income receipt, obligations, account conduct and transaction patterns relevant to the credit decision. Review intensity depends on product and risk.</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Identify recurring loan debits, salary or business credits, return charges and material unexplained transfers.</w:t>
      </w:r>
    </w:p>
    <w:p>
      <w:pPr>
        <w:spacing w:after="46"/>
        <w:ind w:left="259" w:hanging="173"/>
      </w:pPr>
      <w:r>
        <w:rPr>
          <w:rFonts w:ascii="Aptos" w:hAnsi="Aptos" w:eastAsia="Aptos"/>
          <w:b/>
          <w:color w:val="2F5597"/>
          <w:sz w:val="18"/>
        </w:rPr>
        <w:t xml:space="preserve">• </w:t>
      </w:r>
      <w:r>
        <w:rPr>
          <w:rFonts w:ascii="Aptos" w:hAnsi="Aptos" w:eastAsia="Aptos"/>
          <w:sz w:val="18"/>
        </w:rPr>
        <w:t>Where bank statements reveal obligations absent from the application, the obligation reconciliation must be updated.</w:t>
      </w:r>
    </w:p>
    <w:p>
      <w:pPr>
        <w:spacing w:after="46"/>
        <w:ind w:left="259" w:hanging="173"/>
      </w:pPr>
      <w:r>
        <w:rPr>
          <w:rFonts w:ascii="Aptos" w:hAnsi="Aptos" w:eastAsia="Aptos"/>
          <w:b/>
          <w:color w:val="2F5597"/>
          <w:sz w:val="18"/>
        </w:rPr>
        <w:t xml:space="preserve">• </w:t>
      </w:r>
      <w:r>
        <w:rPr>
          <w:rFonts w:ascii="Aptos" w:hAnsi="Aptos" w:eastAsia="Aptos"/>
          <w:sz w:val="18"/>
        </w:rPr>
        <w:t>A single exceptional credit shall not be treated as recurring income without evidence.</w:t>
      </w:r>
    </w:p>
    <w:p>
      <w:pPr>
        <w:spacing w:after="46"/>
        <w:ind w:left="259" w:hanging="173"/>
      </w:pPr>
      <w:r>
        <w:rPr>
          <w:rFonts w:ascii="Aptos" w:hAnsi="Aptos" w:eastAsia="Aptos"/>
          <w:b/>
          <w:color w:val="2F5597"/>
          <w:sz w:val="18"/>
        </w:rPr>
        <w:t xml:space="preserve">• </w:t>
      </w:r>
      <w:r>
        <w:rPr>
          <w:rFonts w:ascii="Aptos" w:hAnsi="Aptos" w:eastAsia="Aptos"/>
          <w:sz w:val="18"/>
        </w:rPr>
        <w:t>Suspected manipulation or inconsistent statement data shall be escalated under fraud controls.</w:t>
      </w:r>
    </w:p>
    <w:p>
      <w:pPr>
        <w:spacing w:after="46"/>
        <w:ind w:left="259" w:hanging="173"/>
      </w:pPr>
      <w:r>
        <w:rPr>
          <w:rFonts w:ascii="Aptos" w:hAnsi="Aptos" w:eastAsia="Aptos"/>
          <w:b/>
          <w:color w:val="2F5597"/>
          <w:sz w:val="18"/>
        </w:rPr>
        <w:t xml:space="preserve">• </w:t>
      </w:r>
      <w:r>
        <w:rPr>
          <w:rFonts w:ascii="Aptos" w:hAnsi="Aptos" w:eastAsia="Aptos"/>
          <w:sz w:val="18"/>
        </w:rPr>
        <w:t>Automated statement analysis may support review but material flags require human resolution where the procedure specifies.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Statement source; analysis output; manual flags; obligation update.</w:t>
      </w:r>
    </w:p>
    <w:p>
      <w:r>
        <w:br w:type="page"/>
      </w:r>
    </w:p>
    <w:p>
      <w:pPr>
        <w:pStyle w:val="Heading1"/>
      </w:pPr>
      <w:r>
        <w:t>9. Credit Bureau Verification</w:t>
      </w:r>
    </w:p>
    <w:p>
      <w:pPr>
        <w:spacing w:after="80"/>
        <w:keepLines/>
      </w:pPr>
      <w:r>
        <w:t>A current bureau check shall be obtained where required by the product and matched to the applicant using approved identity attributes.</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Capture bureau score, enquiry date, material liabilities, delinquencies and adverse history.</w:t>
      </w:r>
    </w:p>
    <w:p>
      <w:pPr>
        <w:spacing w:after="46"/>
        <w:ind w:left="259" w:hanging="173"/>
      </w:pPr>
      <w:r>
        <w:rPr>
          <w:rFonts w:ascii="Aptos" w:hAnsi="Aptos" w:eastAsia="Aptos"/>
          <w:b/>
          <w:color w:val="2F5597"/>
          <w:sz w:val="18"/>
        </w:rPr>
        <w:t xml:space="preserve">• </w:t>
      </w:r>
      <w:r>
        <w:rPr>
          <w:rFonts w:ascii="Aptos" w:hAnsi="Aptos" w:eastAsia="Aptos"/>
          <w:sz w:val="18"/>
        </w:rPr>
        <w:t>Bureau score below enterprise or product thresholds shall follow the applicable enhanced-review or exception route.</w:t>
      </w:r>
    </w:p>
    <w:p>
      <w:pPr>
        <w:spacing w:after="46"/>
        <w:ind w:left="259" w:hanging="173"/>
      </w:pPr>
      <w:r>
        <w:rPr>
          <w:rFonts w:ascii="Aptos" w:hAnsi="Aptos" w:eastAsia="Aptos"/>
          <w:b/>
          <w:color w:val="2F5597"/>
          <w:sz w:val="18"/>
        </w:rPr>
        <w:t xml:space="preserve">• </w:t>
      </w:r>
      <w:r>
        <w:rPr>
          <w:rFonts w:ascii="Aptos" w:hAnsi="Aptos" w:eastAsia="Aptos"/>
          <w:sz w:val="18"/>
        </w:rPr>
        <w:t>Discrepancies between bureau liabilities and declared obligations shall be resolved before affordability is finalized.</w:t>
      </w:r>
    </w:p>
    <w:p>
      <w:pPr>
        <w:spacing w:after="46"/>
        <w:ind w:left="259" w:hanging="173"/>
      </w:pPr>
      <w:r>
        <w:rPr>
          <w:rFonts w:ascii="Aptos" w:hAnsi="Aptos" w:eastAsia="Aptos"/>
          <w:b/>
          <w:color w:val="2F5597"/>
          <w:sz w:val="18"/>
        </w:rPr>
        <w:t xml:space="preserve">• </w:t>
      </w:r>
      <w:r>
        <w:rPr>
          <w:rFonts w:ascii="Aptos" w:hAnsi="Aptos" w:eastAsia="Aptos"/>
          <w:sz w:val="18"/>
        </w:rPr>
        <w:t>Multiple recent enquiries or concurrent Northstar applications shall be reviewed for leverage or fraud concerns.</w:t>
      </w:r>
    </w:p>
    <w:p>
      <w:pPr>
        <w:spacing w:after="46"/>
        <w:ind w:left="259" w:hanging="173"/>
      </w:pPr>
      <w:r>
        <w:rPr>
          <w:rFonts w:ascii="Aptos" w:hAnsi="Aptos" w:eastAsia="Aptos"/>
          <w:b/>
          <w:color w:val="2F5597"/>
          <w:sz w:val="18"/>
        </w:rPr>
        <w:t xml:space="preserve">• </w:t>
      </w:r>
      <w:r>
        <w:rPr>
          <w:rFonts w:ascii="Aptos" w:hAnsi="Aptos" w:eastAsia="Aptos"/>
          <w:sz w:val="18"/>
        </w:rPr>
        <w:t>A fresh bureau check may be required where approval validity expires or material time passes before disbursement.</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Bureau report; freshness date; liability reconciliation; duplicate-application review.</w:t>
      </w:r>
    </w:p>
    <w:p>
      <w:pPr>
        <w:pStyle w:val="Heading1"/>
      </w:pPr>
      <w:r>
        <w:t>10. Affordability Assessment</w:t>
      </w:r>
    </w:p>
    <w:p>
      <w:pPr>
        <w:spacing w:after="80"/>
        <w:keepLines/>
      </w:pPr>
      <w:r>
        <w:t>Affordability shall be based on verified income and known obligations using the governing product calculation. The decision should remain understandable even when automated calculations are used.</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For standard personal loans, the current CRP-001 DTI limit is 45%.</w:t>
      </w:r>
    </w:p>
    <w:p>
      <w:pPr>
        <w:spacing w:after="46"/>
        <w:ind w:left="259" w:hanging="173"/>
      </w:pPr>
      <w:r>
        <w:rPr>
          <w:rFonts w:ascii="Aptos" w:hAnsi="Aptos" w:eastAsia="Aptos"/>
          <w:b/>
          <w:color w:val="2F5597"/>
          <w:sz w:val="18"/>
        </w:rPr>
        <w:t xml:space="preserve">• </w:t>
      </w:r>
      <w:r>
        <w:rPr>
          <w:rFonts w:ascii="Aptos" w:hAnsi="Aptos" w:eastAsia="Aptos"/>
          <w:sz w:val="18"/>
        </w:rPr>
        <w:t>Personal-loan DTI above 45% must follow CEP-006 and PLU-011 unless a valid historical transition rule applies.</w:t>
      </w:r>
    </w:p>
    <w:p>
      <w:pPr>
        <w:spacing w:after="46"/>
        <w:ind w:left="259" w:hanging="173"/>
      </w:pPr>
      <w:r>
        <w:rPr>
          <w:rFonts w:ascii="Aptos" w:hAnsi="Aptos" w:eastAsia="Aptos"/>
          <w:b/>
          <w:color w:val="2F5597"/>
          <w:sz w:val="18"/>
        </w:rPr>
        <w:t xml:space="preserve">• </w:t>
      </w:r>
      <w:r>
        <w:rPr>
          <w:rFonts w:ascii="Aptos" w:hAnsi="Aptos" w:eastAsia="Aptos"/>
          <w:sz w:val="18"/>
        </w:rPr>
        <w:t>FOIR shall be calculated and considered separately where required; an acceptable DTI does not automatically cure excessive fixed obligations.</w:t>
      </w:r>
    </w:p>
    <w:p>
      <w:pPr>
        <w:spacing w:after="46"/>
        <w:ind w:left="259" w:hanging="173"/>
      </w:pPr>
      <w:r>
        <w:rPr>
          <w:rFonts w:ascii="Aptos" w:hAnsi="Aptos" w:eastAsia="Aptos"/>
          <w:b/>
          <w:color w:val="2F5597"/>
          <w:sz w:val="18"/>
        </w:rPr>
        <w:t xml:space="preserve">• </w:t>
      </w:r>
      <w:r>
        <w:rPr>
          <w:rFonts w:ascii="Aptos" w:hAnsi="Aptos" w:eastAsia="Aptos"/>
          <w:sz w:val="18"/>
        </w:rPr>
        <w:t>Undeclared obligations found from reliable evidence must be included.</w:t>
      </w:r>
    </w:p>
    <w:p>
      <w:pPr>
        <w:spacing w:after="46"/>
        <w:ind w:left="259" w:hanging="173"/>
      </w:pPr>
      <w:r>
        <w:rPr>
          <w:rFonts w:ascii="Aptos" w:hAnsi="Aptos" w:eastAsia="Aptos"/>
          <w:b/>
          <w:color w:val="2F5597"/>
          <w:sz w:val="18"/>
        </w:rPr>
        <w:t xml:space="preserve">• </w:t>
      </w:r>
      <w:r>
        <w:rPr>
          <w:rFonts w:ascii="Aptos" w:hAnsi="Aptos" w:eastAsia="Aptos"/>
          <w:sz w:val="18"/>
        </w:rPr>
        <w:t>The affordability record shall preserve the input values and formula version used for the decision.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Affordability worksheet; DTI/FOIR values; formula version; exception ID where applicable.</w:t>
      </w:r>
    </w:p>
    <w:p>
      <w:r>
        <w:br w:type="page"/>
      </w:r>
    </w:p>
    <w:p>
      <w:pPr>
        <w:pStyle w:val="Heading1"/>
      </w:pPr>
      <w:r>
        <w:t>11. Fraud Checks and Duplicate Applications</w:t>
      </w:r>
    </w:p>
    <w:p>
      <w:pPr>
        <w:spacing w:after="80"/>
        <w:keepLines/>
      </w:pPr>
      <w:r>
        <w:t>Origination controls shall identify identity misuse, manipulated information, suspicious sourcing behavior and duplicate or concurrent applications before final decision.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Search for duplicate customer, device, contact, bank-account or application indicators where the approved system supports them.</w:t>
      </w:r>
    </w:p>
    <w:p>
      <w:pPr>
        <w:spacing w:after="46"/>
        <w:ind w:left="259" w:hanging="173"/>
      </w:pPr>
      <w:r>
        <w:rPr>
          <w:rFonts w:ascii="Aptos" w:hAnsi="Aptos" w:eastAsia="Aptos"/>
          <w:b/>
          <w:color w:val="2F5597"/>
          <w:sz w:val="18"/>
        </w:rPr>
        <w:t xml:space="preserve">• </w:t>
      </w:r>
      <w:r>
        <w:rPr>
          <w:rFonts w:ascii="Aptos" w:hAnsi="Aptos" w:eastAsia="Aptos"/>
          <w:sz w:val="18"/>
        </w:rPr>
        <w:t>Multiple applications across branches or channels shall be consolidated for exposure and investigated where timing is suspicious.</w:t>
      </w:r>
    </w:p>
    <w:p>
      <w:pPr>
        <w:spacing w:after="46"/>
        <w:ind w:left="259" w:hanging="173"/>
      </w:pPr>
      <w:r>
        <w:rPr>
          <w:rFonts w:ascii="Aptos" w:hAnsi="Aptos" w:eastAsia="Aptos"/>
          <w:b/>
          <w:color w:val="2F5597"/>
          <w:sz w:val="18"/>
        </w:rPr>
        <w:t xml:space="preserve">• </w:t>
      </w:r>
      <w:r>
        <w:rPr>
          <w:rFonts w:ascii="Aptos" w:hAnsi="Aptos" w:eastAsia="Aptos"/>
          <w:sz w:val="18"/>
        </w:rPr>
        <w:t>Document tampering, synthetic identity indicators or unexplained inconsistencies shall be escalated under the future Fraud Escalation Procedure.</w:t>
      </w:r>
    </w:p>
    <w:p>
      <w:pPr>
        <w:spacing w:after="46"/>
        <w:ind w:left="259" w:hanging="173"/>
      </w:pPr>
      <w:r>
        <w:rPr>
          <w:rFonts w:ascii="Aptos" w:hAnsi="Aptos" w:eastAsia="Aptos"/>
          <w:b/>
          <w:color w:val="2F5597"/>
          <w:sz w:val="18"/>
        </w:rPr>
        <w:t xml:space="preserve">• </w:t>
      </w:r>
      <w:r>
        <w:rPr>
          <w:rFonts w:ascii="Aptos" w:hAnsi="Aptos" w:eastAsia="Aptos"/>
          <w:sz w:val="18"/>
        </w:rPr>
        <w:t>A fraud review hold suspends final approval and disbursement until resolved.</w:t>
      </w:r>
    </w:p>
    <w:p>
      <w:pPr>
        <w:spacing w:after="46"/>
        <w:ind w:left="259" w:hanging="173"/>
      </w:pPr>
      <w:r>
        <w:rPr>
          <w:rFonts w:ascii="Aptos" w:hAnsi="Aptos" w:eastAsia="Aptos"/>
          <w:b/>
          <w:color w:val="2F5597"/>
          <w:sz w:val="18"/>
        </w:rPr>
        <w:t xml:space="preserve">• </w:t>
      </w:r>
      <w:r>
        <w:rPr>
          <w:rFonts w:ascii="Aptos" w:hAnsi="Aptos" w:eastAsia="Aptos"/>
          <w:sz w:val="18"/>
        </w:rPr>
        <w:t>Fraud concerns shall not be cleared merely because the applicant has a high bureau score.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Duplicate-search result; fraud flags; case reference; resolution.</w:t>
      </w:r>
    </w:p>
    <w:p>
      <w:pPr>
        <w:pStyle w:val="Heading1"/>
      </w:pPr>
      <w:r>
        <w:t>12. KYC and AML Screening Interface</w:t>
      </w:r>
    </w:p>
    <w:p>
      <w:pPr>
        <w:spacing w:after="80"/>
        <w:keepLines/>
      </w:pPr>
      <w:r>
        <w:t>Credit origination shall not bypass KYC, sanctions or AML screening statuses required for onboarding. These controls remain owned by Compliance and AML functions even when they are displayed in the lending workflow.</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 credit approver shall not override a sanctions or AML restriction using credit authority.</w:t>
      </w:r>
    </w:p>
    <w:p>
      <w:pPr>
        <w:spacing w:after="46"/>
        <w:ind w:left="259" w:hanging="173"/>
      </w:pPr>
      <w:r>
        <w:rPr>
          <w:rFonts w:ascii="Aptos" w:hAnsi="Aptos" w:eastAsia="Aptos"/>
          <w:b/>
          <w:color w:val="2F5597"/>
          <w:sz w:val="18"/>
        </w:rPr>
        <w:t xml:space="preserve">• </w:t>
      </w:r>
      <w:r>
        <w:rPr>
          <w:rFonts w:ascii="Aptos" w:hAnsi="Aptos" w:eastAsia="Aptos"/>
          <w:sz w:val="18"/>
        </w:rPr>
        <w:t>Potential PEP or sanctions matches shall follow the future KYC/AML escalation process.</w:t>
      </w:r>
    </w:p>
    <w:p>
      <w:pPr>
        <w:spacing w:after="46"/>
        <w:ind w:left="259" w:hanging="173"/>
      </w:pPr>
      <w:r>
        <w:rPr>
          <w:rFonts w:ascii="Aptos" w:hAnsi="Aptos" w:eastAsia="Aptos"/>
          <w:b/>
          <w:color w:val="2F5597"/>
          <w:sz w:val="18"/>
        </w:rPr>
        <w:t xml:space="preserve">• </w:t>
      </w:r>
      <w:r>
        <w:rPr>
          <w:rFonts w:ascii="Aptos" w:hAnsi="Aptos" w:eastAsia="Aptos"/>
          <w:sz w:val="18"/>
        </w:rPr>
        <w:t>Source-of-funds or source-of-wealth evidence may be required for designated higher-risk customer or transaction types under future procedures.</w:t>
      </w:r>
    </w:p>
    <w:p>
      <w:pPr>
        <w:spacing w:after="46"/>
        <w:ind w:left="259" w:hanging="173"/>
      </w:pPr>
      <w:r>
        <w:rPr>
          <w:rFonts w:ascii="Aptos" w:hAnsi="Aptos" w:eastAsia="Aptos"/>
          <w:b/>
          <w:color w:val="2F5597"/>
          <w:sz w:val="18"/>
        </w:rPr>
        <w:t xml:space="preserve">• </w:t>
      </w:r>
      <w:r>
        <w:rPr>
          <w:rFonts w:ascii="Aptos" w:hAnsi="Aptos" w:eastAsia="Aptos"/>
          <w:sz w:val="18"/>
        </w:rPr>
        <w:t>The workflow shall record the status rather than embed uncontrolled interpretations of AML requirements.</w:t>
      </w:r>
    </w:p>
    <w:p>
      <w:pPr>
        <w:spacing w:after="46"/>
        <w:ind w:left="259" w:hanging="173"/>
      </w:pPr>
      <w:r>
        <w:rPr>
          <w:rFonts w:ascii="Aptos" w:hAnsi="Aptos" w:eastAsia="Aptos"/>
          <w:b/>
          <w:color w:val="2F5597"/>
          <w:sz w:val="18"/>
        </w:rPr>
        <w:t xml:space="preserve">• </w:t>
      </w:r>
      <w:r>
        <w:rPr>
          <w:rFonts w:ascii="Aptos" w:hAnsi="Aptos" w:eastAsia="Aptos"/>
          <w:sz w:val="18"/>
        </w:rPr>
        <w:t>Disbursement is blocked while a mandatory KYC/AML condition remains unresolved.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Screening status; escalation reference; hold/release decision.</w:t>
      </w:r>
    </w:p>
    <w:p>
      <w:r>
        <w:br w:type="page"/>
      </w:r>
    </w:p>
    <w:p>
      <w:pPr>
        <w:pStyle w:val="Heading1"/>
      </w:pPr>
      <w:r>
        <w:t>13. Automated Decisioning</w:t>
      </w:r>
    </w:p>
    <w:p>
      <w:pPr>
        <w:spacing w:after="80"/>
        <w:keepLines/>
      </w:pPr>
      <w:r>
        <w:t>Automated decisioning may be used for cases within an approved product rule set, data-quality standard and risk band. A system result is valid only when all required inputs and controls were successfully completed.</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Straight-through approval is limited to approved score, DTI, FOIR, amount, fraud and data-quality bands.</w:t>
      </w:r>
    </w:p>
    <w:p>
      <w:pPr>
        <w:spacing w:after="46"/>
        <w:ind w:left="259" w:hanging="173"/>
      </w:pPr>
      <w:r>
        <w:rPr>
          <w:rFonts w:ascii="Aptos" w:hAnsi="Aptos" w:eastAsia="Aptos"/>
          <w:b/>
          <w:color w:val="2F5597"/>
          <w:sz w:val="18"/>
        </w:rPr>
        <w:t xml:space="preserve">• </w:t>
      </w:r>
      <w:r>
        <w:rPr>
          <w:rFonts w:ascii="Aptos" w:hAnsi="Aptos" w:eastAsia="Aptos"/>
          <w:sz w:val="18"/>
        </w:rPr>
        <w:t>A system error, missing critical data or out-of-range result shall route to manual review rather than default approval.</w:t>
      </w:r>
    </w:p>
    <w:p>
      <w:pPr>
        <w:spacing w:after="46"/>
        <w:ind w:left="259" w:hanging="173"/>
      </w:pPr>
      <w:r>
        <w:rPr>
          <w:rFonts w:ascii="Aptos" w:hAnsi="Aptos" w:eastAsia="Aptos"/>
          <w:b/>
          <w:color w:val="2F5597"/>
          <w:sz w:val="18"/>
        </w:rPr>
        <w:t xml:space="preserve">• </w:t>
      </w:r>
      <w:r>
        <w:rPr>
          <w:rFonts w:ascii="Aptos" w:hAnsi="Aptos" w:eastAsia="Aptos"/>
          <w:sz w:val="18"/>
        </w:rPr>
        <w:t>The decision record shall retain ruleset/model version and outcome reason codes.</w:t>
      </w:r>
    </w:p>
    <w:p>
      <w:pPr>
        <w:spacing w:after="46"/>
        <w:ind w:left="259" w:hanging="173"/>
      </w:pPr>
      <w:r>
        <w:rPr>
          <w:rFonts w:ascii="Aptos" w:hAnsi="Aptos" w:eastAsia="Aptos"/>
          <w:b/>
          <w:color w:val="2F5597"/>
          <w:sz w:val="18"/>
        </w:rPr>
        <w:t xml:space="preserve">• </w:t>
      </w:r>
      <w:r>
        <w:rPr>
          <w:rFonts w:ascii="Aptos" w:hAnsi="Aptos" w:eastAsia="Aptos"/>
          <w:sz w:val="18"/>
        </w:rPr>
        <w:t>Product procedures may set stricter operational score thresholds than enterprise policy.</w:t>
      </w:r>
    </w:p>
    <w:p>
      <w:pPr>
        <w:spacing w:after="46"/>
        <w:ind w:left="259" w:hanging="173"/>
      </w:pPr>
      <w:r>
        <w:rPr>
          <w:rFonts w:ascii="Aptos" w:hAnsi="Aptos" w:eastAsia="Aptos"/>
          <w:b/>
          <w:color w:val="2F5597"/>
          <w:sz w:val="18"/>
        </w:rPr>
        <w:t xml:space="preserve">• </w:t>
      </w:r>
      <w:r>
        <w:rPr>
          <w:rFonts w:ascii="Aptos" w:hAnsi="Aptos" w:eastAsia="Aptos"/>
          <w:sz w:val="18"/>
        </w:rPr>
        <w:t>No user may manually alter input values to force a desired automated result.</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Ruleset version; reason codes; automated outcome; fallback/manual review record.</w:t>
      </w:r>
    </w:p>
    <w:p>
      <w:pPr>
        <w:pStyle w:val="Heading1"/>
      </w:pPr>
      <w:r>
        <w:t>14. Manual Underwriting</w:t>
      </w:r>
    </w:p>
    <w:p>
      <w:pPr>
        <w:spacing w:after="80"/>
        <w:keepLines/>
      </w:pPr>
      <w:r>
        <w:t>Manual underwriting applies where the product requires judgement, the case falls outside straight-through criteria or a material discrepancy needs resolution.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Underwriters shall consider income stability, obligations, bureau history, requested structure, fraud flags and any material adverse information.</w:t>
      </w:r>
    </w:p>
    <w:p>
      <w:pPr>
        <w:spacing w:after="46"/>
        <w:ind w:left="259" w:hanging="173"/>
      </w:pPr>
      <w:r>
        <w:rPr>
          <w:rFonts w:ascii="Aptos" w:hAnsi="Aptos" w:eastAsia="Aptos"/>
          <w:b/>
          <w:color w:val="2F5597"/>
          <w:sz w:val="18"/>
        </w:rPr>
        <w:t xml:space="preserve">• </w:t>
      </w:r>
      <w:r>
        <w:rPr>
          <w:rFonts w:ascii="Aptos" w:hAnsi="Aptos" w:eastAsia="Aptos"/>
          <w:sz w:val="18"/>
        </w:rPr>
        <w:t>Manual review must not treat automated decline as an error merely because a sales team requests reconsideration.</w:t>
      </w:r>
    </w:p>
    <w:p>
      <w:pPr>
        <w:spacing w:after="46"/>
        <w:ind w:left="259" w:hanging="173"/>
      </w:pPr>
      <w:r>
        <w:rPr>
          <w:rFonts w:ascii="Aptos" w:hAnsi="Aptos" w:eastAsia="Aptos"/>
          <w:b/>
          <w:color w:val="2F5597"/>
          <w:sz w:val="18"/>
        </w:rPr>
        <w:t xml:space="preserve">• </w:t>
      </w:r>
      <w:r>
        <w:rPr>
          <w:rFonts w:ascii="Aptos" w:hAnsi="Aptos" w:eastAsia="Aptos"/>
          <w:sz w:val="18"/>
        </w:rPr>
        <w:t>Where an exception is proposed, the underwriter shall identify the rule and initiate CEP-006 before approval.</w:t>
      </w:r>
    </w:p>
    <w:p>
      <w:pPr>
        <w:spacing w:after="46"/>
        <w:ind w:left="259" w:hanging="173"/>
      </w:pPr>
      <w:r>
        <w:rPr>
          <w:rFonts w:ascii="Aptos" w:hAnsi="Aptos" w:eastAsia="Aptos"/>
          <w:b/>
          <w:color w:val="2F5597"/>
          <w:sz w:val="18"/>
        </w:rPr>
        <w:t xml:space="preserve">• </w:t>
      </w:r>
      <w:r>
        <w:rPr>
          <w:rFonts w:ascii="Aptos" w:hAnsi="Aptos" w:eastAsia="Aptos"/>
          <w:sz w:val="18"/>
        </w:rPr>
        <w:t>The rationale must distinguish observed facts, judgement and compensating factors.</w:t>
      </w:r>
    </w:p>
    <w:p>
      <w:pPr>
        <w:spacing w:after="46"/>
        <w:ind w:left="259" w:hanging="173"/>
      </w:pPr>
      <w:r>
        <w:rPr>
          <w:rFonts w:ascii="Aptos" w:hAnsi="Aptos" w:eastAsia="Aptos"/>
          <w:b/>
          <w:color w:val="2F5597"/>
          <w:sz w:val="18"/>
        </w:rPr>
        <w:t xml:space="preserve">• </w:t>
      </w:r>
      <w:r>
        <w:rPr>
          <w:rFonts w:ascii="Aptos" w:hAnsi="Aptos" w:eastAsia="Aptos"/>
          <w:sz w:val="18"/>
        </w:rPr>
        <w:t>Approvers shall not rely on undocumented verbal explanations.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Underwriting notes; exception request; supporting evidence; final recommendation.</w:t>
      </w:r>
    </w:p>
    <w:p>
      <w:r>
        <w:br w:type="page"/>
      </w:r>
    </w:p>
    <w:p>
      <w:pPr>
        <w:pStyle w:val="Heading1"/>
      </w:pPr>
      <w:r>
        <w:t>15. Approval and Conditions</w:t>
      </w:r>
    </w:p>
    <w:p>
      <w:pPr>
        <w:spacing w:after="80"/>
        <w:keepLines/>
      </w:pPr>
      <w:r>
        <w:t>A credit approval records the approved amount, tenor, pricing or structure where relevant, key conditions, authority and validity period. It is not a payment instruction.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Approval authority shall comply with CDAS-007 for product, amount, risk grade and exception status.</w:t>
      </w:r>
    </w:p>
    <w:p>
      <w:pPr>
        <w:spacing w:after="46"/>
        <w:ind w:left="259" w:hanging="173"/>
      </w:pPr>
      <w:r>
        <w:rPr>
          <w:rFonts w:ascii="Aptos" w:hAnsi="Aptos" w:eastAsia="Aptos"/>
          <w:b/>
          <w:color w:val="2F5597"/>
          <w:sz w:val="18"/>
        </w:rPr>
        <w:t xml:space="preserve">• </w:t>
      </w:r>
      <w:r>
        <w:rPr>
          <w:rFonts w:ascii="Aptos" w:hAnsi="Aptos" w:eastAsia="Aptos"/>
          <w:sz w:val="18"/>
        </w:rPr>
        <w:t>Approval conditions must be specific and capable of being verified before or after disbursement as stated.</w:t>
      </w:r>
    </w:p>
    <w:p>
      <w:pPr>
        <w:spacing w:after="46"/>
        <w:ind w:left="259" w:hanging="173"/>
      </w:pPr>
      <w:r>
        <w:rPr>
          <w:rFonts w:ascii="Aptos" w:hAnsi="Aptos" w:eastAsia="Aptos"/>
          <w:b/>
          <w:color w:val="2F5597"/>
          <w:sz w:val="18"/>
        </w:rPr>
        <w:t xml:space="preserve">• </w:t>
      </w:r>
      <w:r>
        <w:rPr>
          <w:rFonts w:ascii="Aptos" w:hAnsi="Aptos" w:eastAsia="Aptos"/>
          <w:sz w:val="18"/>
        </w:rPr>
        <w:t>Personal-loan approvals are valid for 30 calendar days unless a shorter period is imposed.</w:t>
      </w:r>
    </w:p>
    <w:p>
      <w:pPr>
        <w:spacing w:after="46"/>
        <w:ind w:left="259" w:hanging="173"/>
      </w:pPr>
      <w:r>
        <w:rPr>
          <w:rFonts w:ascii="Aptos" w:hAnsi="Aptos" w:eastAsia="Aptos"/>
          <w:b/>
          <w:color w:val="2F5597"/>
          <w:sz w:val="18"/>
        </w:rPr>
        <w:t xml:space="preserve">• </w:t>
      </w:r>
      <w:r>
        <w:rPr>
          <w:rFonts w:ascii="Aptos" w:hAnsi="Aptos" w:eastAsia="Aptos"/>
          <w:sz w:val="18"/>
        </w:rPr>
        <w:t>Vehicle-finance approvals are generally valid for 45 calendar days; SME approvals for 60 calendar days unless the product says otherwise.</w:t>
      </w:r>
    </w:p>
    <w:p>
      <w:pPr>
        <w:spacing w:after="46"/>
        <w:ind w:left="259" w:hanging="173"/>
      </w:pPr>
      <w:r>
        <w:rPr>
          <w:rFonts w:ascii="Aptos" w:hAnsi="Aptos" w:eastAsia="Aptos"/>
          <w:b/>
          <w:color w:val="2F5597"/>
          <w:sz w:val="18"/>
        </w:rPr>
        <w:t xml:space="preserve">• </w:t>
      </w:r>
      <w:r>
        <w:rPr>
          <w:rFonts w:ascii="Aptos" w:hAnsi="Aptos" w:eastAsia="Aptos"/>
          <w:sz w:val="18"/>
        </w:rPr>
        <w:t>Conditions that materially affect credit risk cannot be waived by Operations.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Approval record; authority level; validity date; conditions list.</w:t>
      </w:r>
    </w:p>
    <w:p>
      <w:pPr>
        <w:pStyle w:val="Heading1"/>
      </w:pPr>
      <w:r>
        <w:t>16. Rejection, Withdrawal and Customer Communication</w:t>
      </w:r>
    </w:p>
    <w:p>
      <w:pPr>
        <w:spacing w:after="80"/>
        <w:keepLines/>
      </w:pPr>
      <w:r>
        <w:t>Final outcomes shall distinguish decline, customer withdrawal, duplicate closure, expiry and cancellation so portfolio reporting does not misclassify unsuccessful applications.</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Decline reasons shall be recorded using approved reason codes and sufficient internal detail.</w:t>
      </w:r>
    </w:p>
    <w:p>
      <w:pPr>
        <w:spacing w:after="46"/>
        <w:ind w:left="259" w:hanging="173"/>
      </w:pPr>
      <w:r>
        <w:rPr>
          <w:rFonts w:ascii="Aptos" w:hAnsi="Aptos" w:eastAsia="Aptos"/>
          <w:b/>
          <w:color w:val="2F5597"/>
          <w:sz w:val="18"/>
        </w:rPr>
        <w:t xml:space="preserve">• </w:t>
      </w:r>
      <w:r>
        <w:rPr>
          <w:rFonts w:ascii="Aptos" w:hAnsi="Aptos" w:eastAsia="Aptos"/>
          <w:sz w:val="18"/>
        </w:rPr>
        <w:t>Customer withdrawal shall not be converted to decline merely to simplify workflow closure.</w:t>
      </w:r>
    </w:p>
    <w:p>
      <w:pPr>
        <w:spacing w:after="46"/>
        <w:ind w:left="259" w:hanging="173"/>
      </w:pPr>
      <w:r>
        <w:rPr>
          <w:rFonts w:ascii="Aptos" w:hAnsi="Aptos" w:eastAsia="Aptos"/>
          <w:b/>
          <w:color w:val="2F5597"/>
          <w:sz w:val="18"/>
        </w:rPr>
        <w:t xml:space="preserve">• </w:t>
      </w:r>
      <w:r>
        <w:rPr>
          <w:rFonts w:ascii="Aptos" w:hAnsi="Aptos" w:eastAsia="Aptos"/>
          <w:sz w:val="18"/>
        </w:rPr>
        <w:t>A duplicate application may be closed after confirming which record remains active.</w:t>
      </w:r>
    </w:p>
    <w:p>
      <w:pPr>
        <w:spacing w:after="46"/>
        <w:ind w:left="259" w:hanging="173"/>
      </w:pPr>
      <w:r>
        <w:rPr>
          <w:rFonts w:ascii="Aptos" w:hAnsi="Aptos" w:eastAsia="Aptos"/>
          <w:b/>
          <w:color w:val="2F5597"/>
          <w:sz w:val="18"/>
        </w:rPr>
        <w:t xml:space="preserve">• </w:t>
      </w:r>
      <w:r>
        <w:rPr>
          <w:rFonts w:ascii="Aptos" w:hAnsi="Aptos" w:eastAsia="Aptos"/>
          <w:sz w:val="18"/>
        </w:rPr>
        <w:t>Where a customer changes material facts before decision, the active application shall be updated or restarted according to the product process.</w:t>
      </w:r>
    </w:p>
    <w:p>
      <w:pPr>
        <w:spacing w:after="46"/>
        <w:ind w:left="259" w:hanging="173"/>
      </w:pPr>
      <w:r>
        <w:rPr>
          <w:rFonts w:ascii="Aptos" w:hAnsi="Aptos" w:eastAsia="Aptos"/>
          <w:b/>
          <w:color w:val="2F5597"/>
          <w:sz w:val="18"/>
        </w:rPr>
        <w:t xml:space="preserve">• </w:t>
      </w:r>
      <w:r>
        <w:rPr>
          <w:rFonts w:ascii="Aptos" w:hAnsi="Aptos" w:eastAsia="Aptos"/>
          <w:sz w:val="18"/>
        </w:rPr>
        <w:t>Customer-facing communications shall comply with approved wording and future compliance standards.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Decision code; closure reason; communication record; duplicate linkage.</w:t>
      </w:r>
    </w:p>
    <w:p>
      <w:r>
        <w:br w:type="page"/>
      </w:r>
    </w:p>
    <w:p>
      <w:pPr>
        <w:pStyle w:val="Heading1"/>
      </w:pPr>
      <w:r>
        <w:t>17. Amended Applications and Exceptions</w:t>
      </w:r>
    </w:p>
    <w:p>
      <w:pPr>
        <w:spacing w:after="80"/>
        <w:keepLines/>
      </w:pPr>
      <w:r>
        <w:t>Material application changes require controlled reassessment because the original underwriting outcome may no longer represent the requested exposure.</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Increases in amount or tenor require recalculation of affordability and re-check of authority.</w:t>
      </w:r>
    </w:p>
    <w:p>
      <w:pPr>
        <w:spacing w:after="46"/>
        <w:ind w:left="259" w:hanging="173"/>
      </w:pPr>
      <w:r>
        <w:rPr>
          <w:rFonts w:ascii="Aptos" w:hAnsi="Aptos" w:eastAsia="Aptos"/>
          <w:b/>
          <w:color w:val="2F5597"/>
          <w:sz w:val="18"/>
        </w:rPr>
        <w:t xml:space="preserve">• </w:t>
      </w:r>
      <w:r>
        <w:rPr>
          <w:rFonts w:ascii="Aptos" w:hAnsi="Aptos" w:eastAsia="Aptos"/>
          <w:sz w:val="18"/>
        </w:rPr>
        <w:t>A lower amount may be accepted without full reapproval only where the product process permits and no risk metric worsens.</w:t>
      </w:r>
    </w:p>
    <w:p>
      <w:pPr>
        <w:spacing w:after="46"/>
        <w:ind w:left="259" w:hanging="173"/>
      </w:pPr>
      <w:r>
        <w:rPr>
          <w:rFonts w:ascii="Aptos" w:hAnsi="Aptos" w:eastAsia="Aptos"/>
          <w:b/>
          <w:color w:val="2F5597"/>
          <w:sz w:val="18"/>
        </w:rPr>
        <w:t xml:space="preserve">• </w:t>
      </w:r>
      <w:r>
        <w:rPr>
          <w:rFonts w:ascii="Aptos" w:hAnsi="Aptos" w:eastAsia="Aptos"/>
          <w:sz w:val="18"/>
        </w:rPr>
        <w:t>A new employer, reduced income, additional obligation or adverse bureau event requires re-underwriting.</w:t>
      </w:r>
    </w:p>
    <w:p>
      <w:pPr>
        <w:spacing w:after="46"/>
        <w:ind w:left="259" w:hanging="173"/>
      </w:pPr>
      <w:r>
        <w:rPr>
          <w:rFonts w:ascii="Aptos" w:hAnsi="Aptos" w:eastAsia="Aptos"/>
          <w:b/>
          <w:color w:val="2F5597"/>
          <w:sz w:val="18"/>
        </w:rPr>
        <w:t xml:space="preserve">• </w:t>
      </w:r>
      <w:r>
        <w:rPr>
          <w:rFonts w:ascii="Aptos" w:hAnsi="Aptos" w:eastAsia="Aptos"/>
          <w:sz w:val="18"/>
        </w:rPr>
        <w:t>Any new policy deviation shall follow CEP-006 before approval.</w:t>
      </w:r>
    </w:p>
    <w:p>
      <w:pPr>
        <w:spacing w:after="46"/>
        <w:ind w:left="259" w:hanging="173"/>
      </w:pPr>
      <w:r>
        <w:rPr>
          <w:rFonts w:ascii="Aptos" w:hAnsi="Aptos" w:eastAsia="Aptos"/>
          <w:b/>
          <w:color w:val="2F5597"/>
          <w:sz w:val="18"/>
        </w:rPr>
        <w:t xml:space="preserve">• </w:t>
      </w:r>
      <w:r>
        <w:rPr>
          <w:rFonts w:ascii="Aptos" w:hAnsi="Aptos" w:eastAsia="Aptos"/>
          <w:sz w:val="18"/>
        </w:rPr>
        <w:t>Historical decisions shall be retained; the latest decision should not overwrite the original record.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Amendment log; before/after values; revised underwriting; new exception/approval where applicable.</w:t>
      </w:r>
    </w:p>
    <w:p>
      <w:pPr>
        <w:pStyle w:val="Heading1"/>
      </w:pPr>
      <w:r>
        <w:t>18. Pre-Disbursement Readiness</w:t>
      </w:r>
    </w:p>
    <w:p>
      <w:pPr>
        <w:spacing w:after="80"/>
        <w:keepLines/>
      </w:pPr>
      <w:r>
        <w:t>Before handover to Operations, origination shall confirm that the approved case has enough completed evidence for LDP-013 to perform an independent readiness check.</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Final approval must be valid and within authority.</w:t>
      </w:r>
    </w:p>
    <w:p>
      <w:pPr>
        <w:spacing w:after="46"/>
        <w:ind w:left="259" w:hanging="173"/>
      </w:pPr>
      <w:r>
        <w:rPr>
          <w:rFonts w:ascii="Aptos" w:hAnsi="Aptos" w:eastAsia="Aptos"/>
          <w:b/>
          <w:color w:val="2F5597"/>
          <w:sz w:val="18"/>
        </w:rPr>
        <w:t xml:space="preserve">• </w:t>
      </w:r>
      <w:r>
        <w:rPr>
          <w:rFonts w:ascii="Aptos" w:hAnsi="Aptos" w:eastAsia="Aptos"/>
          <w:sz w:val="18"/>
        </w:rPr>
        <w:t>Mandatory identity, KYC, AML and fraud statuses must be cleared or supported by an explicitly permitted condition.</w:t>
      </w:r>
    </w:p>
    <w:p>
      <w:pPr>
        <w:spacing w:after="46"/>
        <w:ind w:left="259" w:hanging="173"/>
      </w:pPr>
      <w:r>
        <w:rPr>
          <w:rFonts w:ascii="Aptos" w:hAnsi="Aptos" w:eastAsia="Aptos"/>
          <w:b/>
          <w:color w:val="2F5597"/>
          <w:sz w:val="18"/>
        </w:rPr>
        <w:t xml:space="preserve">• </w:t>
      </w:r>
      <w:r>
        <w:rPr>
          <w:rFonts w:ascii="Aptos" w:hAnsi="Aptos" w:eastAsia="Aptos"/>
          <w:sz w:val="18"/>
        </w:rPr>
        <w:t>Credit exceptions and pre-disbursement conditions must be visible and linked.</w:t>
      </w:r>
    </w:p>
    <w:p>
      <w:pPr>
        <w:spacing w:after="46"/>
        <w:ind w:left="259" w:hanging="173"/>
      </w:pPr>
      <w:r>
        <w:rPr>
          <w:rFonts w:ascii="Aptos" w:hAnsi="Aptos" w:eastAsia="Aptos"/>
          <w:b/>
          <w:color w:val="2F5597"/>
          <w:sz w:val="18"/>
        </w:rPr>
        <w:t xml:space="preserve">• </w:t>
      </w:r>
      <w:r>
        <w:rPr>
          <w:rFonts w:ascii="Aptos" w:hAnsi="Aptos" w:eastAsia="Aptos"/>
          <w:sz w:val="18"/>
        </w:rPr>
        <w:t>Bank account or beneficiary details must be captured through the approved process.</w:t>
      </w:r>
    </w:p>
    <w:p>
      <w:pPr>
        <w:spacing w:after="46"/>
        <w:ind w:left="259" w:hanging="173"/>
      </w:pPr>
      <w:r>
        <w:rPr>
          <w:rFonts w:ascii="Aptos" w:hAnsi="Aptos" w:eastAsia="Aptos"/>
          <w:b/>
          <w:color w:val="2F5597"/>
          <w:sz w:val="18"/>
        </w:rPr>
        <w:t xml:space="preserve">• </w:t>
      </w:r>
      <w:r>
        <w:rPr>
          <w:rFonts w:ascii="Aptos" w:hAnsi="Aptos" w:eastAsia="Aptos"/>
          <w:sz w:val="18"/>
        </w:rPr>
        <w:t>The handover shall state outstanding items that Operations is expected to verify rather than assume approval equals readiness.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Handover checklist; approval; exception IDs; outstanding-condition list.</w:t>
      </w:r>
    </w:p>
    <w:p>
      <w:r>
        <w:br w:type="page"/>
      </w:r>
    </w:p>
    <w:p>
      <w:pPr>
        <w:pStyle w:val="Heading1"/>
      </w:pPr>
      <w:r>
        <w:t>19. Disbursement Handover</w:t>
      </w:r>
    </w:p>
    <w:p>
      <w:pPr>
        <w:spacing w:after="80"/>
        <w:keepLines/>
      </w:pPr>
      <w:r>
        <w:t>The origination team hands an approved case to Credit Operations; Operations independently verifies release conditions under LDP-013 and does not repeat the substantive credit decision unless facts have changed.</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Operations may reject the handover as incomplete without declining the credit application.</w:t>
      </w:r>
    </w:p>
    <w:p>
      <w:pPr>
        <w:spacing w:after="46"/>
        <w:ind w:left="259" w:hanging="173"/>
      </w:pPr>
      <w:r>
        <w:rPr>
          <w:rFonts w:ascii="Aptos" w:hAnsi="Aptos" w:eastAsia="Aptos"/>
          <w:b/>
          <w:color w:val="2F5597"/>
          <w:sz w:val="18"/>
        </w:rPr>
        <w:t xml:space="preserve">• </w:t>
      </w:r>
      <w:r>
        <w:rPr>
          <w:rFonts w:ascii="Aptos" w:hAnsi="Aptos" w:eastAsia="Aptos"/>
          <w:sz w:val="18"/>
        </w:rPr>
        <w:t>A stale or expired approval must be revalidated before payment.</w:t>
      </w:r>
    </w:p>
    <w:p>
      <w:pPr>
        <w:spacing w:after="46"/>
        <w:ind w:left="259" w:hanging="173"/>
      </w:pPr>
      <w:r>
        <w:rPr>
          <w:rFonts w:ascii="Aptos" w:hAnsi="Aptos" w:eastAsia="Aptos"/>
          <w:b/>
          <w:color w:val="2F5597"/>
          <w:sz w:val="18"/>
        </w:rPr>
        <w:t xml:space="preserve">• </w:t>
      </w:r>
      <w:r>
        <w:rPr>
          <w:rFonts w:ascii="Aptos" w:hAnsi="Aptos" w:eastAsia="Aptos"/>
          <w:sz w:val="18"/>
        </w:rPr>
        <w:t>Material changed facts discovered during readiness checking shall be returned to underwriting.</w:t>
      </w:r>
    </w:p>
    <w:p>
      <w:pPr>
        <w:spacing w:after="46"/>
        <w:ind w:left="259" w:hanging="173"/>
      </w:pPr>
      <w:r>
        <w:rPr>
          <w:rFonts w:ascii="Aptos" w:hAnsi="Aptos" w:eastAsia="Aptos"/>
          <w:b/>
          <w:color w:val="2F5597"/>
          <w:sz w:val="18"/>
        </w:rPr>
        <w:t xml:space="preserve">• </w:t>
      </w:r>
      <w:r>
        <w:rPr>
          <w:rFonts w:ascii="Aptos" w:hAnsi="Aptos" w:eastAsia="Aptos"/>
          <w:sz w:val="18"/>
        </w:rPr>
        <w:t>Payment execution requires maker-checker controls independent of credit approval.</w:t>
      </w:r>
    </w:p>
    <w:p>
      <w:pPr>
        <w:spacing w:after="46"/>
        <w:ind w:left="259" w:hanging="173"/>
      </w:pPr>
      <w:r>
        <w:rPr>
          <w:rFonts w:ascii="Aptos" w:hAnsi="Aptos" w:eastAsia="Aptos"/>
          <w:b/>
          <w:color w:val="2F5597"/>
          <w:sz w:val="18"/>
        </w:rPr>
        <w:t xml:space="preserve">• </w:t>
      </w:r>
      <w:r>
        <w:rPr>
          <w:rFonts w:ascii="Aptos" w:hAnsi="Aptos" w:eastAsia="Aptos"/>
          <w:sz w:val="18"/>
        </w:rPr>
        <w:t>The final disbursement record shall link to the approval and application.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Handover timestamp; readiness status; return-to-underwriting record; disbursement reference.</w:t>
      </w:r>
    </w:p>
    <w:p>
      <w:pPr>
        <w:pStyle w:val="Heading1"/>
      </w:pPr>
      <w:r>
        <w:t>20. Post-Disbursement Monitoring Handover</w:t>
      </w:r>
    </w:p>
    <w:p>
      <w:pPr>
        <w:spacing w:after="80"/>
        <w:keepLines/>
      </w:pPr>
      <w:r>
        <w:t>After booking, ownership of routine servicing and monitoring transfers according to the product operating model, while origination records remain available for later risk review.</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Any promised post-disbursement document must have an owner and due date.</w:t>
      </w:r>
    </w:p>
    <w:p>
      <w:pPr>
        <w:spacing w:after="46"/>
        <w:ind w:left="259" w:hanging="173"/>
      </w:pPr>
      <w:r>
        <w:rPr>
          <w:rFonts w:ascii="Aptos" w:hAnsi="Aptos" w:eastAsia="Aptos"/>
          <w:b/>
          <w:color w:val="2F5597"/>
          <w:sz w:val="18"/>
        </w:rPr>
        <w:t xml:space="preserve">• </w:t>
      </w:r>
      <w:r>
        <w:rPr>
          <w:rFonts w:ascii="Aptos" w:hAnsi="Aptos" w:eastAsia="Aptos"/>
          <w:sz w:val="18"/>
        </w:rPr>
        <w:t>Collateral perfection or deferred security conditions shall be tracked to closure where permitted.</w:t>
      </w:r>
    </w:p>
    <w:p>
      <w:pPr>
        <w:spacing w:after="46"/>
        <w:ind w:left="259" w:hanging="173"/>
      </w:pPr>
      <w:r>
        <w:rPr>
          <w:rFonts w:ascii="Aptos" w:hAnsi="Aptos" w:eastAsia="Aptos"/>
          <w:b/>
          <w:color w:val="2F5597"/>
          <w:sz w:val="18"/>
        </w:rPr>
        <w:t xml:space="preserve">• </w:t>
      </w:r>
      <w:r>
        <w:rPr>
          <w:rFonts w:ascii="Aptos" w:hAnsi="Aptos" w:eastAsia="Aptos"/>
          <w:sz w:val="18"/>
        </w:rPr>
        <w:t>Early delinquency may trigger review of origination quality, channel or exception cohorts.</w:t>
      </w:r>
    </w:p>
    <w:p>
      <w:pPr>
        <w:spacing w:after="46"/>
        <w:ind w:left="259" w:hanging="173"/>
      </w:pPr>
      <w:r>
        <w:rPr>
          <w:rFonts w:ascii="Aptos" w:hAnsi="Aptos" w:eastAsia="Aptos"/>
          <w:b/>
          <w:color w:val="2F5597"/>
          <w:sz w:val="18"/>
        </w:rPr>
        <w:t xml:space="preserve">• </w:t>
      </w:r>
      <w:r>
        <w:rPr>
          <w:rFonts w:ascii="Aptos" w:hAnsi="Aptos" w:eastAsia="Aptos"/>
          <w:sz w:val="18"/>
        </w:rPr>
        <w:t>Misrepresentation discovered after booking shall be escalated to Fraud Risk and Credit Risk.</w:t>
      </w:r>
    </w:p>
    <w:p>
      <w:pPr>
        <w:spacing w:after="46"/>
        <w:ind w:left="259" w:hanging="173"/>
      </w:pPr>
      <w:r>
        <w:rPr>
          <w:rFonts w:ascii="Aptos" w:hAnsi="Aptos" w:eastAsia="Aptos"/>
          <w:b/>
          <w:color w:val="2F5597"/>
          <w:sz w:val="18"/>
        </w:rPr>
        <w:t xml:space="preserve">• </w:t>
      </w:r>
      <w:r>
        <w:rPr>
          <w:rFonts w:ascii="Aptos" w:hAnsi="Aptos" w:eastAsia="Aptos"/>
          <w:sz w:val="18"/>
        </w:rPr>
        <w:t>Origination defects identified post-booking shall be recorded as QA issues or breaches as appropriate.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Post-disbursement condition tracker; servicing handover; QA/fraud referral.</w:t>
      </w:r>
    </w:p>
    <w:p>
      <w:r>
        <w:br w:type="page"/>
      </w:r>
    </w:p>
    <w:p>
      <w:pPr>
        <w:pStyle w:val="Heading1"/>
      </w:pPr>
      <w:r>
        <w:t>21. Quality Assurance and Maker-Checker Controls</w:t>
      </w:r>
    </w:p>
    <w:p>
      <w:pPr>
        <w:spacing w:after="80"/>
        <w:keepLines/>
      </w:pPr>
      <w:r>
        <w:t>Quality assurance tests whether applications were processed consistently and whether evidence supports the recorded decision. Maker-checker controls prevent a single operator from completing designated operational stages unchallenged.</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QA shall sample approvals, declines, exceptions, digital and manually processed cases.</w:t>
      </w:r>
    </w:p>
    <w:p>
      <w:pPr>
        <w:spacing w:after="46"/>
        <w:ind w:left="259" w:hanging="173"/>
      </w:pPr>
      <w:r>
        <w:rPr>
          <w:rFonts w:ascii="Aptos" w:hAnsi="Aptos" w:eastAsia="Aptos"/>
          <w:b/>
          <w:color w:val="2F5597"/>
          <w:sz w:val="18"/>
        </w:rPr>
        <w:t xml:space="preserve">• </w:t>
      </w:r>
      <w:r>
        <w:rPr>
          <w:rFonts w:ascii="Aptos" w:hAnsi="Aptos" w:eastAsia="Aptos"/>
          <w:sz w:val="18"/>
        </w:rPr>
        <w:t>The checker shall verify designated data and evidence rather than simply re-click the maker's action.</w:t>
      </w:r>
    </w:p>
    <w:p>
      <w:pPr>
        <w:spacing w:after="46"/>
        <w:ind w:left="259" w:hanging="173"/>
      </w:pPr>
      <w:r>
        <w:rPr>
          <w:rFonts w:ascii="Aptos" w:hAnsi="Aptos" w:eastAsia="Aptos"/>
          <w:b/>
          <w:color w:val="2F5597"/>
          <w:sz w:val="18"/>
        </w:rPr>
        <w:t xml:space="preserve">• </w:t>
      </w:r>
      <w:r>
        <w:rPr>
          <w:rFonts w:ascii="Aptos" w:hAnsi="Aptos" w:eastAsia="Aptos"/>
          <w:sz w:val="18"/>
        </w:rPr>
        <w:t>Credit approval and operational checker roles are distinct controls and may have different independence rules.</w:t>
      </w:r>
    </w:p>
    <w:p>
      <w:pPr>
        <w:spacing w:after="46"/>
        <w:ind w:left="259" w:hanging="173"/>
      </w:pPr>
      <w:r>
        <w:rPr>
          <w:rFonts w:ascii="Aptos" w:hAnsi="Aptos" w:eastAsia="Aptos"/>
          <w:b/>
          <w:color w:val="2F5597"/>
          <w:sz w:val="18"/>
        </w:rPr>
        <w:t xml:space="preserve">• </w:t>
      </w:r>
      <w:r>
        <w:rPr>
          <w:rFonts w:ascii="Aptos" w:hAnsi="Aptos" w:eastAsia="Aptos"/>
          <w:sz w:val="18"/>
        </w:rPr>
        <w:t>Material repeat errors shall trigger remediation, training or workflow change.</w:t>
      </w:r>
    </w:p>
    <w:p>
      <w:pPr>
        <w:spacing w:after="46"/>
        <w:ind w:left="259" w:hanging="173"/>
      </w:pPr>
      <w:r>
        <w:rPr>
          <w:rFonts w:ascii="Aptos" w:hAnsi="Aptos" w:eastAsia="Aptos"/>
          <w:b/>
          <w:color w:val="2F5597"/>
          <w:sz w:val="18"/>
        </w:rPr>
        <w:t xml:space="preserve">• </w:t>
      </w:r>
      <w:r>
        <w:rPr>
          <w:rFonts w:ascii="Aptos" w:hAnsi="Aptos" w:eastAsia="Aptos"/>
          <w:sz w:val="18"/>
        </w:rPr>
        <w:t>QA findings shall be tracked to closure with accountable owners.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QA sample; maker/checker log; findings; remediation evidence.</w:t>
      </w:r>
    </w:p>
    <w:p>
      <w:pPr>
        <w:pStyle w:val="Heading1"/>
      </w:pPr>
      <w:r>
        <w:t>22. Turnaround Times and Escalation</w:t>
      </w:r>
    </w:p>
    <w:p>
      <w:pPr>
        <w:spacing w:after="80"/>
        <w:keepLines/>
      </w:pPr>
      <w:r>
        <w:t>Service targets support customer experience but do not override required controls. Cases may be escalated for operational attention without lowering the approval or evidence standard.</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Target turnaround times may differ by product, channel and documentation completeness.</w:t>
      </w:r>
    </w:p>
    <w:p>
      <w:pPr>
        <w:spacing w:after="46"/>
        <w:ind w:left="259" w:hanging="173"/>
      </w:pPr>
      <w:r>
        <w:rPr>
          <w:rFonts w:ascii="Aptos" w:hAnsi="Aptos" w:eastAsia="Aptos"/>
          <w:b/>
          <w:color w:val="2F5597"/>
          <w:sz w:val="18"/>
        </w:rPr>
        <w:t xml:space="preserve">• </w:t>
      </w:r>
      <w:r>
        <w:rPr>
          <w:rFonts w:ascii="Aptos" w:hAnsi="Aptos" w:eastAsia="Aptos"/>
          <w:sz w:val="18"/>
        </w:rPr>
        <w:t>Clock stops may be used for customer-pending information where the approved operating definition permits.</w:t>
      </w:r>
    </w:p>
    <w:p>
      <w:pPr>
        <w:spacing w:after="46"/>
        <w:ind w:left="259" w:hanging="173"/>
      </w:pPr>
      <w:r>
        <w:rPr>
          <w:rFonts w:ascii="Aptos" w:hAnsi="Aptos" w:eastAsia="Aptos"/>
          <w:b/>
          <w:color w:val="2F5597"/>
          <w:sz w:val="18"/>
        </w:rPr>
        <w:t xml:space="preserve">• </w:t>
      </w:r>
      <w:r>
        <w:rPr>
          <w:rFonts w:ascii="Aptos" w:hAnsi="Aptos" w:eastAsia="Aptos"/>
          <w:sz w:val="18"/>
        </w:rPr>
        <w:t>A priority escalation shall state the operational reason and current blocker.</w:t>
      </w:r>
    </w:p>
    <w:p>
      <w:pPr>
        <w:spacing w:after="46"/>
        <w:ind w:left="259" w:hanging="173"/>
      </w:pPr>
      <w:r>
        <w:rPr>
          <w:rFonts w:ascii="Aptos" w:hAnsi="Aptos" w:eastAsia="Aptos"/>
          <w:b/>
          <w:color w:val="2F5597"/>
          <w:sz w:val="18"/>
        </w:rPr>
        <w:t xml:space="preserve">• </w:t>
      </w:r>
      <w:r>
        <w:rPr>
          <w:rFonts w:ascii="Aptos" w:hAnsi="Aptos" w:eastAsia="Aptos"/>
          <w:sz w:val="18"/>
        </w:rPr>
        <w:t>No employee may bypass KYC, fraud, affordability or authority controls to meet a service target.</w:t>
      </w:r>
    </w:p>
    <w:p>
      <w:pPr>
        <w:spacing w:after="46"/>
        <w:ind w:left="259" w:hanging="173"/>
      </w:pPr>
      <w:r>
        <w:rPr>
          <w:rFonts w:ascii="Aptos" w:hAnsi="Aptos" w:eastAsia="Aptos"/>
          <w:b/>
          <w:color w:val="2F5597"/>
          <w:sz w:val="18"/>
        </w:rPr>
        <w:t xml:space="preserve">• </w:t>
      </w:r>
      <w:r>
        <w:rPr>
          <w:rFonts w:ascii="Aptos" w:hAnsi="Aptos" w:eastAsia="Aptos"/>
          <w:sz w:val="18"/>
        </w:rPr>
        <w:t>Persistent delays caused by a control design issue shall be escalated to the relevant process owner.</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TAT timestamps; pause reason; escalation log; process issue.</w:t>
      </w:r>
    </w:p>
    <w:p>
      <w:r>
        <w:br w:type="page"/>
      </w:r>
    </w:p>
    <w:p>
      <w:pPr>
        <w:pStyle w:val="Heading1"/>
      </w:pPr>
      <w:r>
        <w:t>23. Recordkeeping and Data Quality</w:t>
      </w:r>
    </w:p>
    <w:p>
      <w:pPr>
        <w:spacing w:after="80"/>
        <w:keepLines/>
      </w:pPr>
      <w:r>
        <w:t>Origination records shall permit reconstruction of what the customer provided, what Northstar verified, what the system calculated and who made the decision.</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Material documents shall be linked to the correct application and version.</w:t>
      </w:r>
    </w:p>
    <w:p>
      <w:pPr>
        <w:spacing w:after="46"/>
        <w:ind w:left="259" w:hanging="173"/>
      </w:pPr>
      <w:r>
        <w:rPr>
          <w:rFonts w:ascii="Aptos" w:hAnsi="Aptos" w:eastAsia="Aptos"/>
          <w:b/>
          <w:color w:val="2F5597"/>
          <w:sz w:val="18"/>
        </w:rPr>
        <w:t xml:space="preserve">• </w:t>
      </w:r>
      <w:r>
        <w:rPr>
          <w:rFonts w:ascii="Aptos" w:hAnsi="Aptos" w:eastAsia="Aptos"/>
          <w:sz w:val="18"/>
        </w:rPr>
        <w:t>Critical underwriting inputs shall not be overwritten without retaining change history.</w:t>
      </w:r>
    </w:p>
    <w:p>
      <w:pPr>
        <w:spacing w:after="46"/>
        <w:ind w:left="259" w:hanging="173"/>
      </w:pPr>
      <w:r>
        <w:rPr>
          <w:rFonts w:ascii="Aptos" w:hAnsi="Aptos" w:eastAsia="Aptos"/>
          <w:b/>
          <w:color w:val="2F5597"/>
          <w:sz w:val="18"/>
        </w:rPr>
        <w:t xml:space="preserve">• </w:t>
      </w:r>
      <w:r>
        <w:rPr>
          <w:rFonts w:ascii="Aptos" w:hAnsi="Aptos" w:eastAsia="Aptos"/>
          <w:sz w:val="18"/>
        </w:rPr>
        <w:t>Data corrections after decision shall identify who changed the field, why and whether reapproval was required.</w:t>
      </w:r>
    </w:p>
    <w:p>
      <w:pPr>
        <w:spacing w:after="46"/>
        <w:ind w:left="259" w:hanging="173"/>
      </w:pPr>
      <w:r>
        <w:rPr>
          <w:rFonts w:ascii="Aptos" w:hAnsi="Aptos" w:eastAsia="Aptos"/>
          <w:b/>
          <w:color w:val="2F5597"/>
          <w:sz w:val="18"/>
        </w:rPr>
        <w:t xml:space="preserve">• </w:t>
      </w:r>
      <w:r>
        <w:rPr>
          <w:rFonts w:ascii="Aptos" w:hAnsi="Aptos" w:eastAsia="Aptos"/>
          <w:sz w:val="18"/>
        </w:rPr>
        <w:t>Records shall be retained under the internal retention schedule and legal-hold process.</w:t>
      </w:r>
    </w:p>
    <w:p>
      <w:pPr>
        <w:spacing w:after="46"/>
        <w:ind w:left="259" w:hanging="173"/>
      </w:pPr>
      <w:r>
        <w:rPr>
          <w:rFonts w:ascii="Aptos" w:hAnsi="Aptos" w:eastAsia="Aptos"/>
          <w:b/>
          <w:color w:val="2F5597"/>
          <w:sz w:val="18"/>
        </w:rPr>
        <w:t xml:space="preserve">• </w:t>
      </w:r>
      <w:r>
        <w:rPr>
          <w:rFonts w:ascii="Aptos" w:hAnsi="Aptos" w:eastAsia="Aptos"/>
          <w:sz w:val="18"/>
        </w:rPr>
        <w:t>Data-quality issues affecting multiple applications shall be escalated as operational-risk incidents.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Audit trail; data-change log; document index; retention record.</w:t>
      </w:r>
    </w:p>
    <w:p>
      <w:pPr>
        <w:pStyle w:val="Heading1"/>
      </w:pPr>
      <w:r>
        <w:t>24. Governance and Effective-Date Treatment</w:t>
      </w:r>
    </w:p>
    <w:p>
      <w:pPr>
        <w:spacing w:after="80"/>
        <w:keepLines/>
      </w:pPr>
      <w:r>
        <w:t>This version is effective 20 May 2025. It aligns origination controls to the current Credit Risk Policy while preserving prior application dates needed to interpret historical transitions.</w:t>
      </w:r>
    </w:p>
    <w:p>
      <w:pPr>
        <w:spacing w:after="80"/>
        <w:keepLines/>
      </w:pPr>
      <w:r>
        <w:t>Origination teams are expected to preserve a clear stage-by-stage record and to return incomplete or changed cases to the correct control owner rather than work around the workflow.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Applications submitted before 1 April 2025 may still fall within CRP-001's limited DTI transition if approved by 31 May 2025 and properly evidenced.</w:t>
      </w:r>
    </w:p>
    <w:p>
      <w:pPr>
        <w:spacing w:after="46"/>
        <w:ind w:left="259" w:hanging="173"/>
      </w:pPr>
      <w:r>
        <w:rPr>
          <w:rFonts w:ascii="Aptos" w:hAnsi="Aptos" w:eastAsia="Aptos"/>
          <w:b/>
          <w:color w:val="2F5597"/>
          <w:sz w:val="18"/>
        </w:rPr>
        <w:t xml:space="preserve">• </w:t>
      </w:r>
      <w:r>
        <w:rPr>
          <w:rFonts w:ascii="Aptos" w:hAnsi="Aptos" w:eastAsia="Aptos"/>
          <w:sz w:val="18"/>
        </w:rPr>
        <w:t>Applications submitted on or after 1 April 2025 shall apply the current 45% standard DTI and current exception process.</w:t>
      </w:r>
    </w:p>
    <w:p>
      <w:pPr>
        <w:spacing w:after="46"/>
        <w:ind w:left="259" w:hanging="173"/>
      </w:pPr>
      <w:r>
        <w:rPr>
          <w:rFonts w:ascii="Aptos" w:hAnsi="Aptos" w:eastAsia="Aptos"/>
          <w:b/>
          <w:color w:val="2F5597"/>
          <w:sz w:val="18"/>
        </w:rPr>
        <w:t xml:space="preserve">• </w:t>
      </w:r>
      <w:r>
        <w:rPr>
          <w:rFonts w:ascii="Aptos" w:hAnsi="Aptos" w:eastAsia="Aptos"/>
          <w:sz w:val="18"/>
        </w:rPr>
        <w:t>From 1 June 2025, no application may rely on the prior 50% DTI solely due to an older workflow configuration.</w:t>
      </w:r>
    </w:p>
    <w:p>
      <w:pPr>
        <w:spacing w:after="46"/>
        <w:ind w:left="259" w:hanging="173"/>
      </w:pPr>
      <w:r>
        <w:rPr>
          <w:rFonts w:ascii="Aptos" w:hAnsi="Aptos" w:eastAsia="Aptos"/>
          <w:b/>
          <w:color w:val="2F5597"/>
          <w:sz w:val="18"/>
        </w:rPr>
        <w:t xml:space="preserve">• </w:t>
      </w:r>
      <w:r>
        <w:rPr>
          <w:rFonts w:ascii="Aptos" w:hAnsi="Aptos" w:eastAsia="Aptos"/>
          <w:sz w:val="18"/>
        </w:rPr>
        <w:t>The latest approved product procedure governs detailed underwriting where it is more restrictive than this Policy.</w:t>
      </w:r>
    </w:p>
    <w:p>
      <w:pPr>
        <w:spacing w:after="46"/>
        <w:ind w:left="259" w:hanging="173"/>
      </w:pPr>
      <w:r>
        <w:rPr>
          <w:rFonts w:ascii="Aptos" w:hAnsi="Aptos" w:eastAsia="Aptos"/>
          <w:b/>
          <w:color w:val="2F5597"/>
          <w:sz w:val="18"/>
        </w:rPr>
        <w:t xml:space="preserve">• </w:t>
      </w:r>
      <w:r>
        <w:rPr>
          <w:rFonts w:ascii="Aptos" w:hAnsi="Aptos" w:eastAsia="Aptos"/>
          <w:sz w:val="18"/>
        </w:rPr>
        <w:t>Changes to product rules shall use controlled effective dates and must not silently rewrite prior decisions.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Policy version; application submission date; ruleset version; transition marker.</w:t>
      </w:r>
    </w:p>
    <w:p>
      <w:r>
        <w:br w:type="page"/>
      </w:r>
    </w:p>
    <w:p>
      <w:pPr>
        <w:pStyle w:val="Heading1"/>
      </w:pPr>
      <w:r>
        <w:t>Appendix A — Origination Stage-Gate Matrix</w:t>
      </w:r>
    </w:p>
    <w:p>
      <w:r>
        <w:t>The matrix separates decision stages and shows the minimum control outcome required before progression.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2160"/>
            <w:shd w:fill="17365D"/>
            <w:tcMar>
              <w:top w:w="70" w:type="dxa"/>
              <w:start w:w="90" w:type="dxa"/>
              <w:bottom w:w="70" w:type="dxa"/>
              <w:end w:w="90" w:type="dxa"/>
            </w:tcMar>
          </w:tcPr>
          <w:p>
            <w:pPr>
              <w:spacing w:after="0"/>
            </w:pPr>
            <w:r>
              <w:rPr>
                <w:rFonts w:ascii="Aptos" w:hAnsi="Aptos" w:eastAsia="Aptos"/>
                <w:b/>
                <w:color w:val="FFFFFF"/>
                <w:sz w:val="15"/>
              </w:rPr>
              <w:t>Stage</w:t>
            </w:r>
          </w:p>
        </w:tc>
        <w:tc>
          <w:tcPr>
            <w:tcW w:type="dxa" w:w="2160"/>
            <w:shd w:fill="17365D"/>
            <w:tcMar>
              <w:top w:w="70" w:type="dxa"/>
              <w:start w:w="90" w:type="dxa"/>
              <w:bottom w:w="70" w:type="dxa"/>
              <w:end w:w="90" w:type="dxa"/>
            </w:tcMar>
          </w:tcPr>
          <w:p>
            <w:pPr>
              <w:spacing w:after="0"/>
            </w:pPr>
            <w:r>
              <w:rPr>
                <w:rFonts w:ascii="Aptos" w:hAnsi="Aptos" w:eastAsia="Aptos"/>
                <w:b/>
                <w:color w:val="FFFFFF"/>
                <w:sz w:val="15"/>
              </w:rPr>
              <w:t>Owner</w:t>
            </w:r>
          </w:p>
        </w:tc>
        <w:tc>
          <w:tcPr>
            <w:tcW w:type="dxa" w:w="5760"/>
            <w:shd w:fill="17365D"/>
            <w:tcMar>
              <w:top w:w="70" w:type="dxa"/>
              <w:start w:w="90" w:type="dxa"/>
              <w:bottom w:w="70" w:type="dxa"/>
              <w:end w:w="90" w:type="dxa"/>
            </w:tcMar>
          </w:tcPr>
          <w:p>
            <w:pPr>
              <w:spacing w:after="0"/>
            </w:pPr>
            <w:r>
              <w:rPr>
                <w:rFonts w:ascii="Aptos" w:hAnsi="Aptos" w:eastAsia="Aptos"/>
                <w:b/>
                <w:color w:val="FFFFFF"/>
                <w:sz w:val="15"/>
              </w:rPr>
              <w:t>Minimum exit criteria</w:t>
            </w:r>
          </w:p>
        </w:tc>
      </w:tr>
      <w:tr>
        <w:tc>
          <w:tcPr>
            <w:tcW w:type="dxa" w:w="2160"/>
            <w:tcMar>
              <w:top w:w="70" w:type="dxa"/>
              <w:start w:w="90" w:type="dxa"/>
              <w:bottom w:w="70" w:type="dxa"/>
              <w:end w:w="90" w:type="dxa"/>
            </w:tcMar>
            <w:vAlign w:val="center"/>
          </w:tcPr>
          <w:p>
            <w:pPr>
              <w:spacing w:after="0"/>
            </w:pPr>
            <w:r>
              <w:rPr>
                <w:rFonts w:ascii="Aptos" w:hAnsi="Aptos" w:eastAsia="Aptos"/>
                <w:sz w:val="15"/>
              </w:rPr>
              <w:t>Intake</w:t>
            </w:r>
          </w:p>
        </w:tc>
        <w:tc>
          <w:tcPr>
            <w:tcW w:type="dxa" w:w="2160"/>
            <w:tcMar>
              <w:top w:w="70" w:type="dxa"/>
              <w:start w:w="90" w:type="dxa"/>
              <w:bottom w:w="70" w:type="dxa"/>
              <w:end w:w="90" w:type="dxa"/>
            </w:tcMar>
            <w:vAlign w:val="center"/>
          </w:tcPr>
          <w:p>
            <w:pPr>
              <w:spacing w:after="0"/>
            </w:pPr>
            <w:r>
              <w:rPr>
                <w:rFonts w:ascii="Aptos" w:hAnsi="Aptos" w:eastAsia="Aptos"/>
                <w:sz w:val="15"/>
              </w:rPr>
              <w:t>Sales / channel</w:t>
            </w:r>
          </w:p>
        </w:tc>
        <w:tc>
          <w:tcPr>
            <w:tcW w:type="dxa" w:w="5760"/>
            <w:tcMar>
              <w:top w:w="70" w:type="dxa"/>
              <w:start w:w="90" w:type="dxa"/>
              <w:bottom w:w="70" w:type="dxa"/>
              <w:end w:w="90" w:type="dxa"/>
            </w:tcMar>
            <w:vAlign w:val="center"/>
          </w:tcPr>
          <w:p>
            <w:pPr>
              <w:spacing w:after="0"/>
            </w:pPr>
            <w:r>
              <w:rPr>
                <w:rFonts w:ascii="Aptos" w:hAnsi="Aptos" w:eastAsia="Aptos"/>
                <w:sz w:val="15"/>
              </w:rPr>
              <w:t>Unique application ID, source, basic customer and request data</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Eligibility</w:t>
            </w:r>
          </w:p>
        </w:tc>
        <w:tc>
          <w:tcPr>
            <w:tcW w:type="dxa" w:w="2160"/>
            <w:shd w:fill="F7F9FC"/>
            <w:tcMar>
              <w:top w:w="70" w:type="dxa"/>
              <w:start w:w="90" w:type="dxa"/>
              <w:bottom w:w="70" w:type="dxa"/>
              <w:end w:w="90" w:type="dxa"/>
            </w:tcMar>
            <w:vAlign w:val="center"/>
          </w:tcPr>
          <w:p>
            <w:pPr>
              <w:spacing w:after="0"/>
            </w:pPr>
            <w:r>
              <w:rPr>
                <w:rFonts w:ascii="Aptos" w:hAnsi="Aptos" w:eastAsia="Aptos"/>
                <w:sz w:val="15"/>
              </w:rPr>
              <w:t>Sales / system</w:t>
            </w:r>
          </w:p>
        </w:tc>
        <w:tc>
          <w:tcPr>
            <w:tcW w:type="dxa" w:w="5760"/>
            <w:shd w:fill="F7F9FC"/>
            <w:tcMar>
              <w:top w:w="70" w:type="dxa"/>
              <w:start w:w="90" w:type="dxa"/>
              <w:bottom w:w="70" w:type="dxa"/>
              <w:end w:w="90" w:type="dxa"/>
            </w:tcMar>
            <w:vAlign w:val="center"/>
          </w:tcPr>
          <w:p>
            <w:pPr>
              <w:spacing w:after="0"/>
            </w:pPr>
            <w:r>
              <w:rPr>
                <w:rFonts w:ascii="Aptos" w:hAnsi="Aptos" w:eastAsia="Aptos"/>
                <w:sz w:val="15"/>
              </w:rPr>
              <w:t>Product eligibility completed; obvious duplicates identified</w:t>
            </w:r>
          </w:p>
        </w:tc>
      </w:tr>
      <w:tr>
        <w:tc>
          <w:tcPr>
            <w:tcW w:type="dxa" w:w="2160"/>
            <w:tcMar>
              <w:top w:w="70" w:type="dxa"/>
              <w:start w:w="90" w:type="dxa"/>
              <w:bottom w:w="70" w:type="dxa"/>
              <w:end w:w="90" w:type="dxa"/>
            </w:tcMar>
            <w:vAlign w:val="center"/>
          </w:tcPr>
          <w:p>
            <w:pPr>
              <w:spacing w:after="0"/>
            </w:pPr>
            <w:r>
              <w:rPr>
                <w:rFonts w:ascii="Aptos" w:hAnsi="Aptos" w:eastAsia="Aptos"/>
                <w:sz w:val="15"/>
              </w:rPr>
              <w:t>Verification</w:t>
            </w:r>
          </w:p>
        </w:tc>
        <w:tc>
          <w:tcPr>
            <w:tcW w:type="dxa" w:w="2160"/>
            <w:tcMar>
              <w:top w:w="70" w:type="dxa"/>
              <w:start w:w="90" w:type="dxa"/>
              <w:bottom w:w="70" w:type="dxa"/>
              <w:end w:w="90" w:type="dxa"/>
            </w:tcMar>
            <w:vAlign w:val="center"/>
          </w:tcPr>
          <w:p>
            <w:pPr>
              <w:spacing w:after="0"/>
            </w:pPr>
            <w:r>
              <w:rPr>
                <w:rFonts w:ascii="Aptos" w:hAnsi="Aptos" w:eastAsia="Aptos"/>
                <w:sz w:val="15"/>
              </w:rPr>
              <w:t>Operations / underwriting</w:t>
            </w:r>
          </w:p>
        </w:tc>
        <w:tc>
          <w:tcPr>
            <w:tcW w:type="dxa" w:w="5760"/>
            <w:tcMar>
              <w:top w:w="70" w:type="dxa"/>
              <w:start w:w="90" w:type="dxa"/>
              <w:bottom w:w="70" w:type="dxa"/>
              <w:end w:w="90" w:type="dxa"/>
            </w:tcMar>
            <w:vAlign w:val="center"/>
          </w:tcPr>
          <w:p>
            <w:pPr>
              <w:spacing w:after="0"/>
            </w:pPr>
            <w:r>
              <w:rPr>
                <w:rFonts w:ascii="Aptos" w:hAnsi="Aptos" w:eastAsia="Aptos"/>
                <w:sz w:val="15"/>
              </w:rPr>
              <w:t>Identity, income, bank and bureau evidence obtained as required</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Underwriting</w:t>
            </w:r>
          </w:p>
        </w:tc>
        <w:tc>
          <w:tcPr>
            <w:tcW w:type="dxa" w:w="2160"/>
            <w:shd w:fill="F7F9FC"/>
            <w:tcMar>
              <w:top w:w="70" w:type="dxa"/>
              <w:start w:w="90" w:type="dxa"/>
              <w:bottom w:w="70" w:type="dxa"/>
              <w:end w:w="90" w:type="dxa"/>
            </w:tcMar>
            <w:vAlign w:val="center"/>
          </w:tcPr>
          <w:p>
            <w:pPr>
              <w:spacing w:after="0"/>
            </w:pPr>
            <w:r>
              <w:rPr>
                <w:rFonts w:ascii="Aptos" w:hAnsi="Aptos" w:eastAsia="Aptos"/>
                <w:sz w:val="15"/>
              </w:rPr>
              <w:t>Credit</w:t>
            </w:r>
          </w:p>
        </w:tc>
        <w:tc>
          <w:tcPr>
            <w:tcW w:type="dxa" w:w="5760"/>
            <w:shd w:fill="F7F9FC"/>
            <w:tcMar>
              <w:top w:w="70" w:type="dxa"/>
              <w:start w:w="90" w:type="dxa"/>
              <w:bottom w:w="70" w:type="dxa"/>
              <w:end w:w="90" w:type="dxa"/>
            </w:tcMar>
            <w:vAlign w:val="center"/>
          </w:tcPr>
          <w:p>
            <w:pPr>
              <w:spacing w:after="0"/>
            </w:pPr>
            <w:r>
              <w:rPr>
                <w:rFonts w:ascii="Aptos" w:hAnsi="Aptos" w:eastAsia="Aptos"/>
                <w:sz w:val="15"/>
              </w:rPr>
              <w:t>Affordability, risk, fraud and discrepancies resolved</w:t>
            </w:r>
          </w:p>
        </w:tc>
      </w:tr>
      <w:tr>
        <w:tc>
          <w:tcPr>
            <w:tcW w:type="dxa" w:w="2160"/>
            <w:tcMar>
              <w:top w:w="70" w:type="dxa"/>
              <w:start w:w="90" w:type="dxa"/>
              <w:bottom w:w="70" w:type="dxa"/>
              <w:end w:w="90" w:type="dxa"/>
            </w:tcMar>
            <w:vAlign w:val="center"/>
          </w:tcPr>
          <w:p>
            <w:pPr>
              <w:spacing w:after="0"/>
            </w:pPr>
            <w:r>
              <w:rPr>
                <w:rFonts w:ascii="Aptos" w:hAnsi="Aptos" w:eastAsia="Aptos"/>
                <w:sz w:val="15"/>
              </w:rPr>
              <w:t>Approval</w:t>
            </w:r>
          </w:p>
        </w:tc>
        <w:tc>
          <w:tcPr>
            <w:tcW w:type="dxa" w:w="2160"/>
            <w:tcMar>
              <w:top w:w="70" w:type="dxa"/>
              <w:start w:w="90" w:type="dxa"/>
              <w:bottom w:w="70" w:type="dxa"/>
              <w:end w:w="90" w:type="dxa"/>
            </w:tcMar>
            <w:vAlign w:val="center"/>
          </w:tcPr>
          <w:p>
            <w:pPr>
              <w:spacing w:after="0"/>
            </w:pPr>
            <w:r>
              <w:rPr>
                <w:rFonts w:ascii="Aptos" w:hAnsi="Aptos" w:eastAsia="Aptos"/>
                <w:sz w:val="15"/>
              </w:rPr>
              <w:t>Authorized credit approver</w:t>
            </w:r>
          </w:p>
        </w:tc>
        <w:tc>
          <w:tcPr>
            <w:tcW w:type="dxa" w:w="5760"/>
            <w:tcMar>
              <w:top w:w="70" w:type="dxa"/>
              <w:start w:w="90" w:type="dxa"/>
              <w:bottom w:w="70" w:type="dxa"/>
              <w:end w:w="90" w:type="dxa"/>
            </w:tcMar>
            <w:vAlign w:val="center"/>
          </w:tcPr>
          <w:p>
            <w:pPr>
              <w:spacing w:after="0"/>
            </w:pPr>
            <w:r>
              <w:rPr>
                <w:rFonts w:ascii="Aptos" w:hAnsi="Aptos" w:eastAsia="Aptos"/>
                <w:sz w:val="15"/>
              </w:rPr>
              <w:t>Decision within CDAS-007; conditions and validity recorded</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Readiness</w:t>
            </w:r>
          </w:p>
        </w:tc>
        <w:tc>
          <w:tcPr>
            <w:tcW w:type="dxa" w:w="2160"/>
            <w:shd w:fill="F7F9FC"/>
            <w:tcMar>
              <w:top w:w="70" w:type="dxa"/>
              <w:start w:w="90" w:type="dxa"/>
              <w:bottom w:w="70" w:type="dxa"/>
              <w:end w:w="90" w:type="dxa"/>
            </w:tcMar>
            <w:vAlign w:val="center"/>
          </w:tcPr>
          <w:p>
            <w:pPr>
              <w:spacing w:after="0"/>
            </w:pPr>
            <w:r>
              <w:rPr>
                <w:rFonts w:ascii="Aptos" w:hAnsi="Aptos" w:eastAsia="Aptos"/>
                <w:sz w:val="15"/>
              </w:rPr>
              <w:t>Credit Operations</w:t>
            </w:r>
          </w:p>
        </w:tc>
        <w:tc>
          <w:tcPr>
            <w:tcW w:type="dxa" w:w="5760"/>
            <w:shd w:fill="F7F9FC"/>
            <w:tcMar>
              <w:top w:w="70" w:type="dxa"/>
              <w:start w:w="90" w:type="dxa"/>
              <w:bottom w:w="70" w:type="dxa"/>
              <w:end w:w="90" w:type="dxa"/>
            </w:tcMar>
            <w:vAlign w:val="center"/>
          </w:tcPr>
          <w:p>
            <w:pPr>
              <w:spacing w:after="0"/>
            </w:pPr>
            <w:r>
              <w:rPr>
                <w:rFonts w:ascii="Aptos" w:hAnsi="Aptos" w:eastAsia="Aptos"/>
                <w:sz w:val="15"/>
              </w:rPr>
              <w:t>LDP-013 checklist complete; unresolved material changes returned</w:t>
            </w:r>
          </w:p>
        </w:tc>
      </w:tr>
      <w:tr>
        <w:tc>
          <w:tcPr>
            <w:tcW w:type="dxa" w:w="2160"/>
            <w:tcMar>
              <w:top w:w="70" w:type="dxa"/>
              <w:start w:w="90" w:type="dxa"/>
              <w:bottom w:w="70" w:type="dxa"/>
              <w:end w:w="90" w:type="dxa"/>
            </w:tcMar>
            <w:vAlign w:val="center"/>
          </w:tcPr>
          <w:p>
            <w:pPr>
              <w:spacing w:after="0"/>
            </w:pPr>
            <w:r>
              <w:rPr>
                <w:rFonts w:ascii="Aptos" w:hAnsi="Aptos" w:eastAsia="Aptos"/>
                <w:sz w:val="15"/>
              </w:rPr>
              <w:t>Disbursement</w:t>
            </w:r>
          </w:p>
        </w:tc>
        <w:tc>
          <w:tcPr>
            <w:tcW w:type="dxa" w:w="2160"/>
            <w:tcMar>
              <w:top w:w="70" w:type="dxa"/>
              <w:start w:w="90" w:type="dxa"/>
              <w:bottom w:w="70" w:type="dxa"/>
              <w:end w:w="90" w:type="dxa"/>
            </w:tcMar>
            <w:vAlign w:val="center"/>
          </w:tcPr>
          <w:p>
            <w:pPr>
              <w:spacing w:after="0"/>
            </w:pPr>
            <w:r>
              <w:rPr>
                <w:rFonts w:ascii="Aptos" w:hAnsi="Aptos" w:eastAsia="Aptos"/>
                <w:sz w:val="15"/>
              </w:rPr>
              <w:t>Operations maker-checker</w:t>
            </w:r>
          </w:p>
        </w:tc>
        <w:tc>
          <w:tcPr>
            <w:tcW w:type="dxa" w:w="5760"/>
            <w:tcMar>
              <w:top w:w="70" w:type="dxa"/>
              <w:start w:w="90" w:type="dxa"/>
              <w:bottom w:w="70" w:type="dxa"/>
              <w:end w:w="90" w:type="dxa"/>
            </w:tcMar>
            <w:vAlign w:val="center"/>
          </w:tcPr>
          <w:p>
            <w:pPr>
              <w:spacing w:after="0"/>
            </w:pPr>
            <w:r>
              <w:rPr>
                <w:rFonts w:ascii="Aptos" w:hAnsi="Aptos" w:eastAsia="Aptos"/>
                <w:sz w:val="15"/>
              </w:rPr>
              <w:t>Payment instruction verified and released</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Post-booking</w:t>
            </w:r>
          </w:p>
        </w:tc>
        <w:tc>
          <w:tcPr>
            <w:tcW w:type="dxa" w:w="2160"/>
            <w:shd w:fill="F7F9FC"/>
            <w:tcMar>
              <w:top w:w="70" w:type="dxa"/>
              <w:start w:w="90" w:type="dxa"/>
              <w:bottom w:w="70" w:type="dxa"/>
              <w:end w:w="90" w:type="dxa"/>
            </w:tcMar>
            <w:vAlign w:val="center"/>
          </w:tcPr>
          <w:p>
            <w:pPr>
              <w:spacing w:after="0"/>
            </w:pPr>
            <w:r>
              <w:rPr>
                <w:rFonts w:ascii="Aptos" w:hAnsi="Aptos" w:eastAsia="Aptos"/>
                <w:sz w:val="15"/>
              </w:rPr>
              <w:t>Servicing / risk</w:t>
            </w:r>
          </w:p>
        </w:tc>
        <w:tc>
          <w:tcPr>
            <w:tcW w:type="dxa" w:w="5760"/>
            <w:shd w:fill="F7F9FC"/>
            <w:tcMar>
              <w:top w:w="70" w:type="dxa"/>
              <w:start w:w="90" w:type="dxa"/>
              <w:bottom w:w="70" w:type="dxa"/>
              <w:end w:w="90" w:type="dxa"/>
            </w:tcMar>
            <w:vAlign w:val="center"/>
          </w:tcPr>
          <w:p>
            <w:pPr>
              <w:spacing w:after="0"/>
            </w:pPr>
            <w:r>
              <w:rPr>
                <w:rFonts w:ascii="Aptos" w:hAnsi="Aptos" w:eastAsia="Aptos"/>
                <w:sz w:val="15"/>
              </w:rPr>
              <w:t>Account created; conditions and monitoring handover completed</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A failed stage is not cured by successful completion of a later stage.</w:t>
      </w:r>
    </w:p>
    <w:p>
      <w:r>
        <w:br w:type="page"/>
      </w:r>
    </w:p>
    <w:p>
      <w:pPr>
        <w:pStyle w:val="Heading1"/>
      </w:pPr>
      <w:r>
        <w:t>Appendix B — Core Documentation Reference</w:t>
      </w:r>
    </w:p>
    <w:p>
      <w:r>
        <w:t>Requirements vary by product and risk; this table identifies common evidence categories.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2160"/>
            <w:shd w:fill="17365D"/>
            <w:tcMar>
              <w:top w:w="70" w:type="dxa"/>
              <w:start w:w="90" w:type="dxa"/>
              <w:bottom w:w="70" w:type="dxa"/>
              <w:end w:w="90" w:type="dxa"/>
            </w:tcMar>
          </w:tcPr>
          <w:p>
            <w:pPr>
              <w:spacing w:after="0"/>
            </w:pPr>
            <w:r>
              <w:rPr>
                <w:rFonts w:ascii="Aptos" w:hAnsi="Aptos" w:eastAsia="Aptos"/>
                <w:b/>
                <w:color w:val="FFFFFF"/>
                <w:sz w:val="15"/>
              </w:rPr>
              <w:t>Evidence category</w:t>
            </w:r>
          </w:p>
        </w:tc>
        <w:tc>
          <w:tcPr>
            <w:tcW w:type="dxa" w:w="4320"/>
            <w:shd w:fill="17365D"/>
            <w:tcMar>
              <w:top w:w="70" w:type="dxa"/>
              <w:start w:w="90" w:type="dxa"/>
              <w:bottom w:w="70" w:type="dxa"/>
              <w:end w:w="90" w:type="dxa"/>
            </w:tcMar>
          </w:tcPr>
          <w:p>
            <w:pPr>
              <w:spacing w:after="0"/>
            </w:pPr>
            <w:r>
              <w:rPr>
                <w:rFonts w:ascii="Aptos" w:hAnsi="Aptos" w:eastAsia="Aptos"/>
                <w:b/>
                <w:color w:val="FFFFFF"/>
                <w:sz w:val="15"/>
              </w:rPr>
              <w:t>Typical evidence / status</w:t>
            </w:r>
          </w:p>
        </w:tc>
        <w:tc>
          <w:tcPr>
            <w:tcW w:type="dxa" w:w="3600"/>
            <w:shd w:fill="17365D"/>
            <w:tcMar>
              <w:top w:w="70" w:type="dxa"/>
              <w:start w:w="90" w:type="dxa"/>
              <w:bottom w:w="70" w:type="dxa"/>
              <w:end w:w="90" w:type="dxa"/>
            </w:tcMar>
          </w:tcPr>
          <w:p>
            <w:pPr>
              <w:spacing w:after="0"/>
            </w:pPr>
            <w:r>
              <w:rPr>
                <w:rFonts w:ascii="Aptos" w:hAnsi="Aptos" w:eastAsia="Aptos"/>
                <w:b/>
                <w:color w:val="FFFFFF"/>
                <w:sz w:val="15"/>
              </w:rPr>
              <w:t>Key caution</w:t>
            </w:r>
          </w:p>
        </w:tc>
      </w:tr>
      <w:tr>
        <w:tc>
          <w:tcPr>
            <w:tcW w:type="dxa" w:w="2160"/>
            <w:tcMar>
              <w:top w:w="70" w:type="dxa"/>
              <w:start w:w="90" w:type="dxa"/>
              <w:bottom w:w="70" w:type="dxa"/>
              <w:end w:w="90" w:type="dxa"/>
            </w:tcMar>
            <w:vAlign w:val="center"/>
          </w:tcPr>
          <w:p>
            <w:pPr>
              <w:spacing w:after="0"/>
            </w:pPr>
            <w:r>
              <w:rPr>
                <w:rFonts w:ascii="Aptos" w:hAnsi="Aptos" w:eastAsia="Aptos"/>
                <w:sz w:val="15"/>
              </w:rPr>
              <w:t>Identity</w:t>
            </w:r>
          </w:p>
        </w:tc>
        <w:tc>
          <w:tcPr>
            <w:tcW w:type="dxa" w:w="4320"/>
            <w:tcMar>
              <w:top w:w="70" w:type="dxa"/>
              <w:start w:w="90" w:type="dxa"/>
              <w:bottom w:w="70" w:type="dxa"/>
              <w:end w:w="90" w:type="dxa"/>
            </w:tcMar>
            <w:vAlign w:val="center"/>
          </w:tcPr>
          <w:p>
            <w:pPr>
              <w:spacing w:after="0"/>
            </w:pPr>
            <w:r>
              <w:rPr>
                <w:rFonts w:ascii="Aptos" w:hAnsi="Aptos" w:eastAsia="Aptos"/>
                <w:sz w:val="15"/>
              </w:rPr>
              <w:t>Approved identity/KYC evidence</w:t>
            </w:r>
          </w:p>
        </w:tc>
        <w:tc>
          <w:tcPr>
            <w:tcW w:type="dxa" w:w="3600"/>
            <w:tcMar>
              <w:top w:w="70" w:type="dxa"/>
              <w:start w:w="90" w:type="dxa"/>
              <w:bottom w:w="70" w:type="dxa"/>
              <w:end w:w="90" w:type="dxa"/>
            </w:tcMar>
            <w:vAlign w:val="center"/>
          </w:tcPr>
          <w:p>
            <w:pPr>
              <w:spacing w:after="0"/>
            </w:pPr>
            <w:r>
              <w:rPr>
                <w:rFonts w:ascii="Aptos" w:hAnsi="Aptos" w:eastAsia="Aptos"/>
                <w:sz w:val="15"/>
              </w:rPr>
              <w:t>Bureau match alone is not identity verification</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Income</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Salary evidence, bank credits, business documents</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Use verified/eligible income, not unsupported declarations</w:t>
            </w:r>
          </w:p>
        </w:tc>
      </w:tr>
      <w:tr>
        <w:tc>
          <w:tcPr>
            <w:tcW w:type="dxa" w:w="2160"/>
            <w:tcMar>
              <w:top w:w="70" w:type="dxa"/>
              <w:start w:w="90" w:type="dxa"/>
              <w:bottom w:w="70" w:type="dxa"/>
              <w:end w:w="90" w:type="dxa"/>
            </w:tcMar>
            <w:vAlign w:val="center"/>
          </w:tcPr>
          <w:p>
            <w:pPr>
              <w:spacing w:after="0"/>
            </w:pPr>
            <w:r>
              <w:rPr>
                <w:rFonts w:ascii="Aptos" w:hAnsi="Aptos" w:eastAsia="Aptos"/>
                <w:sz w:val="15"/>
              </w:rPr>
              <w:t>Bank conduct</w:t>
            </w:r>
          </w:p>
        </w:tc>
        <w:tc>
          <w:tcPr>
            <w:tcW w:type="dxa" w:w="4320"/>
            <w:tcMar>
              <w:top w:w="70" w:type="dxa"/>
              <w:start w:w="90" w:type="dxa"/>
              <w:bottom w:w="70" w:type="dxa"/>
              <w:end w:w="90" w:type="dxa"/>
            </w:tcMar>
            <w:vAlign w:val="center"/>
          </w:tcPr>
          <w:p>
            <w:pPr>
              <w:spacing w:after="0"/>
            </w:pPr>
            <w:r>
              <w:rPr>
                <w:rFonts w:ascii="Aptos" w:hAnsi="Aptos" w:eastAsia="Aptos"/>
                <w:sz w:val="15"/>
              </w:rPr>
              <w:t>Bank statements / approved digital analysis</w:t>
            </w:r>
          </w:p>
        </w:tc>
        <w:tc>
          <w:tcPr>
            <w:tcW w:type="dxa" w:w="3600"/>
            <w:tcMar>
              <w:top w:w="70" w:type="dxa"/>
              <w:start w:w="90" w:type="dxa"/>
              <w:bottom w:w="70" w:type="dxa"/>
              <w:end w:w="90" w:type="dxa"/>
            </w:tcMar>
            <w:vAlign w:val="center"/>
          </w:tcPr>
          <w:p>
            <w:pPr>
              <w:spacing w:after="0"/>
            </w:pPr>
            <w:r>
              <w:rPr>
                <w:rFonts w:ascii="Aptos" w:hAnsi="Aptos" w:eastAsia="Aptos"/>
                <w:sz w:val="15"/>
              </w:rPr>
              <w:t>Investigate obligations and unexplained patterns</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Credit bureau</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Current bureau report</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Resolve undisclosed liabilities and material discrepancies</w:t>
            </w:r>
          </w:p>
        </w:tc>
      </w:tr>
      <w:tr>
        <w:tc>
          <w:tcPr>
            <w:tcW w:type="dxa" w:w="2160"/>
            <w:tcMar>
              <w:top w:w="70" w:type="dxa"/>
              <w:start w:w="90" w:type="dxa"/>
              <w:bottom w:w="70" w:type="dxa"/>
              <w:end w:w="90" w:type="dxa"/>
            </w:tcMar>
            <w:vAlign w:val="center"/>
          </w:tcPr>
          <w:p>
            <w:pPr>
              <w:spacing w:after="0"/>
            </w:pPr>
            <w:r>
              <w:rPr>
                <w:rFonts w:ascii="Aptos" w:hAnsi="Aptos" w:eastAsia="Aptos"/>
                <w:sz w:val="15"/>
              </w:rPr>
              <w:t>Collateral</w:t>
            </w:r>
          </w:p>
        </w:tc>
        <w:tc>
          <w:tcPr>
            <w:tcW w:type="dxa" w:w="4320"/>
            <w:tcMar>
              <w:top w:w="70" w:type="dxa"/>
              <w:start w:w="90" w:type="dxa"/>
              <w:bottom w:w="70" w:type="dxa"/>
              <w:end w:w="90" w:type="dxa"/>
            </w:tcMar>
            <w:vAlign w:val="center"/>
          </w:tcPr>
          <w:p>
            <w:pPr>
              <w:spacing w:after="0"/>
            </w:pPr>
            <w:r>
              <w:rPr>
                <w:rFonts w:ascii="Aptos" w:hAnsi="Aptos" w:eastAsia="Aptos"/>
                <w:sz w:val="15"/>
              </w:rPr>
              <w:t>Valuation/security docs where relevant</w:t>
            </w:r>
          </w:p>
        </w:tc>
        <w:tc>
          <w:tcPr>
            <w:tcW w:type="dxa" w:w="3600"/>
            <w:tcMar>
              <w:top w:w="70" w:type="dxa"/>
              <w:start w:w="90" w:type="dxa"/>
              <w:bottom w:w="70" w:type="dxa"/>
              <w:end w:w="90" w:type="dxa"/>
            </w:tcMar>
            <w:vAlign w:val="center"/>
          </w:tcPr>
          <w:p>
            <w:pPr>
              <w:spacing w:after="0"/>
            </w:pPr>
            <w:r>
              <w:rPr>
                <w:rFonts w:ascii="Aptos" w:hAnsi="Aptos" w:eastAsia="Aptos"/>
                <w:sz w:val="15"/>
              </w:rPr>
              <w:t>Collateral is secondary to repayment capacity</w:t>
            </w:r>
          </w:p>
        </w:tc>
      </w:tr>
      <w:tr>
        <w:tc>
          <w:tcPr>
            <w:tcW w:type="dxa" w:w="2160"/>
            <w:shd w:fill="F7F9FC"/>
            <w:tcMar>
              <w:top w:w="70" w:type="dxa"/>
              <w:start w:w="90" w:type="dxa"/>
              <w:bottom w:w="70" w:type="dxa"/>
              <w:end w:w="90" w:type="dxa"/>
            </w:tcMar>
            <w:vAlign w:val="center"/>
          </w:tcPr>
          <w:p>
            <w:pPr>
              <w:spacing w:after="0"/>
            </w:pPr>
            <w:r>
              <w:rPr>
                <w:rFonts w:ascii="Aptos" w:hAnsi="Aptos" w:eastAsia="Aptos"/>
                <w:sz w:val="15"/>
              </w:rPr>
              <w:t>Fraud</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Fraud-screen result / case clearance</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High score does not override fraud concern</w:t>
            </w:r>
          </w:p>
        </w:tc>
      </w:tr>
      <w:tr>
        <w:tc>
          <w:tcPr>
            <w:tcW w:type="dxa" w:w="2160"/>
            <w:tcMar>
              <w:top w:w="70" w:type="dxa"/>
              <w:start w:w="90" w:type="dxa"/>
              <w:bottom w:w="70" w:type="dxa"/>
              <w:end w:w="90" w:type="dxa"/>
            </w:tcMar>
            <w:vAlign w:val="center"/>
          </w:tcPr>
          <w:p>
            <w:pPr>
              <w:spacing w:after="0"/>
            </w:pPr>
            <w:r>
              <w:rPr>
                <w:rFonts w:ascii="Aptos" w:hAnsi="Aptos" w:eastAsia="Aptos"/>
                <w:sz w:val="15"/>
              </w:rPr>
              <w:t>Exceptions</w:t>
            </w:r>
          </w:p>
        </w:tc>
        <w:tc>
          <w:tcPr>
            <w:tcW w:type="dxa" w:w="4320"/>
            <w:tcMar>
              <w:top w:w="70" w:type="dxa"/>
              <w:start w:w="90" w:type="dxa"/>
              <w:bottom w:w="70" w:type="dxa"/>
              <w:end w:w="90" w:type="dxa"/>
            </w:tcMar>
            <w:vAlign w:val="center"/>
          </w:tcPr>
          <w:p>
            <w:pPr>
              <w:spacing w:after="0"/>
            </w:pPr>
            <w:r>
              <w:rPr>
                <w:rFonts w:ascii="Aptos" w:hAnsi="Aptos" w:eastAsia="Aptos"/>
                <w:sz w:val="15"/>
              </w:rPr>
              <w:t>CEP-006 approval</w:t>
            </w:r>
          </w:p>
        </w:tc>
        <w:tc>
          <w:tcPr>
            <w:tcW w:type="dxa" w:w="3600"/>
            <w:tcMar>
              <w:top w:w="70" w:type="dxa"/>
              <w:start w:w="90" w:type="dxa"/>
              <w:bottom w:w="70" w:type="dxa"/>
              <w:end w:w="90" w:type="dxa"/>
            </w:tcMar>
            <w:vAlign w:val="center"/>
          </w:tcPr>
          <w:p>
            <w:pPr>
              <w:spacing w:after="0"/>
            </w:pPr>
            <w:r>
              <w:rPr>
                <w:rFonts w:ascii="Aptos" w:hAnsi="Aptos" w:eastAsia="Aptos"/>
                <w:sz w:val="15"/>
              </w:rPr>
              <w:t>Must be prospective and within authority</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Product procedures specify freshness periods and exact document combinations.</w:t>
      </w:r>
    </w:p>
    <w:p>
      <w:r>
        <w:br w:type="page"/>
      </w:r>
    </w:p>
    <w:p>
      <w:pPr>
        <w:pStyle w:val="Heading1"/>
      </w:pPr>
      <w:r>
        <w:t>Appendix C — Duplicate and Fraud Escalation Scenarios</w:t>
      </w:r>
    </w:p>
    <w:p>
      <w:r>
        <w:t>These scenarios are intended to maintain consistent routing across branches and digital channels.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rPr>
          <w:tblHeader w:val="true"/>
        </w:trPr>
        <w:tc>
          <w:tcPr>
            <w:tcW w:type="dxa" w:w="4752"/>
            <w:shd w:fill="17365D"/>
            <w:tcMar>
              <w:top w:w="70" w:type="dxa"/>
              <w:start w:w="90" w:type="dxa"/>
              <w:bottom w:w="70" w:type="dxa"/>
              <w:end w:w="90" w:type="dxa"/>
            </w:tcMar>
          </w:tcPr>
          <w:p>
            <w:pPr>
              <w:spacing w:after="0"/>
            </w:pPr>
            <w:r>
              <w:rPr>
                <w:rFonts w:ascii="Aptos" w:hAnsi="Aptos" w:eastAsia="Aptos"/>
                <w:b/>
                <w:color w:val="FFFFFF"/>
                <w:sz w:val="15"/>
              </w:rPr>
              <w:t>Observation</w:t>
            </w:r>
          </w:p>
        </w:tc>
        <w:tc>
          <w:tcPr>
            <w:tcW w:type="dxa" w:w="5040"/>
            <w:shd w:fill="17365D"/>
            <w:tcMar>
              <w:top w:w="70" w:type="dxa"/>
              <w:start w:w="90" w:type="dxa"/>
              <w:bottom w:w="70" w:type="dxa"/>
              <w:end w:w="90" w:type="dxa"/>
            </w:tcMar>
          </w:tcPr>
          <w:p>
            <w:pPr>
              <w:spacing w:after="0"/>
            </w:pPr>
            <w:r>
              <w:rPr>
                <w:rFonts w:ascii="Aptos" w:hAnsi="Aptos" w:eastAsia="Aptos"/>
                <w:b/>
                <w:color w:val="FFFFFF"/>
                <w:sz w:val="15"/>
              </w:rPr>
              <w:t>Action</w:t>
            </w:r>
          </w:p>
        </w:tc>
      </w:tr>
      <w:tr>
        <w:tc>
          <w:tcPr>
            <w:tcW w:type="dxa" w:w="4752"/>
            <w:tcMar>
              <w:top w:w="70" w:type="dxa"/>
              <w:start w:w="90" w:type="dxa"/>
              <w:bottom w:w="70" w:type="dxa"/>
              <w:end w:w="90" w:type="dxa"/>
            </w:tcMar>
            <w:vAlign w:val="center"/>
          </w:tcPr>
          <w:p>
            <w:pPr>
              <w:spacing w:after="0"/>
            </w:pPr>
            <w:r>
              <w:rPr>
                <w:rFonts w:ascii="Aptos" w:hAnsi="Aptos" w:eastAsia="Aptos"/>
                <w:sz w:val="15"/>
              </w:rPr>
              <w:t>Same customer has two active applications in different branches</w:t>
            </w:r>
          </w:p>
        </w:tc>
        <w:tc>
          <w:tcPr>
            <w:tcW w:type="dxa" w:w="5040"/>
            <w:tcMar>
              <w:top w:w="70" w:type="dxa"/>
              <w:start w:w="90" w:type="dxa"/>
              <w:bottom w:w="70" w:type="dxa"/>
              <w:end w:w="90" w:type="dxa"/>
            </w:tcMar>
            <w:vAlign w:val="center"/>
          </w:tcPr>
          <w:p>
            <w:pPr>
              <w:spacing w:after="0"/>
            </w:pPr>
            <w:r>
              <w:rPr>
                <w:rFonts w:ascii="Aptos" w:hAnsi="Aptos" w:eastAsia="Aptos"/>
                <w:sz w:val="15"/>
              </w:rPr>
              <w:t>Link records; aggregate exposure; select one active case or assess concurrent request</w:t>
            </w:r>
          </w:p>
        </w:tc>
      </w:tr>
      <w:tr>
        <w:tc>
          <w:tcPr>
            <w:tcW w:type="dxa" w:w="4752"/>
            <w:shd w:fill="F7F9FC"/>
            <w:tcMar>
              <w:top w:w="70" w:type="dxa"/>
              <w:start w:w="90" w:type="dxa"/>
              <w:bottom w:w="70" w:type="dxa"/>
              <w:end w:w="90" w:type="dxa"/>
            </w:tcMar>
            <w:vAlign w:val="center"/>
          </w:tcPr>
          <w:p>
            <w:pPr>
              <w:spacing w:after="0"/>
            </w:pPr>
            <w:r>
              <w:rPr>
                <w:rFonts w:ascii="Aptos" w:hAnsi="Aptos" w:eastAsia="Aptos"/>
                <w:sz w:val="15"/>
              </w:rPr>
              <w:t>Same bank account appears across unrelated applicants</w:t>
            </w:r>
          </w:p>
        </w:tc>
        <w:tc>
          <w:tcPr>
            <w:tcW w:type="dxa" w:w="5040"/>
            <w:shd w:fill="F7F9FC"/>
            <w:tcMar>
              <w:top w:w="70" w:type="dxa"/>
              <w:start w:w="90" w:type="dxa"/>
              <w:bottom w:w="70" w:type="dxa"/>
              <w:end w:w="90" w:type="dxa"/>
            </w:tcMar>
            <w:vAlign w:val="center"/>
          </w:tcPr>
          <w:p>
            <w:pPr>
              <w:spacing w:after="0"/>
            </w:pPr>
            <w:r>
              <w:rPr>
                <w:rFonts w:ascii="Aptos" w:hAnsi="Aptos" w:eastAsia="Aptos"/>
                <w:sz w:val="15"/>
              </w:rPr>
              <w:t>Fraud review before further processing</w:t>
            </w:r>
          </w:p>
        </w:tc>
      </w:tr>
      <w:tr>
        <w:tc>
          <w:tcPr>
            <w:tcW w:type="dxa" w:w="4752"/>
            <w:tcMar>
              <w:top w:w="70" w:type="dxa"/>
              <w:start w:w="90" w:type="dxa"/>
              <w:bottom w:w="70" w:type="dxa"/>
              <w:end w:w="90" w:type="dxa"/>
            </w:tcMar>
            <w:vAlign w:val="center"/>
          </w:tcPr>
          <w:p>
            <w:pPr>
              <w:spacing w:after="0"/>
            </w:pPr>
            <w:r>
              <w:rPr>
                <w:rFonts w:ascii="Aptos" w:hAnsi="Aptos" w:eastAsia="Aptos"/>
                <w:sz w:val="15"/>
              </w:rPr>
              <w:t>Declared employer differs from verified salary source</w:t>
            </w:r>
          </w:p>
        </w:tc>
        <w:tc>
          <w:tcPr>
            <w:tcW w:type="dxa" w:w="5040"/>
            <w:tcMar>
              <w:top w:w="70" w:type="dxa"/>
              <w:start w:w="90" w:type="dxa"/>
              <w:bottom w:w="70" w:type="dxa"/>
              <w:end w:w="90" w:type="dxa"/>
            </w:tcMar>
            <w:vAlign w:val="center"/>
          </w:tcPr>
          <w:p>
            <w:pPr>
              <w:spacing w:after="0"/>
            </w:pPr>
            <w:r>
              <w:rPr>
                <w:rFonts w:ascii="Aptos" w:hAnsi="Aptos" w:eastAsia="Aptos"/>
                <w:sz w:val="15"/>
              </w:rPr>
              <w:t>Manual review; clarify and document</w:t>
            </w:r>
          </w:p>
        </w:tc>
      </w:tr>
      <w:tr>
        <w:tc>
          <w:tcPr>
            <w:tcW w:type="dxa" w:w="4752"/>
            <w:shd w:fill="F7F9FC"/>
            <w:tcMar>
              <w:top w:w="70" w:type="dxa"/>
              <w:start w:w="90" w:type="dxa"/>
              <w:bottom w:w="70" w:type="dxa"/>
              <w:end w:w="90" w:type="dxa"/>
            </w:tcMar>
            <w:vAlign w:val="center"/>
          </w:tcPr>
          <w:p>
            <w:pPr>
              <w:spacing w:after="0"/>
            </w:pPr>
            <w:r>
              <w:rPr>
                <w:rFonts w:ascii="Aptos" w:hAnsi="Aptos" w:eastAsia="Aptos"/>
                <w:sz w:val="15"/>
              </w:rPr>
              <w:t>Bureau shows material loan omitted from application</w:t>
            </w:r>
          </w:p>
        </w:tc>
        <w:tc>
          <w:tcPr>
            <w:tcW w:type="dxa" w:w="5040"/>
            <w:shd w:fill="F7F9FC"/>
            <w:tcMar>
              <w:top w:w="70" w:type="dxa"/>
              <w:start w:w="90" w:type="dxa"/>
              <w:bottom w:w="70" w:type="dxa"/>
              <w:end w:w="90" w:type="dxa"/>
            </w:tcMar>
            <w:vAlign w:val="center"/>
          </w:tcPr>
          <w:p>
            <w:pPr>
              <w:spacing w:after="0"/>
            </w:pPr>
            <w:r>
              <w:rPr>
                <w:rFonts w:ascii="Aptos" w:hAnsi="Aptos" w:eastAsia="Aptos"/>
                <w:sz w:val="15"/>
              </w:rPr>
              <w:t>Recalculate obligations; assess possible deliberate omission</w:t>
            </w:r>
          </w:p>
        </w:tc>
      </w:tr>
      <w:tr>
        <w:tc>
          <w:tcPr>
            <w:tcW w:type="dxa" w:w="4752"/>
            <w:tcMar>
              <w:top w:w="70" w:type="dxa"/>
              <w:start w:w="90" w:type="dxa"/>
              <w:bottom w:w="70" w:type="dxa"/>
              <w:end w:w="90" w:type="dxa"/>
            </w:tcMar>
            <w:vAlign w:val="center"/>
          </w:tcPr>
          <w:p>
            <w:pPr>
              <w:spacing w:after="0"/>
            </w:pPr>
            <w:r>
              <w:rPr>
                <w:rFonts w:ascii="Aptos" w:hAnsi="Aptos" w:eastAsia="Aptos"/>
                <w:sz w:val="15"/>
              </w:rPr>
              <w:t>Document image appears altered</w:t>
            </w:r>
          </w:p>
        </w:tc>
        <w:tc>
          <w:tcPr>
            <w:tcW w:type="dxa" w:w="5040"/>
            <w:tcMar>
              <w:top w:w="70" w:type="dxa"/>
              <w:start w:w="90" w:type="dxa"/>
              <w:bottom w:w="70" w:type="dxa"/>
              <w:end w:w="90" w:type="dxa"/>
            </w:tcMar>
            <w:vAlign w:val="center"/>
          </w:tcPr>
          <w:p>
            <w:pPr>
              <w:spacing w:after="0"/>
            </w:pPr>
            <w:r>
              <w:rPr>
                <w:rFonts w:ascii="Aptos" w:hAnsi="Aptos" w:eastAsia="Aptos"/>
                <w:sz w:val="15"/>
              </w:rPr>
              <w:t>Place fraud hold; preserve original artifact; escalate</w:t>
            </w:r>
          </w:p>
        </w:tc>
      </w:tr>
      <w:tr>
        <w:tc>
          <w:tcPr>
            <w:tcW w:type="dxa" w:w="4752"/>
            <w:shd w:fill="F7F9FC"/>
            <w:tcMar>
              <w:top w:w="70" w:type="dxa"/>
              <w:start w:w="90" w:type="dxa"/>
              <w:bottom w:w="70" w:type="dxa"/>
              <w:end w:w="90" w:type="dxa"/>
            </w:tcMar>
            <w:vAlign w:val="center"/>
          </w:tcPr>
          <w:p>
            <w:pPr>
              <w:spacing w:after="0"/>
            </w:pPr>
            <w:r>
              <w:rPr>
                <w:rFonts w:ascii="Aptos" w:hAnsi="Aptos" w:eastAsia="Aptos"/>
                <w:sz w:val="15"/>
              </w:rPr>
              <w:t>Device or contact reused at unusual scale</w:t>
            </w:r>
          </w:p>
        </w:tc>
        <w:tc>
          <w:tcPr>
            <w:tcW w:type="dxa" w:w="5040"/>
            <w:shd w:fill="F7F9FC"/>
            <w:tcMar>
              <w:top w:w="70" w:type="dxa"/>
              <w:start w:w="90" w:type="dxa"/>
              <w:bottom w:w="70" w:type="dxa"/>
              <w:end w:w="90" w:type="dxa"/>
            </w:tcMar>
            <w:vAlign w:val="center"/>
          </w:tcPr>
          <w:p>
            <w:pPr>
              <w:spacing w:after="0"/>
            </w:pPr>
            <w:r>
              <w:rPr>
                <w:rFonts w:ascii="Aptos" w:hAnsi="Aptos" w:eastAsia="Aptos"/>
                <w:sz w:val="15"/>
              </w:rPr>
              <w:t>Channel/fraud investigation based on context</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Do not delete duplicate records merely to improve conversion reporting.</w:t>
      </w:r>
    </w:p>
    <w:p>
      <w:r>
        <w:br w:type="page"/>
      </w:r>
    </w:p>
    <w:p>
      <w:pPr>
        <w:pStyle w:val="Heading1"/>
      </w:pPr>
      <w:r>
        <w:t>Appendix D — Application Status Codes</w:t>
      </w:r>
    </w:p>
    <w:p>
      <w:r>
        <w:t>Consistent statuses support management reporting and prevent approved cases from being mistaken for disbursed accounts.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rPr>
          <w:tblHeader w:val="true"/>
        </w:trPr>
        <w:tc>
          <w:tcPr>
            <w:tcW w:type="dxa" w:w="2880"/>
            <w:shd w:fill="17365D"/>
            <w:tcMar>
              <w:top w:w="70" w:type="dxa"/>
              <w:start w:w="90" w:type="dxa"/>
              <w:bottom w:w="70" w:type="dxa"/>
              <w:end w:w="90" w:type="dxa"/>
            </w:tcMar>
          </w:tcPr>
          <w:p>
            <w:pPr>
              <w:spacing w:after="0"/>
            </w:pPr>
            <w:r>
              <w:rPr>
                <w:rFonts w:ascii="Aptos" w:hAnsi="Aptos" w:eastAsia="Aptos"/>
                <w:b/>
                <w:color w:val="FFFFFF"/>
                <w:sz w:val="15"/>
              </w:rPr>
              <w:t>Status</w:t>
            </w:r>
          </w:p>
        </w:tc>
        <w:tc>
          <w:tcPr>
            <w:tcW w:type="dxa" w:w="6912"/>
            <w:shd w:fill="17365D"/>
            <w:tcMar>
              <w:top w:w="70" w:type="dxa"/>
              <w:start w:w="90" w:type="dxa"/>
              <w:bottom w:w="70" w:type="dxa"/>
              <w:end w:w="90" w:type="dxa"/>
            </w:tcMar>
          </w:tcPr>
          <w:p>
            <w:pPr>
              <w:spacing w:after="0"/>
            </w:pPr>
            <w:r>
              <w:rPr>
                <w:rFonts w:ascii="Aptos" w:hAnsi="Aptos" w:eastAsia="Aptos"/>
                <w:b/>
                <w:color w:val="FFFFFF"/>
                <w:sz w:val="15"/>
              </w:rPr>
              <w:t>Meaning</w:t>
            </w:r>
          </w:p>
        </w:tc>
      </w:tr>
      <w:tr>
        <w:tc>
          <w:tcPr>
            <w:tcW w:type="dxa" w:w="2880"/>
            <w:tcMar>
              <w:top w:w="70" w:type="dxa"/>
              <w:start w:w="90" w:type="dxa"/>
              <w:bottom w:w="70" w:type="dxa"/>
              <w:end w:w="90" w:type="dxa"/>
            </w:tcMar>
            <w:vAlign w:val="center"/>
          </w:tcPr>
          <w:p>
            <w:pPr>
              <w:spacing w:after="0"/>
            </w:pPr>
            <w:r>
              <w:rPr>
                <w:rFonts w:ascii="Aptos" w:hAnsi="Aptos" w:eastAsia="Aptos"/>
                <w:sz w:val="15"/>
              </w:rPr>
              <w:t>Draft</w:t>
            </w:r>
          </w:p>
        </w:tc>
        <w:tc>
          <w:tcPr>
            <w:tcW w:type="dxa" w:w="6912"/>
            <w:tcMar>
              <w:top w:w="70" w:type="dxa"/>
              <w:start w:w="90" w:type="dxa"/>
              <w:bottom w:w="70" w:type="dxa"/>
              <w:end w:w="90" w:type="dxa"/>
            </w:tcMar>
            <w:vAlign w:val="center"/>
          </w:tcPr>
          <w:p>
            <w:pPr>
              <w:spacing w:after="0"/>
            </w:pPr>
            <w:r>
              <w:rPr>
                <w:rFonts w:ascii="Aptos" w:hAnsi="Aptos" w:eastAsia="Aptos"/>
                <w:sz w:val="15"/>
              </w:rPr>
              <w:t>Application started but not submitted</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Submitted</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Minimum intake complete</w:t>
            </w:r>
          </w:p>
        </w:tc>
      </w:tr>
      <w:tr>
        <w:tc>
          <w:tcPr>
            <w:tcW w:type="dxa" w:w="2880"/>
            <w:tcMar>
              <w:top w:w="70" w:type="dxa"/>
              <w:start w:w="90" w:type="dxa"/>
              <w:bottom w:w="70" w:type="dxa"/>
              <w:end w:w="90" w:type="dxa"/>
            </w:tcMar>
            <w:vAlign w:val="center"/>
          </w:tcPr>
          <w:p>
            <w:pPr>
              <w:spacing w:after="0"/>
            </w:pPr>
            <w:r>
              <w:rPr>
                <w:rFonts w:ascii="Aptos" w:hAnsi="Aptos" w:eastAsia="Aptos"/>
                <w:sz w:val="15"/>
              </w:rPr>
              <w:t>Pending Documents</w:t>
            </w:r>
          </w:p>
        </w:tc>
        <w:tc>
          <w:tcPr>
            <w:tcW w:type="dxa" w:w="6912"/>
            <w:tcMar>
              <w:top w:w="70" w:type="dxa"/>
              <w:start w:w="90" w:type="dxa"/>
              <w:bottom w:w="70" w:type="dxa"/>
              <w:end w:w="90" w:type="dxa"/>
            </w:tcMar>
            <w:vAlign w:val="center"/>
          </w:tcPr>
          <w:p>
            <w:pPr>
              <w:spacing w:after="0"/>
            </w:pPr>
            <w:r>
              <w:rPr>
                <w:rFonts w:ascii="Aptos" w:hAnsi="Aptos" w:eastAsia="Aptos"/>
                <w:sz w:val="15"/>
              </w:rPr>
              <w:t>Required customer evidence outstanding</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Under Review</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Verification / underwriting active</w:t>
            </w:r>
          </w:p>
        </w:tc>
      </w:tr>
      <w:tr>
        <w:tc>
          <w:tcPr>
            <w:tcW w:type="dxa" w:w="2880"/>
            <w:tcMar>
              <w:top w:w="70" w:type="dxa"/>
              <w:start w:w="90" w:type="dxa"/>
              <w:bottom w:w="70" w:type="dxa"/>
              <w:end w:w="90" w:type="dxa"/>
            </w:tcMar>
            <w:vAlign w:val="center"/>
          </w:tcPr>
          <w:p>
            <w:pPr>
              <w:spacing w:after="0"/>
            </w:pPr>
            <w:r>
              <w:rPr>
                <w:rFonts w:ascii="Aptos" w:hAnsi="Aptos" w:eastAsia="Aptos"/>
                <w:sz w:val="15"/>
              </w:rPr>
              <w:t>Exception Pending</w:t>
            </w:r>
          </w:p>
        </w:tc>
        <w:tc>
          <w:tcPr>
            <w:tcW w:type="dxa" w:w="6912"/>
            <w:tcMar>
              <w:top w:w="70" w:type="dxa"/>
              <w:start w:w="90" w:type="dxa"/>
              <w:bottom w:w="70" w:type="dxa"/>
              <w:end w:w="90" w:type="dxa"/>
            </w:tcMar>
            <w:vAlign w:val="center"/>
          </w:tcPr>
          <w:p>
            <w:pPr>
              <w:spacing w:after="0"/>
            </w:pPr>
            <w:r>
              <w:rPr>
                <w:rFonts w:ascii="Aptos" w:hAnsi="Aptos" w:eastAsia="Aptos"/>
                <w:sz w:val="15"/>
              </w:rPr>
              <w:t>Awaiting CEP-006 decision</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Approved — Conditions Outstanding</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Credit approved; not ready to disburse</w:t>
            </w:r>
          </w:p>
        </w:tc>
      </w:tr>
      <w:tr>
        <w:tc>
          <w:tcPr>
            <w:tcW w:type="dxa" w:w="2880"/>
            <w:tcMar>
              <w:top w:w="70" w:type="dxa"/>
              <w:start w:w="90" w:type="dxa"/>
              <w:bottom w:w="70" w:type="dxa"/>
              <w:end w:w="90" w:type="dxa"/>
            </w:tcMar>
            <w:vAlign w:val="center"/>
          </w:tcPr>
          <w:p>
            <w:pPr>
              <w:spacing w:after="0"/>
            </w:pPr>
            <w:r>
              <w:rPr>
                <w:rFonts w:ascii="Aptos" w:hAnsi="Aptos" w:eastAsia="Aptos"/>
                <w:sz w:val="15"/>
              </w:rPr>
              <w:t>Ready for Disbursement</w:t>
            </w:r>
          </w:p>
        </w:tc>
        <w:tc>
          <w:tcPr>
            <w:tcW w:type="dxa" w:w="6912"/>
            <w:tcMar>
              <w:top w:w="70" w:type="dxa"/>
              <w:start w:w="90" w:type="dxa"/>
              <w:bottom w:w="70" w:type="dxa"/>
              <w:end w:w="90" w:type="dxa"/>
            </w:tcMar>
            <w:vAlign w:val="center"/>
          </w:tcPr>
          <w:p>
            <w:pPr>
              <w:spacing w:after="0"/>
            </w:pPr>
            <w:r>
              <w:rPr>
                <w:rFonts w:ascii="Aptos" w:hAnsi="Aptos" w:eastAsia="Aptos"/>
                <w:sz w:val="15"/>
              </w:rPr>
              <w:t>LDP-013 readiness complete</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Disbursed</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Funds released and booking confirmed</w:t>
            </w:r>
          </w:p>
        </w:tc>
      </w:tr>
      <w:tr>
        <w:tc>
          <w:tcPr>
            <w:tcW w:type="dxa" w:w="2880"/>
            <w:tcMar>
              <w:top w:w="70" w:type="dxa"/>
              <w:start w:w="90" w:type="dxa"/>
              <w:bottom w:w="70" w:type="dxa"/>
              <w:end w:w="90" w:type="dxa"/>
            </w:tcMar>
            <w:vAlign w:val="center"/>
          </w:tcPr>
          <w:p>
            <w:pPr>
              <w:spacing w:after="0"/>
            </w:pPr>
            <w:r>
              <w:rPr>
                <w:rFonts w:ascii="Aptos" w:hAnsi="Aptos" w:eastAsia="Aptos"/>
                <w:sz w:val="15"/>
              </w:rPr>
              <w:t>Declined</w:t>
            </w:r>
          </w:p>
        </w:tc>
        <w:tc>
          <w:tcPr>
            <w:tcW w:type="dxa" w:w="6912"/>
            <w:tcMar>
              <w:top w:w="70" w:type="dxa"/>
              <w:start w:w="90" w:type="dxa"/>
              <w:bottom w:w="70" w:type="dxa"/>
              <w:end w:w="90" w:type="dxa"/>
            </w:tcMar>
            <w:vAlign w:val="center"/>
          </w:tcPr>
          <w:p>
            <w:pPr>
              <w:spacing w:after="0"/>
            </w:pPr>
            <w:r>
              <w:rPr>
                <w:rFonts w:ascii="Aptos" w:hAnsi="Aptos" w:eastAsia="Aptos"/>
                <w:sz w:val="15"/>
              </w:rPr>
              <w:t>Final credit decline</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Withdrawn</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Customer withdrew before booking</w:t>
            </w:r>
          </w:p>
        </w:tc>
      </w:tr>
      <w:tr>
        <w:tc>
          <w:tcPr>
            <w:tcW w:type="dxa" w:w="2880"/>
            <w:tcMar>
              <w:top w:w="70" w:type="dxa"/>
              <w:start w:w="90" w:type="dxa"/>
              <w:bottom w:w="70" w:type="dxa"/>
              <w:end w:w="90" w:type="dxa"/>
            </w:tcMar>
            <w:vAlign w:val="center"/>
          </w:tcPr>
          <w:p>
            <w:pPr>
              <w:spacing w:after="0"/>
            </w:pPr>
            <w:r>
              <w:rPr>
                <w:rFonts w:ascii="Aptos" w:hAnsi="Aptos" w:eastAsia="Aptos"/>
                <w:sz w:val="15"/>
              </w:rPr>
              <w:t>Expired</w:t>
            </w:r>
          </w:p>
        </w:tc>
        <w:tc>
          <w:tcPr>
            <w:tcW w:type="dxa" w:w="6912"/>
            <w:tcMar>
              <w:top w:w="70" w:type="dxa"/>
              <w:start w:w="90" w:type="dxa"/>
              <w:bottom w:w="70" w:type="dxa"/>
              <w:end w:w="90" w:type="dxa"/>
            </w:tcMar>
            <w:vAlign w:val="center"/>
          </w:tcPr>
          <w:p>
            <w:pPr>
              <w:spacing w:after="0"/>
            </w:pPr>
            <w:r>
              <w:rPr>
                <w:rFonts w:ascii="Aptos" w:hAnsi="Aptos" w:eastAsia="Aptos"/>
                <w:sz w:val="15"/>
              </w:rPr>
              <w:t>Approval/application validity ended</w:t>
            </w:r>
          </w:p>
        </w:tc>
      </w:tr>
      <w:tr>
        <w:tc>
          <w:tcPr>
            <w:tcW w:type="dxa" w:w="2880"/>
            <w:shd w:fill="F7F9FC"/>
            <w:tcMar>
              <w:top w:w="70" w:type="dxa"/>
              <w:start w:w="90" w:type="dxa"/>
              <w:bottom w:w="70" w:type="dxa"/>
              <w:end w:w="90" w:type="dxa"/>
            </w:tcMar>
            <w:vAlign w:val="center"/>
          </w:tcPr>
          <w:p>
            <w:pPr>
              <w:spacing w:after="0"/>
            </w:pPr>
            <w:r>
              <w:rPr>
                <w:rFonts w:ascii="Aptos" w:hAnsi="Aptos" w:eastAsia="Aptos"/>
                <w:sz w:val="15"/>
              </w:rPr>
              <w:t>Duplicate Closed</w:t>
            </w:r>
          </w:p>
        </w:tc>
        <w:tc>
          <w:tcPr>
            <w:tcW w:type="dxa" w:w="6912"/>
            <w:shd w:fill="F7F9FC"/>
            <w:tcMar>
              <w:top w:w="70" w:type="dxa"/>
              <w:start w:w="90" w:type="dxa"/>
              <w:bottom w:w="70" w:type="dxa"/>
              <w:end w:w="90" w:type="dxa"/>
            </w:tcMar>
            <w:vAlign w:val="center"/>
          </w:tcPr>
          <w:p>
            <w:pPr>
              <w:spacing w:after="0"/>
            </w:pPr>
            <w:r>
              <w:rPr>
                <w:rFonts w:ascii="Aptos" w:hAnsi="Aptos" w:eastAsia="Aptos"/>
                <w:sz w:val="15"/>
              </w:rPr>
              <w:t>Closed in favor of linked active application</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'Approved' and 'Disbursed' must remain separate states.</w:t>
      </w:r>
    </w:p>
    <w:sectPr w:rsidR="00FC693F" w:rsidRPr="0006063C" w:rsidSect="00034616">
      <w:headerReference w:type="default" r:id="rId9"/>
      <w:footerReference w:type="default" r:id="rId10"/>
      <w:pgSz w:w="11909" w:h="16834"/>
      <w:pgMar w:top="864"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rFonts w:ascii="Aptos" w:hAnsi="Aptos" w:eastAsia="Aptos"/>
        <w:b w:val="0"/>
        <w:color w:val="595959"/>
        <w:sz w:val="10"/>
      </w:rPr>
      <w:t>Northstar Financial — Synthetic Internal Document. This document is fictional and created solely for educational and software-development purposes. It does not represent an actual financial institution, regulatory requirement, legal obligation, or financial advice.</w:t>
    </w:r>
  </w:p>
  <w:p>
    <w:pPr>
      <w:jc w:val="center"/>
    </w:pPr>
    <w:r>
      <w:rPr>
        <w:rFonts w:ascii="Aptos" w:hAnsi="Aptos" w:eastAsia="Aptos"/>
        <w:b w:val="0"/>
        <w:color w:val="595959"/>
        <w:sz w:val="12"/>
      </w:rPr>
      <w:t xml:space="preserve">Internal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7365D"/>
        <w:sz w:val="14"/>
      </w:rPr>
      <w:t>NORTHSTAR FINANCIAL  |  LOP-002  |  Loan Origination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olNote">
    <w:name w:val="Control Note"/>
    <w:pPr>
      <w:spacing w:after="80"/>
      <w:ind w:left="259"/>
    </w:pPr>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