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Operational Registers, Schedules and Forms Manual</w:t>
      </w:r>
    </w:p>
    <w:p>
      <w:pPr>
        <w:jc w:val="center"/>
      </w:pPr>
      <w:r>
        <w:rPr>
          <w:sz w:val="20"/>
        </w:rPr>
        <w:t>RFM-068  |  Version 1.0  |  Internal</w:t>
      </w:r>
    </w:p>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color w:val="17365D"/>
                <w:sz w:val="16"/>
              </w:rPr>
              <w:t>Document ID</w:t>
            </w:r>
          </w:p>
        </w:tc>
        <w:tc>
          <w:tcPr>
            <w:tcW w:type="dxa" w:w="5170"/>
            <w:vAlign w:val="center"/>
          </w:tcPr>
          <w:p>
            <w:r/>
            <w:r>
              <w:rPr>
                <w:b w:val="0"/>
                <w:sz w:val="16"/>
              </w:rPr>
              <w:t>RFM-068</w:t>
            </w:r>
          </w:p>
        </w:tc>
      </w:tr>
      <w:tr>
        <w:tc>
          <w:tcPr>
            <w:tcW w:type="dxa" w:w="5170"/>
            <w:vAlign w:val="center"/>
            <w:shd w:fill="D9EAF7"/>
          </w:tcPr>
          <w:p>
            <w:r/>
            <w:r>
              <w:rPr>
                <w:b/>
                <w:color w:val="17365D"/>
                <w:sz w:val="16"/>
              </w:rPr>
              <w:t>Document Title</w:t>
            </w:r>
          </w:p>
        </w:tc>
        <w:tc>
          <w:tcPr>
            <w:tcW w:type="dxa" w:w="5170"/>
            <w:vAlign w:val="center"/>
          </w:tcPr>
          <w:p>
            <w:r/>
            <w:r>
              <w:rPr>
                <w:b w:val="0"/>
                <w:sz w:val="16"/>
              </w:rPr>
              <w:t>Operational Registers, Schedules and Forms Manual</w:t>
            </w:r>
          </w:p>
        </w:tc>
      </w:tr>
      <w:tr>
        <w:tc>
          <w:tcPr>
            <w:tcW w:type="dxa" w:w="5170"/>
            <w:vAlign w:val="center"/>
            <w:shd w:fill="D9EAF7"/>
          </w:tcPr>
          <w:p>
            <w:r/>
            <w:r>
              <w:rPr>
                <w:b/>
                <w:color w:val="17365D"/>
                <w:sz w:val="16"/>
              </w:rPr>
              <w:t>Version</w:t>
            </w:r>
          </w:p>
        </w:tc>
        <w:tc>
          <w:tcPr>
            <w:tcW w:type="dxa" w:w="5170"/>
            <w:vAlign w:val="center"/>
          </w:tcPr>
          <w:p>
            <w:r/>
            <w:r>
              <w:rPr>
                <w:b w:val="0"/>
                <w:sz w:val="16"/>
              </w:rPr>
              <w:t>1.0</w:t>
            </w:r>
          </w:p>
        </w:tc>
      </w:tr>
      <w:tr>
        <w:tc>
          <w:tcPr>
            <w:tcW w:type="dxa" w:w="5170"/>
            <w:vAlign w:val="center"/>
            <w:shd w:fill="D9EAF7"/>
          </w:tcPr>
          <w:p>
            <w:r/>
            <w:r>
              <w:rPr>
                <w:b/>
                <w:color w:val="17365D"/>
                <w:sz w:val="16"/>
              </w:rPr>
              <w:t>Policy Owner</w:t>
            </w:r>
          </w:p>
        </w:tc>
        <w:tc>
          <w:tcPr>
            <w:tcW w:type="dxa" w:w="5170"/>
            <w:vAlign w:val="center"/>
          </w:tcPr>
          <w:p>
            <w:r/>
            <w:r>
              <w:rPr>
                <w:b w:val="0"/>
                <w:sz w:val="16"/>
              </w:rPr>
              <w:t>Ritika Sharma — Head of Operations Governance</w:t>
            </w:r>
          </w:p>
        </w:tc>
      </w:tr>
      <w:tr>
        <w:tc>
          <w:tcPr>
            <w:tcW w:type="dxa" w:w="5170"/>
            <w:vAlign w:val="center"/>
            <w:shd w:fill="D9EAF7"/>
          </w:tcPr>
          <w:p>
            <w:r/>
            <w:r>
              <w:rPr>
                <w:b/>
                <w:color w:val="17365D"/>
                <w:sz w:val="16"/>
              </w:rPr>
              <w:t>Business Unit</w:t>
            </w:r>
          </w:p>
        </w:tc>
        <w:tc>
          <w:tcPr>
            <w:tcW w:type="dxa" w:w="5170"/>
            <w:vAlign w:val="center"/>
          </w:tcPr>
          <w:p>
            <w:r/>
            <w:r>
              <w:rPr>
                <w:b w:val="0"/>
                <w:sz w:val="16"/>
              </w:rPr>
              <w:t>Operations Governance / Enterprise Risk / Compliance</w:t>
            </w:r>
          </w:p>
        </w:tc>
      </w:tr>
      <w:tr>
        <w:tc>
          <w:tcPr>
            <w:tcW w:type="dxa" w:w="5170"/>
            <w:vAlign w:val="center"/>
            <w:shd w:fill="D9EAF7"/>
          </w:tcPr>
          <w:p>
            <w:r/>
            <w:r>
              <w:rPr>
                <w:b/>
                <w:color w:val="17365D"/>
                <w:sz w:val="16"/>
              </w:rPr>
              <w:t>Approving Authority</w:t>
            </w:r>
          </w:p>
        </w:tc>
        <w:tc>
          <w:tcPr>
            <w:tcW w:type="dxa" w:w="5170"/>
            <w:vAlign w:val="center"/>
          </w:tcPr>
          <w:p>
            <w:r/>
            <w:r>
              <w:rPr>
                <w:b w:val="0"/>
                <w:sz w:val="16"/>
              </w:rPr>
              <w:t>Chief Operating Officer</w:t>
            </w:r>
          </w:p>
        </w:tc>
      </w:tr>
      <w:tr>
        <w:tc>
          <w:tcPr>
            <w:tcW w:type="dxa" w:w="5170"/>
            <w:vAlign w:val="center"/>
            <w:shd w:fill="D9EAF7"/>
          </w:tcPr>
          <w:p>
            <w:r/>
            <w:r>
              <w:rPr>
                <w:b/>
                <w:color w:val="17365D"/>
                <w:sz w:val="16"/>
              </w:rPr>
              <w:t>Effective Date</w:t>
            </w:r>
          </w:p>
        </w:tc>
        <w:tc>
          <w:tcPr>
            <w:tcW w:type="dxa" w:w="5170"/>
            <w:vAlign w:val="center"/>
          </w:tcPr>
          <w:p>
            <w:r/>
            <w:r>
              <w:rPr>
                <w:b w:val="0"/>
                <w:sz w:val="16"/>
              </w:rPr>
              <w:t>1 September 2026</w:t>
            </w:r>
          </w:p>
        </w:tc>
      </w:tr>
      <w:tr>
        <w:tc>
          <w:tcPr>
            <w:tcW w:type="dxa" w:w="5170"/>
            <w:vAlign w:val="center"/>
            <w:shd w:fill="D9EAF7"/>
          </w:tcPr>
          <w:p>
            <w:r/>
            <w:r>
              <w:rPr>
                <w:b/>
                <w:color w:val="17365D"/>
                <w:sz w:val="16"/>
              </w:rPr>
              <w:t>Previous Version</w:t>
            </w:r>
          </w:p>
        </w:tc>
        <w:tc>
          <w:tcPr>
            <w:tcW w:type="dxa" w:w="5170"/>
            <w:vAlign w:val="center"/>
          </w:tcPr>
          <w:p>
            <w:r/>
            <w:r>
              <w:rPr>
                <w:b w:val="0"/>
                <w:sz w:val="16"/>
              </w:rPr>
              <w:t>N/A</w:t>
            </w:r>
          </w:p>
        </w:tc>
      </w:tr>
      <w:tr>
        <w:tc>
          <w:tcPr>
            <w:tcW w:type="dxa" w:w="5170"/>
            <w:vAlign w:val="center"/>
            <w:shd w:fill="D9EAF7"/>
          </w:tcPr>
          <w:p>
            <w:r/>
            <w:r>
              <w:rPr>
                <w:b/>
                <w:color w:val="17365D"/>
                <w:sz w:val="16"/>
              </w:rPr>
              <w:t>Review Frequency</w:t>
            </w:r>
          </w:p>
        </w:tc>
        <w:tc>
          <w:tcPr>
            <w:tcW w:type="dxa" w:w="5170"/>
            <w:vAlign w:val="center"/>
          </w:tcPr>
          <w:p>
            <w:r/>
            <w:r>
              <w:rPr>
                <w:b w:val="0"/>
                <w:sz w:val="16"/>
              </w:rPr>
              <w:t>Annual</w:t>
            </w:r>
          </w:p>
        </w:tc>
      </w:tr>
      <w:tr>
        <w:tc>
          <w:tcPr>
            <w:tcW w:type="dxa" w:w="5170"/>
            <w:vAlign w:val="center"/>
            <w:shd w:fill="D9EAF7"/>
          </w:tcPr>
          <w:p>
            <w:r/>
            <w:r>
              <w:rPr>
                <w:b/>
                <w:color w:val="17365D"/>
                <w:sz w:val="16"/>
              </w:rPr>
              <w:t>Classification</w:t>
            </w:r>
          </w:p>
        </w:tc>
        <w:tc>
          <w:tcPr>
            <w:tcW w:type="dxa" w:w="5170"/>
            <w:vAlign w:val="center"/>
          </w:tcPr>
          <w:p>
            <w:r/>
            <w:r>
              <w:rPr>
                <w:b w:val="0"/>
                <w:sz w:val="16"/>
              </w:rPr>
              <w:t>Internal</w:t>
            </w:r>
          </w:p>
        </w:tc>
      </w:tr>
      <w:tr>
        <w:tc>
          <w:tcPr>
            <w:tcW w:type="dxa" w:w="5170"/>
            <w:vAlign w:val="center"/>
            <w:shd w:fill="D9EAF7"/>
          </w:tcPr>
          <w:p>
            <w:r/>
            <w:r>
              <w:rPr>
                <w:b/>
                <w:color w:val="17365D"/>
                <w:sz w:val="16"/>
              </w:rPr>
              <w:t>Status</w:t>
            </w:r>
          </w:p>
        </w:tc>
        <w:tc>
          <w:tcPr>
            <w:tcW w:type="dxa" w:w="5170"/>
            <w:vAlign w:val="center"/>
          </w:tcPr>
          <w:p>
            <w:r/>
            <w:r>
              <w:rPr>
                <w:b w:val="0"/>
                <w:sz w:val="16"/>
              </w:rPr>
              <w:t>Approved</w:t>
            </w:r>
          </w:p>
        </w:tc>
      </w:tr>
      <w:tr>
        <w:tc>
          <w:tcPr>
            <w:tcW w:type="dxa" w:w="5170"/>
            <w:vAlign w:val="center"/>
            <w:shd w:fill="D9EAF7"/>
          </w:tcPr>
          <w:p>
            <w:r/>
            <w:r>
              <w:rPr>
                <w:b/>
                <w:color w:val="17365D"/>
                <w:sz w:val="16"/>
              </w:rPr>
              <w:t>Supersedes</w:t>
            </w:r>
          </w:p>
        </w:tc>
        <w:tc>
          <w:tcPr>
            <w:tcW w:type="dxa" w:w="5170"/>
            <w:vAlign w:val="center"/>
          </w:tcPr>
          <w:p>
            <w:r/>
            <w:r>
              <w:rPr>
                <w:b w:val="0"/>
                <w:sz w:val="16"/>
              </w:rPr>
              <w:t>Departmental spreadsheet instructions and local register notes</w:t>
            </w:r>
          </w:p>
        </w:tc>
      </w:tr>
      <w:tr>
        <w:tc>
          <w:tcPr>
            <w:tcW w:type="dxa" w:w="5170"/>
            <w:vAlign w:val="center"/>
            <w:shd w:fill="D9EAF7"/>
          </w:tcPr>
          <w:p>
            <w:r/>
            <w:r>
              <w:rPr>
                <w:b/>
                <w:color w:val="17365D"/>
                <w:sz w:val="16"/>
              </w:rPr>
              <w:t>Related Documents</w:t>
            </w:r>
          </w:p>
        </w:tc>
        <w:tc>
          <w:tcPr>
            <w:tcW w:type="dxa" w:w="5170"/>
            <w:vAlign w:val="center"/>
          </w:tcPr>
          <w:p>
            <w:r/>
            <w:r>
              <w:rPr>
                <w:b w:val="0"/>
                <w:sz w:val="16"/>
              </w:rPr>
              <w:t>All Northstar controlled policies/procedures; Master Consistency Sheet; Operational Registers Workbook</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vAlign w:val="center"/>
            <w:shd w:fill="17365D"/>
          </w:tcPr>
          <w:p>
            <w:r/>
            <w:r>
              <w:rPr>
                <w:b/>
                <w:color w:val="FFFFFF"/>
                <w:sz w:val="15"/>
              </w:rPr>
              <w:t>Version</w:t>
            </w:r>
          </w:p>
        </w:tc>
        <w:tc>
          <w:tcPr>
            <w:tcW w:type="dxa" w:w="2585"/>
            <w:vAlign w:val="center"/>
            <w:shd w:fill="17365D"/>
          </w:tcPr>
          <w:p>
            <w:r/>
            <w:r>
              <w:rPr>
                <w:b/>
                <w:color w:val="FFFFFF"/>
                <w:sz w:val="15"/>
              </w:rPr>
              <w:t>Effective Date</w:t>
            </w:r>
          </w:p>
        </w:tc>
        <w:tc>
          <w:tcPr>
            <w:tcW w:type="dxa" w:w="2585"/>
            <w:vAlign w:val="center"/>
            <w:shd w:fill="17365D"/>
          </w:tcPr>
          <w:p>
            <w:r/>
            <w:r>
              <w:rPr>
                <w:b/>
                <w:color w:val="FFFFFF"/>
                <w:sz w:val="15"/>
              </w:rPr>
              <w:t>Change Summary</w:t>
            </w:r>
          </w:p>
        </w:tc>
        <w:tc>
          <w:tcPr>
            <w:tcW w:type="dxa" w:w="2585"/>
            <w:vAlign w:val="center"/>
            <w:shd w:fill="17365D"/>
          </w:tcPr>
          <w:p>
            <w:r/>
            <w:r>
              <w:rPr>
                <w:b/>
                <w:color w:val="FFFFFF"/>
                <w:sz w:val="15"/>
              </w:rPr>
              <w:t>Approving Authority</w:t>
            </w:r>
          </w:p>
        </w:tc>
      </w:tr>
      <w:tr>
        <w:tc>
          <w:tcPr>
            <w:tcW w:type="dxa" w:w="2585"/>
            <w:vAlign w:val="center"/>
          </w:tcPr>
          <w:p>
            <w:r/>
            <w:r>
              <w:rPr>
                <w:b w:val="0"/>
                <w:sz w:val="14"/>
              </w:rPr>
              <w:t>0.8</w:t>
            </w:r>
          </w:p>
        </w:tc>
        <w:tc>
          <w:tcPr>
            <w:tcW w:type="dxa" w:w="2585"/>
            <w:vAlign w:val="center"/>
          </w:tcPr>
          <w:p>
            <w:r/>
            <w:r>
              <w:rPr>
                <w:b w:val="0"/>
                <w:sz w:val="14"/>
              </w:rPr>
              <w:t>1 Jul 2026</w:t>
            </w:r>
          </w:p>
        </w:tc>
        <w:tc>
          <w:tcPr>
            <w:tcW w:type="dxa" w:w="2585"/>
            <w:vAlign w:val="center"/>
          </w:tcPr>
          <w:p>
            <w:r/>
            <w:r>
              <w:rPr>
                <w:b w:val="0"/>
                <w:sz w:val="14"/>
              </w:rPr>
              <w:t>Draft minimum register fields and ownership model.</w:t>
            </w:r>
          </w:p>
        </w:tc>
        <w:tc>
          <w:tcPr>
            <w:tcW w:type="dxa" w:w="2585"/>
            <w:vAlign w:val="center"/>
          </w:tcPr>
          <w:p>
            <w:r/>
            <w:r>
              <w:rPr>
                <w:b w:val="0"/>
                <w:sz w:val="14"/>
              </w:rPr>
              <w:t>Head of Operations Governance</w:t>
            </w:r>
          </w:p>
        </w:tc>
      </w:tr>
      <w:tr>
        <w:tc>
          <w:tcPr>
            <w:tcW w:type="dxa" w:w="2585"/>
            <w:vAlign w:val="center"/>
          </w:tcPr>
          <w:p>
            <w:r/>
            <w:r>
              <w:rPr>
                <w:b w:val="0"/>
                <w:sz w:val="14"/>
              </w:rPr>
              <w:t>1.0</w:t>
            </w:r>
          </w:p>
        </w:tc>
        <w:tc>
          <w:tcPr>
            <w:tcW w:type="dxa" w:w="2585"/>
            <w:vAlign w:val="center"/>
          </w:tcPr>
          <w:p>
            <w:r/>
            <w:r>
              <w:rPr>
                <w:b w:val="0"/>
                <w:sz w:val="14"/>
              </w:rPr>
              <w:t>1 Sep 2026</w:t>
            </w:r>
          </w:p>
        </w:tc>
        <w:tc>
          <w:tcPr>
            <w:tcW w:type="dxa" w:w="2585"/>
            <w:vAlign w:val="center"/>
          </w:tcPr>
          <w:p>
            <w:r/>
            <w:r>
              <w:rPr>
                <w:b w:val="0"/>
                <w:sz w:val="14"/>
              </w:rPr>
              <w:t>First controlled manual covering enterprise operational registers and forms.</w:t>
            </w:r>
          </w:p>
        </w:tc>
        <w:tc>
          <w:tcPr>
            <w:tcW w:type="dxa" w:w="2585"/>
            <w:vAlign w:val="center"/>
          </w:tcPr>
          <w:p>
            <w:r/>
            <w:r>
              <w:rPr>
                <w:b w:val="0"/>
                <w:sz w:val="14"/>
              </w:rPr>
              <w:t>Chief Operating Officer</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This Manual establishes minimum field, ownership, control and retention expectations for Northstar operational registers, schedules, forms and recurring management datasets.</w:t>
      </w:r>
    </w:p>
    <w:p>
      <w:pPr>
        <w:pStyle w:val="Heading1"/>
      </w:pPr>
      <w:r>
        <w:t>2. Scope</w:t>
      </w:r>
    </w:p>
    <w:p>
      <w:r>
        <w:t>The Manual applies to structured records used to evidence applications, approvals, exceptions, KYC/AML cases, incidents, investments, access, vendors, training, complaints, fraud and continuity activity.</w:t>
      </w:r>
    </w:p>
    <w:p>
      <w:pPr>
        <w:pStyle w:val="Heading1"/>
      </w:pPr>
      <w:r>
        <w:t>3. Data Principles</w:t>
      </w:r>
    </w:p>
    <w:p>
      <w:r>
        <w:t>Operational datasets shall be traceable, synthetic in this software-development repository, internally consistent and version-aware.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Principle</w:t>
            </w:r>
          </w:p>
        </w:tc>
        <w:tc>
          <w:tcPr>
            <w:tcW w:type="dxa" w:w="5170"/>
            <w:vAlign w:val="center"/>
            <w:shd w:fill="17365D"/>
          </w:tcPr>
          <w:p>
            <w:r/>
            <w:r>
              <w:rPr>
                <w:b/>
                <w:color w:val="FFFFFF"/>
                <w:sz w:val="15"/>
              </w:rPr>
              <w:t>Requirement</w:t>
            </w:r>
          </w:p>
        </w:tc>
      </w:tr>
      <w:tr>
        <w:tc>
          <w:tcPr>
            <w:tcW w:type="dxa" w:w="5170"/>
            <w:vAlign w:val="center"/>
          </w:tcPr>
          <w:p>
            <w:r/>
            <w:r>
              <w:rPr>
                <w:b w:val="0"/>
                <w:sz w:val="14"/>
              </w:rPr>
              <w:t>Unique identifiers</w:t>
            </w:r>
          </w:p>
        </w:tc>
        <w:tc>
          <w:tcPr>
            <w:tcW w:type="dxa" w:w="5170"/>
            <w:vAlign w:val="center"/>
          </w:tcPr>
          <w:p>
            <w:r/>
            <w:r>
              <w:rPr>
                <w:b w:val="0"/>
                <w:sz w:val="14"/>
              </w:rPr>
              <w:t>Each register row uses a stable record ID.</w:t>
            </w:r>
          </w:p>
        </w:tc>
      </w:tr>
      <w:tr>
        <w:tc>
          <w:tcPr>
            <w:tcW w:type="dxa" w:w="5170"/>
            <w:vAlign w:val="center"/>
          </w:tcPr>
          <w:p>
            <w:r/>
            <w:r>
              <w:rPr>
                <w:b w:val="0"/>
                <w:sz w:val="14"/>
              </w:rPr>
              <w:t>Date discipline</w:t>
            </w:r>
          </w:p>
        </w:tc>
        <w:tc>
          <w:tcPr>
            <w:tcW w:type="dxa" w:w="5170"/>
            <w:vAlign w:val="center"/>
          </w:tcPr>
          <w:p>
            <w:r/>
            <w:r>
              <w:rPr>
                <w:b w:val="0"/>
                <w:sz w:val="14"/>
              </w:rPr>
              <w:t>Event, awareness, decision and closure dates are distinct where relevant.</w:t>
            </w:r>
          </w:p>
        </w:tc>
      </w:tr>
      <w:tr>
        <w:tc>
          <w:tcPr>
            <w:tcW w:type="dxa" w:w="5170"/>
            <w:vAlign w:val="center"/>
          </w:tcPr>
          <w:p>
            <w:r/>
            <w:r>
              <w:rPr>
                <w:b w:val="0"/>
                <w:sz w:val="14"/>
              </w:rPr>
              <w:t>Version traceability</w:t>
            </w:r>
          </w:p>
        </w:tc>
        <w:tc>
          <w:tcPr>
            <w:tcW w:type="dxa" w:w="5170"/>
            <w:vAlign w:val="center"/>
          </w:tcPr>
          <w:p>
            <w:r/>
            <w:r>
              <w:rPr>
                <w:b w:val="0"/>
                <w:sz w:val="14"/>
              </w:rPr>
              <w:t>Historical decision records retain applicable policy/procedure version.</w:t>
            </w:r>
          </w:p>
        </w:tc>
      </w:tr>
      <w:tr>
        <w:tc>
          <w:tcPr>
            <w:tcW w:type="dxa" w:w="5170"/>
            <w:vAlign w:val="center"/>
          </w:tcPr>
          <w:p>
            <w:r/>
            <w:r>
              <w:rPr>
                <w:b w:val="0"/>
                <w:sz w:val="14"/>
              </w:rPr>
              <w:t>No silent overwrite</w:t>
            </w:r>
          </w:p>
        </w:tc>
        <w:tc>
          <w:tcPr>
            <w:tcW w:type="dxa" w:w="5170"/>
            <w:vAlign w:val="center"/>
          </w:tcPr>
          <w:p>
            <w:r/>
            <w:r>
              <w:rPr>
                <w:b w:val="0"/>
                <w:sz w:val="14"/>
              </w:rPr>
              <w:t>Material status/decision changes should be auditable.</w:t>
            </w:r>
          </w:p>
        </w:tc>
      </w:tr>
      <w:tr>
        <w:tc>
          <w:tcPr>
            <w:tcW w:type="dxa" w:w="5170"/>
            <w:vAlign w:val="center"/>
          </w:tcPr>
          <w:p>
            <w:r/>
            <w:r>
              <w:rPr>
                <w:b w:val="0"/>
                <w:sz w:val="14"/>
              </w:rPr>
              <w:t>Controlled categories</w:t>
            </w:r>
          </w:p>
        </w:tc>
        <w:tc>
          <w:tcPr>
            <w:tcW w:type="dxa" w:w="5170"/>
            <w:vAlign w:val="center"/>
          </w:tcPr>
          <w:p>
            <w:r/>
            <w:r>
              <w:rPr>
                <w:b w:val="0"/>
                <w:sz w:val="14"/>
              </w:rPr>
              <w:t>Use defined status/severity/category values.</w:t>
            </w:r>
          </w:p>
        </w:tc>
      </w:tr>
      <w:tr>
        <w:tc>
          <w:tcPr>
            <w:tcW w:type="dxa" w:w="5170"/>
            <w:vAlign w:val="center"/>
          </w:tcPr>
          <w:p>
            <w:r/>
            <w:r>
              <w:rPr>
                <w:b w:val="0"/>
                <w:sz w:val="14"/>
              </w:rPr>
              <w:t>Cross-reference</w:t>
            </w:r>
          </w:p>
        </w:tc>
        <w:tc>
          <w:tcPr>
            <w:tcW w:type="dxa" w:w="5170"/>
            <w:vAlign w:val="center"/>
          </w:tcPr>
          <w:p>
            <w:r/>
            <w:r>
              <w:rPr>
                <w:b w:val="0"/>
                <w:sz w:val="14"/>
              </w:rPr>
              <w:t>Linked incidents/cases should use exact IDs.</w:t>
            </w:r>
          </w:p>
        </w:tc>
      </w:tr>
    </w:tbl>
    <w:p/>
    <w:p>
      <w:pPr>
        <w:pStyle w:val="Heading1"/>
      </w:pPr>
      <w:r>
        <w:t>4. Ownership and Maker-Checker</w:t>
      </w:r>
    </w:p>
    <w:p>
      <w:r>
        <w:t>Each material register has a business owner and, where decisions or reporting are material, a checker or reconciliation process.</w:t>
      </w:r>
    </w:p>
    <w:p>
      <w:pPr>
        <w:pStyle w:val="Heading1"/>
      </w:pPr>
      <w:r>
        <w:t>5. Customer and Personal Information</w:t>
      </w:r>
    </w:p>
    <w:p>
      <w:r>
        <w:t>This synthetic repository shall not include real customer or employee personal information. Fictional identifiers and names shall be used.</w:t>
      </w:r>
    </w:p>
    <w:p>
      <w:pPr>
        <w:pStyle w:val="Heading1"/>
      </w:pPr>
      <w:r>
        <w:t>6. Application and Credit Registers</w:t>
      </w:r>
    </w:p>
    <w:p>
      <w:r>
        <w:t>Loan application, credit approval, exception and disbursement registers shall retain decision authority, exception flag, rule version and status.</w:t>
      </w:r>
    </w:p>
    <w:p>
      <w:pPr>
        <w:pStyle w:val="Heading1"/>
      </w:pPr>
      <w:r>
        <w:t>7. KYC and AML Registers</w:t>
      </w:r>
    </w:p>
    <w:p>
      <w:r>
        <w:t>KYC review, customer risk, alert and investigation registers shall distinguish operational KYC tier, AML customer risk, alert severity and final disposition.</w:t>
      </w:r>
    </w:p>
    <w:p>
      <w:pPr>
        <w:pStyle w:val="Heading1"/>
      </w:pPr>
      <w:r>
        <w:t>8. Risk and Compliance Registers</w:t>
      </w:r>
    </w:p>
    <w:p>
      <w:r>
        <w:t>Operational risk incidents and compliance breaches shall retain their separate OR1–OR4 and C1–C4 classifications, with linked-case references where both apply.</w:t>
      </w:r>
    </w:p>
    <w:p>
      <w:pPr>
        <w:pStyle w:val="Heading1"/>
      </w:pPr>
      <w:r>
        <w:t>9. Security and Access Registers</w:t>
      </w:r>
    </w:p>
    <w:p>
      <w:r>
        <w:t>Security incident and access review registers shall retain SEV classification, system/application, information classification, privileged status, owner, action and closure evidence.</w:t>
      </w:r>
    </w:p>
    <w:p>
      <w:pPr>
        <w:pStyle w:val="Heading1"/>
      </w:pPr>
      <w:r>
        <w:t>10. Vendor Register</w:t>
      </w:r>
    </w:p>
    <w:p>
      <w:r>
        <w:t>Vendor records shall include T1–T4 tier, service, data/access, owner, latest assessment, next review, incidents and exit-plan status.</w:t>
      </w:r>
    </w:p>
    <w:p>
      <w:pPr>
        <w:pStyle w:val="Heading1"/>
      </w:pPr>
      <w:r>
        <w:t>11. Investment Registers</w:t>
      </w:r>
    </w:p>
    <w:p>
      <w:r>
        <w:t>Investment holdings and limit monitoring shall include issuer, group, instrument, internal grade, amount, portfolio percentage, authority and limit utilization.</w:t>
      </w:r>
    </w:p>
    <w:p>
      <w:pPr>
        <w:pStyle w:val="Heading1"/>
      </w:pPr>
      <w:r>
        <w:t>12. Complaints and Fraud Registers</w:t>
      </w:r>
    </w:p>
    <w:p>
      <w:r>
        <w:t>Complaint and fraud records shall capture priority/severity, customer impact/exposure, outcome, remediation/loss and linked incidents without forcing one classification to replace another.</w:t>
      </w:r>
    </w:p>
    <w:p>
      <w:pPr>
        <w:pStyle w:val="Heading1"/>
      </w:pPr>
      <w:r>
        <w:t>13. Business Continuity Test Register</w:t>
      </w:r>
    </w:p>
    <w:p>
      <w:r>
        <w:t>BCP testing shall record process tier, scenario, recovery result, RTO performance, control defects, owners and closure evidence.</w:t>
      </w:r>
    </w:p>
    <w:p>
      <w:pPr>
        <w:pStyle w:val="Heading1"/>
      </w:pPr>
      <w:r>
        <w:t>14. Employee Training Register</w:t>
      </w:r>
    </w:p>
    <w:p>
      <w:r>
        <w:t>Training records shall identify course, employee/role, due date, completion, score/status and overdue escalation for mandatory modules.</w:t>
      </w:r>
    </w:p>
    <w:p>
      <w:pPr>
        <w:pStyle w:val="Heading1"/>
      </w:pPr>
      <w:r>
        <w:t>15. Status Values</w:t>
      </w:r>
    </w:p>
    <w:p>
      <w:r>
        <w:t>Common status values should be controlled but may differ by register.</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Register</w:t>
            </w:r>
          </w:p>
        </w:tc>
        <w:tc>
          <w:tcPr>
            <w:tcW w:type="dxa" w:w="5170"/>
            <w:vAlign w:val="center"/>
            <w:shd w:fill="17365D"/>
          </w:tcPr>
          <w:p>
            <w:r/>
            <w:r>
              <w:rPr>
                <w:b/>
                <w:color w:val="FFFFFF"/>
                <w:sz w:val="15"/>
              </w:rPr>
              <w:t>Typical Status</w:t>
            </w:r>
          </w:p>
        </w:tc>
      </w:tr>
      <w:tr>
        <w:tc>
          <w:tcPr>
            <w:tcW w:type="dxa" w:w="5170"/>
            <w:vAlign w:val="center"/>
          </w:tcPr>
          <w:p>
            <w:r/>
            <w:r>
              <w:rPr>
                <w:b w:val="0"/>
                <w:sz w:val="14"/>
              </w:rPr>
              <w:t>Application</w:t>
            </w:r>
          </w:p>
        </w:tc>
        <w:tc>
          <w:tcPr>
            <w:tcW w:type="dxa" w:w="5170"/>
            <w:vAlign w:val="center"/>
          </w:tcPr>
          <w:p>
            <w:r/>
            <w:r>
              <w:rPr>
                <w:b w:val="0"/>
                <w:sz w:val="14"/>
              </w:rPr>
              <w:t>Received / Under Review / Approved / Declined / Withdrawn / Disbursed</w:t>
            </w:r>
          </w:p>
        </w:tc>
      </w:tr>
      <w:tr>
        <w:tc>
          <w:tcPr>
            <w:tcW w:type="dxa" w:w="5170"/>
            <w:vAlign w:val="center"/>
          </w:tcPr>
          <w:p>
            <w:r/>
            <w:r>
              <w:rPr>
                <w:b w:val="0"/>
                <w:sz w:val="14"/>
              </w:rPr>
              <w:t>KYC review</w:t>
            </w:r>
          </w:p>
        </w:tc>
        <w:tc>
          <w:tcPr>
            <w:tcW w:type="dxa" w:w="5170"/>
            <w:vAlign w:val="center"/>
          </w:tcPr>
          <w:p>
            <w:r/>
            <w:r>
              <w:rPr>
                <w:b w:val="0"/>
                <w:sz w:val="14"/>
              </w:rPr>
              <w:t>Due / In Review / Escalated / Complete / Restricted</w:t>
            </w:r>
          </w:p>
        </w:tc>
      </w:tr>
      <w:tr>
        <w:tc>
          <w:tcPr>
            <w:tcW w:type="dxa" w:w="5170"/>
            <w:vAlign w:val="center"/>
          </w:tcPr>
          <w:p>
            <w:r/>
            <w:r>
              <w:rPr>
                <w:b w:val="0"/>
                <w:sz w:val="14"/>
              </w:rPr>
              <w:t>AML alert</w:t>
            </w:r>
          </w:p>
        </w:tc>
        <w:tc>
          <w:tcPr>
            <w:tcW w:type="dxa" w:w="5170"/>
            <w:vAlign w:val="center"/>
          </w:tcPr>
          <w:p>
            <w:r/>
            <w:r>
              <w:rPr>
                <w:b w:val="0"/>
                <w:sz w:val="14"/>
              </w:rPr>
              <w:t>New / Triage / Investigation / Escalated / Closed</w:t>
            </w:r>
          </w:p>
        </w:tc>
      </w:tr>
      <w:tr>
        <w:tc>
          <w:tcPr>
            <w:tcW w:type="dxa" w:w="5170"/>
            <w:vAlign w:val="center"/>
          </w:tcPr>
          <w:p>
            <w:r/>
            <w:r>
              <w:rPr>
                <w:b w:val="0"/>
                <w:sz w:val="14"/>
              </w:rPr>
              <w:t>Incident</w:t>
            </w:r>
          </w:p>
        </w:tc>
        <w:tc>
          <w:tcPr>
            <w:tcW w:type="dxa" w:w="5170"/>
            <w:vAlign w:val="center"/>
          </w:tcPr>
          <w:p>
            <w:r/>
            <w:r>
              <w:rPr>
                <w:b w:val="0"/>
                <w:sz w:val="14"/>
              </w:rPr>
              <w:t>Open / Contained / RCA / Action / Closed</w:t>
            </w:r>
          </w:p>
        </w:tc>
      </w:tr>
      <w:tr>
        <w:tc>
          <w:tcPr>
            <w:tcW w:type="dxa" w:w="5170"/>
            <w:vAlign w:val="center"/>
          </w:tcPr>
          <w:p>
            <w:r/>
            <w:r>
              <w:rPr>
                <w:b w:val="0"/>
                <w:sz w:val="14"/>
              </w:rPr>
              <w:t>Complaint</w:t>
            </w:r>
          </w:p>
        </w:tc>
        <w:tc>
          <w:tcPr>
            <w:tcW w:type="dxa" w:w="5170"/>
            <w:vAlign w:val="center"/>
          </w:tcPr>
          <w:p>
            <w:r/>
            <w:r>
              <w:rPr>
                <w:b w:val="0"/>
                <w:sz w:val="14"/>
              </w:rPr>
              <w:t>Open / Awaiting Information / Resolved / Reopened</w:t>
            </w:r>
          </w:p>
        </w:tc>
      </w:tr>
      <w:tr>
        <w:tc>
          <w:tcPr>
            <w:tcW w:type="dxa" w:w="5170"/>
            <w:vAlign w:val="center"/>
          </w:tcPr>
          <w:p>
            <w:r/>
            <w:r>
              <w:rPr>
                <w:b w:val="0"/>
                <w:sz w:val="14"/>
              </w:rPr>
              <w:t>Vendor</w:t>
            </w:r>
          </w:p>
        </w:tc>
        <w:tc>
          <w:tcPr>
            <w:tcW w:type="dxa" w:w="5170"/>
            <w:vAlign w:val="center"/>
          </w:tcPr>
          <w:p>
            <w:r/>
            <w:r>
              <w:rPr>
                <w:b w:val="0"/>
                <w:sz w:val="14"/>
              </w:rPr>
              <w:t>Active / Restricted / Remediation / Exit / Terminated</w:t>
            </w:r>
          </w:p>
        </w:tc>
      </w:tr>
    </w:tbl>
    <w:p/>
    <w:p>
      <w:pPr>
        <w:pStyle w:val="Heading1"/>
      </w:pPr>
      <w:r>
        <w:t>16. Dates and Time Zones</w:t>
      </w:r>
    </w:p>
    <w:p>
      <w:r>
        <w:t>Dates shall reflect the business context. Where exact time is material to security/fraud/compliance escalation, timestamp should be recorded with an understood local/system timezone.</w:t>
      </w:r>
    </w:p>
    <w:p>
      <w:pPr>
        <w:pStyle w:val="Heading1"/>
      </w:pPr>
      <w:r>
        <w:t>17. Monetary Fields</w:t>
      </w:r>
    </w:p>
    <w:p>
      <w:r>
        <w:t>Indian rupee values shall be stored numerically in operational datasets where possible, with formatted display using ₹/lakh/crore conventions as appropriate.</w:t>
      </w:r>
    </w:p>
    <w:p>
      <w:pPr>
        <w:pStyle w:val="Heading1"/>
      </w:pPr>
      <w:r>
        <w:t>18. Threshold Calculations</w:t>
      </w:r>
    </w:p>
    <w:p>
      <w:r>
        <w:t>Calculated ratios such as DTI, FOIR, LTV, utilization and ageing should be formula-derived in operational workbooks where feasible rather than manually retyped.</w:t>
      </w:r>
    </w:p>
    <w:p>
      <w:pPr>
        <w:pStyle w:val="Heading1"/>
      </w:pPr>
      <w:r>
        <w:t>19. Historical Rule Versions</w:t>
      </w:r>
    </w:p>
    <w:p>
      <w:r>
        <w:t>Registers shall preserve the source version used for a decision. A current threshold shall not be back-applied to rewrite historical decision records unless a formal remediation exercise requires re-assessment.</w:t>
      </w:r>
    </w:p>
    <w:p>
      <w:pPr>
        <w:pStyle w:val="Heading1"/>
      </w:pPr>
      <w:r>
        <w:t>20. Exceptions and Overrides</w:t>
      </w:r>
    </w:p>
    <w:p>
      <w:r>
        <w:t>Exception and override fields shall include reason, approver, authority level, approval date and expiry/conditions where relevant.</w:t>
      </w:r>
    </w:p>
    <w:p>
      <w:pPr>
        <w:pStyle w:val="Heading1"/>
      </w:pPr>
      <w:r>
        <w:t>21. Data Quality</w:t>
      </w:r>
    </w:p>
    <w:p>
      <w:r>
        <w:t>Owners shall periodically check duplicate IDs, impossible dates, missing owners, inconsistent statuses, invalid severity values, negative amounts and broken linked-case references.</w:t>
      </w:r>
    </w:p>
    <w:p>
      <w:pPr>
        <w:pStyle w:val="Heading1"/>
      </w:pPr>
      <w:r>
        <w:t>22. Access and Protection</w:t>
      </w:r>
    </w:p>
    <w:p>
      <w:r>
        <w:t>Register access follows ISP-014 and ACS-051. Restricted/security/fraud data should have tighter access than routine portfolio MI.</w:t>
      </w:r>
    </w:p>
    <w:p>
      <w:pPr>
        <w:pStyle w:val="Heading1"/>
      </w:pPr>
      <w:r>
        <w:t>23. Retention and Archiving</w:t>
      </w:r>
    </w:p>
    <w:p>
      <w:r>
        <w:t>Operational workbooks used for this synthetic repository are illustrative internal records. In a real operating context, retention would follow the mapped Northstar retention schedule and applicable obligations.</w:t>
      </w:r>
    </w:p>
    <w:p>
      <w:pPr>
        <w:pStyle w:val="Heading1"/>
      </w:pPr>
      <w:r>
        <w:t>24. Reporting Use</w:t>
      </w:r>
    </w:p>
    <w:p>
      <w:r>
        <w:t>Registers may feed management reports, but report calculations should be documented and reconcilable to source rows.</w:t>
      </w:r>
    </w:p>
    <w:p>
      <w:pPr>
        <w:pStyle w:val="Heading1"/>
      </w:pPr>
      <w:r>
        <w:t>25. Forms</w:t>
      </w:r>
    </w:p>
    <w:p>
      <w:r>
        <w:t>Controlled forms should include version, owner, required fields, approval/signature section where needed, and instructions limited to operational use.</w:t>
      </w:r>
    </w:p>
    <w:p>
      <w:pPr>
        <w:pStyle w:val="Heading1"/>
      </w:pPr>
      <w:r>
        <w:t>26. Local Variants</w:t>
      </w:r>
    </w:p>
    <w:p>
      <w:r>
        <w:t>Departments may maintain additional fields or stricter statuses, provided core identifiers and decision/control evidence are preserved.</w:t>
      </w:r>
    </w:p>
    <w:p>
      <w:pPr>
        <w:pStyle w:val="Heading1"/>
      </w:pPr>
      <w:r>
        <w:t>27. Migration of Legacy Registers</w:t>
      </w:r>
    </w:p>
    <w:p>
      <w:r>
        <w:t>Local spreadsheets shall be mapped to current core fields when migrated. Historical labels may remain in a dedicated legacy field rather than being overwritten.</w:t>
      </w:r>
    </w:p>
    <w:p>
      <w:pPr>
        <w:pStyle w:val="Heading1"/>
      </w:pPr>
      <w:r>
        <w:t>28. Quality Assurance</w:t>
      </w:r>
    </w:p>
    <w:p>
      <w:r>
        <w:t>Operations Governance shall periodically sample registers for completeness, formula integrity, controlled categories, date logic and cross-document consistency.</w:t>
      </w:r>
    </w:p>
    <w:p>
      <w:pPr>
        <w:pStyle w:val="Heading1"/>
      </w:pPr>
      <w:r>
        <w:t>29. Repository Dataset Workbook</w:t>
      </w:r>
    </w:p>
    <w:p>
      <w:r>
        <w:t>The Batch 6 Operational Registers Workbook is the reference synthetic dataset pack supporting this Manual. It is part of the fictional Northstar internal repository and contains no real personal data.</w:t>
      </w:r>
    </w:p>
    <w:p>
      <w:pPr>
        <w:pStyle w:val="Heading1"/>
      </w:pPr>
      <w:r>
        <w:t>30. Change Management</w:t>
      </w:r>
    </w:p>
    <w:p>
      <w:r>
        <w:t>Changes to core field definitions, status taxonomies or key formulas should be documented in the Master Consistency Sheet where they affect future continuity or interpretation.</w:t>
      </w:r>
    </w:p>
    <w:p>
      <w:r>
        <w:br w:type="page"/>
      </w:r>
    </w:p>
    <w:p>
      <w:pPr>
        <w:pStyle w:val="Heading1"/>
      </w:pPr>
      <w:r>
        <w:t>Appendix A — Minimum Register Inventory</w:t>
      </w:r>
    </w:p>
    <w:p>
      <w:r>
        <w:t>Batch 6 workbook includes the following synthetic operational datasets.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Register</w:t>
            </w:r>
          </w:p>
        </w:tc>
        <w:tc>
          <w:tcPr>
            <w:tcW w:type="dxa" w:w="5170"/>
            <w:vAlign w:val="center"/>
            <w:shd w:fill="17365D"/>
          </w:tcPr>
          <w:p>
            <w:r/>
            <w:r>
              <w:rPr>
                <w:b/>
                <w:color w:val="FFFFFF"/>
                <w:sz w:val="15"/>
              </w:rPr>
              <w:t>Primary Owner</w:t>
            </w:r>
          </w:p>
        </w:tc>
      </w:tr>
      <w:tr>
        <w:tc>
          <w:tcPr>
            <w:tcW w:type="dxa" w:w="5170"/>
            <w:vAlign w:val="center"/>
          </w:tcPr>
          <w:p>
            <w:r/>
            <w:r>
              <w:rPr>
                <w:b w:val="0"/>
                <w:sz w:val="14"/>
              </w:rPr>
              <w:t>Loan Application Register</w:t>
            </w:r>
          </w:p>
        </w:tc>
        <w:tc>
          <w:tcPr>
            <w:tcW w:type="dxa" w:w="5170"/>
            <w:vAlign w:val="center"/>
          </w:tcPr>
          <w:p>
            <w:r/>
            <w:r>
              <w:rPr>
                <w:b w:val="0"/>
                <w:sz w:val="14"/>
              </w:rPr>
              <w:t>Retail/SME Lending Operations</w:t>
            </w:r>
          </w:p>
        </w:tc>
      </w:tr>
      <w:tr>
        <w:tc>
          <w:tcPr>
            <w:tcW w:type="dxa" w:w="5170"/>
            <w:vAlign w:val="center"/>
          </w:tcPr>
          <w:p>
            <w:r/>
            <w:r>
              <w:rPr>
                <w:b w:val="0"/>
                <w:sz w:val="14"/>
              </w:rPr>
              <w:t>Credit Exception Register</w:t>
            </w:r>
          </w:p>
        </w:tc>
        <w:tc>
          <w:tcPr>
            <w:tcW w:type="dxa" w:w="5170"/>
            <w:vAlign w:val="center"/>
          </w:tcPr>
          <w:p>
            <w:r/>
            <w:r>
              <w:rPr>
                <w:b w:val="0"/>
                <w:sz w:val="14"/>
              </w:rPr>
              <w:t>Credit Governance</w:t>
            </w:r>
          </w:p>
        </w:tc>
      </w:tr>
      <w:tr>
        <w:tc>
          <w:tcPr>
            <w:tcW w:type="dxa" w:w="5170"/>
            <w:vAlign w:val="center"/>
          </w:tcPr>
          <w:p>
            <w:r/>
            <w:r>
              <w:rPr>
                <w:b w:val="0"/>
                <w:sz w:val="14"/>
              </w:rPr>
              <w:t>Customer Risk Register</w:t>
            </w:r>
          </w:p>
        </w:tc>
        <w:tc>
          <w:tcPr>
            <w:tcW w:type="dxa" w:w="5170"/>
            <w:vAlign w:val="center"/>
          </w:tcPr>
          <w:p>
            <w:r/>
            <w:r>
              <w:rPr>
                <w:b w:val="0"/>
                <w:sz w:val="14"/>
              </w:rPr>
              <w:t>AML Compliance</w:t>
            </w:r>
          </w:p>
        </w:tc>
      </w:tr>
      <w:tr>
        <w:tc>
          <w:tcPr>
            <w:tcW w:type="dxa" w:w="5170"/>
            <w:vAlign w:val="center"/>
          </w:tcPr>
          <w:p>
            <w:r/>
            <w:r>
              <w:rPr>
                <w:b w:val="0"/>
                <w:sz w:val="14"/>
              </w:rPr>
              <w:t>KYC Review Register</w:t>
            </w:r>
          </w:p>
        </w:tc>
        <w:tc>
          <w:tcPr>
            <w:tcW w:type="dxa" w:w="5170"/>
            <w:vAlign w:val="center"/>
          </w:tcPr>
          <w:p>
            <w:r/>
            <w:r>
              <w:rPr>
                <w:b w:val="0"/>
                <w:sz w:val="14"/>
              </w:rPr>
              <w:t>KYC Operations</w:t>
            </w:r>
          </w:p>
        </w:tc>
      </w:tr>
      <w:tr>
        <w:tc>
          <w:tcPr>
            <w:tcW w:type="dxa" w:w="5170"/>
            <w:vAlign w:val="center"/>
          </w:tcPr>
          <w:p>
            <w:r/>
            <w:r>
              <w:rPr>
                <w:b w:val="0"/>
                <w:sz w:val="14"/>
              </w:rPr>
              <w:t>AML Alert Register</w:t>
            </w:r>
          </w:p>
        </w:tc>
        <w:tc>
          <w:tcPr>
            <w:tcW w:type="dxa" w:w="5170"/>
            <w:vAlign w:val="center"/>
          </w:tcPr>
          <w:p>
            <w:r/>
            <w:r>
              <w:rPr>
                <w:b w:val="0"/>
                <w:sz w:val="14"/>
              </w:rPr>
              <w:t>AML Monitoring</w:t>
            </w:r>
          </w:p>
        </w:tc>
      </w:tr>
      <w:tr>
        <w:tc>
          <w:tcPr>
            <w:tcW w:type="dxa" w:w="5170"/>
            <w:vAlign w:val="center"/>
          </w:tcPr>
          <w:p>
            <w:r/>
            <w:r>
              <w:rPr>
                <w:b w:val="0"/>
                <w:sz w:val="14"/>
              </w:rPr>
              <w:t>Transaction Monitoring Case Register</w:t>
            </w:r>
          </w:p>
        </w:tc>
        <w:tc>
          <w:tcPr>
            <w:tcW w:type="dxa" w:w="5170"/>
            <w:vAlign w:val="center"/>
          </w:tcPr>
          <w:p>
            <w:r/>
            <w:r>
              <w:rPr>
                <w:b w:val="0"/>
                <w:sz w:val="14"/>
              </w:rPr>
              <w:t>AML Monitoring</w:t>
            </w:r>
          </w:p>
        </w:tc>
      </w:tr>
      <w:tr>
        <w:tc>
          <w:tcPr>
            <w:tcW w:type="dxa" w:w="5170"/>
            <w:vAlign w:val="center"/>
          </w:tcPr>
          <w:p>
            <w:r/>
            <w:r>
              <w:rPr>
                <w:b w:val="0"/>
                <w:sz w:val="14"/>
              </w:rPr>
              <w:t>Credit Approval Register</w:t>
            </w:r>
          </w:p>
        </w:tc>
        <w:tc>
          <w:tcPr>
            <w:tcW w:type="dxa" w:w="5170"/>
            <w:vAlign w:val="center"/>
          </w:tcPr>
          <w:p>
            <w:r/>
            <w:r>
              <w:rPr>
                <w:b w:val="0"/>
                <w:sz w:val="14"/>
              </w:rPr>
              <w:t>Credit Underwriting</w:t>
            </w:r>
          </w:p>
        </w:tc>
      </w:tr>
      <w:tr>
        <w:tc>
          <w:tcPr>
            <w:tcW w:type="dxa" w:w="5170"/>
            <w:vAlign w:val="center"/>
          </w:tcPr>
          <w:p>
            <w:r/>
            <w:r>
              <w:rPr>
                <w:b w:val="0"/>
                <w:sz w:val="14"/>
              </w:rPr>
              <w:t>Loan Disbursement Register</w:t>
            </w:r>
          </w:p>
        </w:tc>
        <w:tc>
          <w:tcPr>
            <w:tcW w:type="dxa" w:w="5170"/>
            <w:vAlign w:val="center"/>
          </w:tcPr>
          <w:p>
            <w:r/>
            <w:r>
              <w:rPr>
                <w:b w:val="0"/>
                <w:sz w:val="14"/>
              </w:rPr>
              <w:t>Credit Operations</w:t>
            </w:r>
          </w:p>
        </w:tc>
      </w:tr>
      <w:tr>
        <w:tc>
          <w:tcPr>
            <w:tcW w:type="dxa" w:w="5170"/>
            <w:vAlign w:val="center"/>
          </w:tcPr>
          <w:p>
            <w:r/>
            <w:r>
              <w:rPr>
                <w:b w:val="0"/>
                <w:sz w:val="14"/>
              </w:rPr>
              <w:t>Collateral Register</w:t>
            </w:r>
          </w:p>
        </w:tc>
        <w:tc>
          <w:tcPr>
            <w:tcW w:type="dxa" w:w="5170"/>
            <w:vAlign w:val="center"/>
          </w:tcPr>
          <w:p>
            <w:r/>
            <w:r>
              <w:rPr>
                <w:b w:val="0"/>
                <w:sz w:val="14"/>
              </w:rPr>
              <w:t>Secured Lending Operations</w:t>
            </w:r>
          </w:p>
        </w:tc>
      </w:tr>
      <w:tr>
        <w:tc>
          <w:tcPr>
            <w:tcW w:type="dxa" w:w="5170"/>
            <w:vAlign w:val="center"/>
          </w:tcPr>
          <w:p>
            <w:r/>
            <w:r>
              <w:rPr>
                <w:b w:val="0"/>
                <w:sz w:val="14"/>
              </w:rPr>
              <w:t>Portfolio Monitoring Report</w:t>
            </w:r>
          </w:p>
        </w:tc>
        <w:tc>
          <w:tcPr>
            <w:tcW w:type="dxa" w:w="5170"/>
            <w:vAlign w:val="center"/>
          </w:tcPr>
          <w:p>
            <w:r/>
            <w:r>
              <w:rPr>
                <w:b w:val="0"/>
                <w:sz w:val="14"/>
              </w:rPr>
              <w:t>Credit Risk</w:t>
            </w:r>
          </w:p>
        </w:tc>
      </w:tr>
      <w:tr>
        <w:tc>
          <w:tcPr>
            <w:tcW w:type="dxa" w:w="5170"/>
            <w:vAlign w:val="center"/>
          </w:tcPr>
          <w:p>
            <w:r/>
            <w:r>
              <w:rPr>
                <w:b w:val="0"/>
                <w:sz w:val="14"/>
              </w:rPr>
              <w:t>Risk Incident Register</w:t>
            </w:r>
          </w:p>
        </w:tc>
        <w:tc>
          <w:tcPr>
            <w:tcW w:type="dxa" w:w="5170"/>
            <w:vAlign w:val="center"/>
          </w:tcPr>
          <w:p>
            <w:r/>
            <w:r>
              <w:rPr>
                <w:b w:val="0"/>
                <w:sz w:val="14"/>
              </w:rPr>
              <w:t>Operational Risk</w:t>
            </w:r>
          </w:p>
        </w:tc>
      </w:tr>
      <w:tr>
        <w:tc>
          <w:tcPr>
            <w:tcW w:type="dxa" w:w="5170"/>
            <w:vAlign w:val="center"/>
          </w:tcPr>
          <w:p>
            <w:r/>
            <w:r>
              <w:rPr>
                <w:b w:val="0"/>
                <w:sz w:val="14"/>
              </w:rPr>
              <w:t>Compliance Breach Register</w:t>
            </w:r>
          </w:p>
        </w:tc>
        <w:tc>
          <w:tcPr>
            <w:tcW w:type="dxa" w:w="5170"/>
            <w:vAlign w:val="center"/>
          </w:tcPr>
          <w:p>
            <w:r/>
            <w:r>
              <w:rPr>
                <w:b w:val="0"/>
                <w:sz w:val="14"/>
              </w:rPr>
              <w:t>Compliance</w:t>
            </w:r>
          </w:p>
        </w:tc>
      </w:tr>
      <w:tr>
        <w:tc>
          <w:tcPr>
            <w:tcW w:type="dxa" w:w="5170"/>
            <w:vAlign w:val="center"/>
          </w:tcPr>
          <w:p>
            <w:r/>
            <w:r>
              <w:rPr>
                <w:b w:val="0"/>
                <w:sz w:val="14"/>
              </w:rPr>
              <w:t>Investment Holdings Report</w:t>
            </w:r>
          </w:p>
        </w:tc>
        <w:tc>
          <w:tcPr>
            <w:tcW w:type="dxa" w:w="5170"/>
            <w:vAlign w:val="center"/>
          </w:tcPr>
          <w:p>
            <w:r/>
            <w:r>
              <w:rPr>
                <w:b w:val="0"/>
                <w:sz w:val="14"/>
              </w:rPr>
              <w:t>Investment Management</w:t>
            </w:r>
          </w:p>
        </w:tc>
      </w:tr>
      <w:tr>
        <w:tc>
          <w:tcPr>
            <w:tcW w:type="dxa" w:w="5170"/>
            <w:vAlign w:val="center"/>
          </w:tcPr>
          <w:p>
            <w:r/>
            <w:r>
              <w:rPr>
                <w:b w:val="0"/>
                <w:sz w:val="14"/>
              </w:rPr>
              <w:t>Investment Limit Monitoring Report</w:t>
            </w:r>
          </w:p>
        </w:tc>
        <w:tc>
          <w:tcPr>
            <w:tcW w:type="dxa" w:w="5170"/>
            <w:vAlign w:val="center"/>
          </w:tcPr>
          <w:p>
            <w:r/>
            <w:r>
              <w:rPr>
                <w:b w:val="0"/>
                <w:sz w:val="14"/>
              </w:rPr>
              <w:t>Investment Risk</w:t>
            </w:r>
          </w:p>
        </w:tc>
      </w:tr>
      <w:tr>
        <w:tc>
          <w:tcPr>
            <w:tcW w:type="dxa" w:w="5170"/>
            <w:vAlign w:val="center"/>
          </w:tcPr>
          <w:p>
            <w:r/>
            <w:r>
              <w:rPr>
                <w:b w:val="0"/>
                <w:sz w:val="14"/>
              </w:rPr>
              <w:t>Security Incident Register</w:t>
            </w:r>
          </w:p>
        </w:tc>
        <w:tc>
          <w:tcPr>
            <w:tcW w:type="dxa" w:w="5170"/>
            <w:vAlign w:val="center"/>
          </w:tcPr>
          <w:p>
            <w:r/>
            <w:r>
              <w:rPr>
                <w:b w:val="0"/>
                <w:sz w:val="14"/>
              </w:rPr>
              <w:t>Security Operations</w:t>
            </w:r>
          </w:p>
        </w:tc>
      </w:tr>
      <w:tr>
        <w:tc>
          <w:tcPr>
            <w:tcW w:type="dxa" w:w="5170"/>
            <w:vAlign w:val="center"/>
          </w:tcPr>
          <w:p>
            <w:r/>
            <w:r>
              <w:rPr>
                <w:b w:val="0"/>
                <w:sz w:val="14"/>
              </w:rPr>
              <w:t>Access Review Register</w:t>
            </w:r>
          </w:p>
        </w:tc>
        <w:tc>
          <w:tcPr>
            <w:tcW w:type="dxa" w:w="5170"/>
            <w:vAlign w:val="center"/>
          </w:tcPr>
          <w:p>
            <w:r/>
            <w:r>
              <w:rPr>
                <w:b w:val="0"/>
                <w:sz w:val="14"/>
              </w:rPr>
              <w:t>Identity &amp; Access Security</w:t>
            </w:r>
          </w:p>
        </w:tc>
      </w:tr>
      <w:tr>
        <w:tc>
          <w:tcPr>
            <w:tcW w:type="dxa" w:w="5170"/>
            <w:vAlign w:val="center"/>
          </w:tcPr>
          <w:p>
            <w:r/>
            <w:r>
              <w:rPr>
                <w:b w:val="0"/>
                <w:sz w:val="14"/>
              </w:rPr>
              <w:t>Vendor Risk Register</w:t>
            </w:r>
          </w:p>
        </w:tc>
        <w:tc>
          <w:tcPr>
            <w:tcW w:type="dxa" w:w="5170"/>
            <w:vAlign w:val="center"/>
          </w:tcPr>
          <w:p>
            <w:r/>
            <w:r>
              <w:rPr>
                <w:b w:val="0"/>
                <w:sz w:val="14"/>
              </w:rPr>
              <w:t>Third-Party Risk</w:t>
            </w:r>
          </w:p>
        </w:tc>
      </w:tr>
      <w:tr>
        <w:tc>
          <w:tcPr>
            <w:tcW w:type="dxa" w:w="5170"/>
            <w:vAlign w:val="center"/>
          </w:tcPr>
          <w:p>
            <w:r/>
            <w:r>
              <w:rPr>
                <w:b w:val="0"/>
                <w:sz w:val="14"/>
              </w:rPr>
              <w:t>Employee Training Register</w:t>
            </w:r>
          </w:p>
        </w:tc>
        <w:tc>
          <w:tcPr>
            <w:tcW w:type="dxa" w:w="5170"/>
            <w:vAlign w:val="center"/>
          </w:tcPr>
          <w:p>
            <w:r/>
            <w:r>
              <w:rPr>
                <w:b w:val="0"/>
                <w:sz w:val="14"/>
              </w:rPr>
              <w:t>HR / Compliance / Security</w:t>
            </w:r>
          </w:p>
        </w:tc>
      </w:tr>
      <w:tr>
        <w:tc>
          <w:tcPr>
            <w:tcW w:type="dxa" w:w="5170"/>
            <w:vAlign w:val="center"/>
          </w:tcPr>
          <w:p>
            <w:r/>
            <w:r>
              <w:rPr>
                <w:b w:val="0"/>
                <w:sz w:val="14"/>
              </w:rPr>
              <w:t>Complaints Register</w:t>
            </w:r>
          </w:p>
        </w:tc>
        <w:tc>
          <w:tcPr>
            <w:tcW w:type="dxa" w:w="5170"/>
            <w:vAlign w:val="center"/>
          </w:tcPr>
          <w:p>
            <w:r/>
            <w:r>
              <w:rPr>
                <w:b w:val="0"/>
                <w:sz w:val="14"/>
              </w:rPr>
              <w:t>Customer Experience</w:t>
            </w:r>
          </w:p>
        </w:tc>
      </w:tr>
      <w:tr>
        <w:tc>
          <w:tcPr>
            <w:tcW w:type="dxa" w:w="5170"/>
            <w:vAlign w:val="center"/>
          </w:tcPr>
          <w:p>
            <w:r/>
            <w:r>
              <w:rPr>
                <w:b w:val="0"/>
                <w:sz w:val="14"/>
              </w:rPr>
              <w:t>Fraud Case Register</w:t>
            </w:r>
          </w:p>
        </w:tc>
        <w:tc>
          <w:tcPr>
            <w:tcW w:type="dxa" w:w="5170"/>
            <w:vAlign w:val="center"/>
          </w:tcPr>
          <w:p>
            <w:r/>
            <w:r>
              <w:rPr>
                <w:b w:val="0"/>
                <w:sz w:val="14"/>
              </w:rPr>
              <w:t>Fraud Risk</w:t>
            </w:r>
          </w:p>
        </w:tc>
      </w:tr>
      <w:tr>
        <w:tc>
          <w:tcPr>
            <w:tcW w:type="dxa" w:w="5170"/>
            <w:vAlign w:val="center"/>
          </w:tcPr>
          <w:p>
            <w:r/>
            <w:r>
              <w:rPr>
                <w:b w:val="0"/>
                <w:sz w:val="14"/>
              </w:rPr>
              <w:t>BCP Test Register</w:t>
            </w:r>
          </w:p>
        </w:tc>
        <w:tc>
          <w:tcPr>
            <w:tcW w:type="dxa" w:w="5170"/>
            <w:vAlign w:val="center"/>
          </w:tcPr>
          <w:p>
            <w:r/>
            <w:r>
              <w:rPr>
                <w:b w:val="0"/>
                <w:sz w:val="14"/>
              </w:rPr>
              <w:t>Business Resilience</w:t>
            </w:r>
          </w:p>
        </w:tc>
      </w:tr>
    </w:tbl>
    <w:p/>
    <w:p>
      <w:r>
        <w:br w:type="page"/>
      </w:r>
    </w:p>
    <w:p>
      <w:pPr>
        <w:pStyle w:val="Heading1"/>
      </w:pPr>
      <w:r>
        <w:t>Appendix B — Core ID Conventions</w:t>
      </w:r>
    </w:p>
    <w:p>
      <w:r>
        <w:t>Use readable fictional identifiers.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Dataset</w:t>
            </w:r>
          </w:p>
        </w:tc>
        <w:tc>
          <w:tcPr>
            <w:tcW w:type="dxa" w:w="5170"/>
            <w:vAlign w:val="center"/>
            <w:shd w:fill="17365D"/>
          </w:tcPr>
          <w:p>
            <w:r/>
            <w:r>
              <w:rPr>
                <w:b/>
                <w:color w:val="FFFFFF"/>
                <w:sz w:val="15"/>
              </w:rPr>
              <w:t>Example Pattern</w:t>
            </w:r>
          </w:p>
        </w:tc>
      </w:tr>
      <w:tr>
        <w:tc>
          <w:tcPr>
            <w:tcW w:type="dxa" w:w="5170"/>
            <w:vAlign w:val="center"/>
          </w:tcPr>
          <w:p>
            <w:r/>
            <w:r>
              <w:rPr>
                <w:b w:val="0"/>
                <w:sz w:val="14"/>
              </w:rPr>
              <w:t>Application</w:t>
            </w:r>
          </w:p>
        </w:tc>
        <w:tc>
          <w:tcPr>
            <w:tcW w:type="dxa" w:w="5170"/>
            <w:vAlign w:val="center"/>
          </w:tcPr>
          <w:p>
            <w:r/>
            <w:r>
              <w:rPr>
                <w:b w:val="0"/>
                <w:sz w:val="14"/>
              </w:rPr>
              <w:t>APL-2026-000123</w:t>
            </w:r>
          </w:p>
        </w:tc>
      </w:tr>
      <w:tr>
        <w:tc>
          <w:tcPr>
            <w:tcW w:type="dxa" w:w="5170"/>
            <w:vAlign w:val="center"/>
          </w:tcPr>
          <w:p>
            <w:r/>
            <w:r>
              <w:rPr>
                <w:b w:val="0"/>
                <w:sz w:val="14"/>
              </w:rPr>
              <w:t>Customer</w:t>
            </w:r>
          </w:p>
        </w:tc>
        <w:tc>
          <w:tcPr>
            <w:tcW w:type="dxa" w:w="5170"/>
            <w:vAlign w:val="center"/>
          </w:tcPr>
          <w:p>
            <w:r/>
            <w:r>
              <w:rPr>
                <w:b w:val="0"/>
                <w:sz w:val="14"/>
              </w:rPr>
              <w:t>CUS-004812</w:t>
            </w:r>
          </w:p>
        </w:tc>
      </w:tr>
      <w:tr>
        <w:tc>
          <w:tcPr>
            <w:tcW w:type="dxa" w:w="5170"/>
            <w:vAlign w:val="center"/>
          </w:tcPr>
          <w:p>
            <w:r/>
            <w:r>
              <w:rPr>
                <w:b w:val="0"/>
                <w:sz w:val="14"/>
              </w:rPr>
              <w:t>Credit exception</w:t>
            </w:r>
          </w:p>
        </w:tc>
        <w:tc>
          <w:tcPr>
            <w:tcW w:type="dxa" w:w="5170"/>
            <w:vAlign w:val="center"/>
          </w:tcPr>
          <w:p>
            <w:r/>
            <w:r>
              <w:rPr>
                <w:b w:val="0"/>
                <w:sz w:val="14"/>
              </w:rPr>
              <w:t>CEX-2026-0042</w:t>
            </w:r>
          </w:p>
        </w:tc>
      </w:tr>
      <w:tr>
        <w:tc>
          <w:tcPr>
            <w:tcW w:type="dxa" w:w="5170"/>
            <w:vAlign w:val="center"/>
          </w:tcPr>
          <w:p>
            <w:r/>
            <w:r>
              <w:rPr>
                <w:b w:val="0"/>
                <w:sz w:val="14"/>
              </w:rPr>
              <w:t>AML alert</w:t>
            </w:r>
          </w:p>
        </w:tc>
        <w:tc>
          <w:tcPr>
            <w:tcW w:type="dxa" w:w="5170"/>
            <w:vAlign w:val="center"/>
          </w:tcPr>
          <w:p>
            <w:r/>
            <w:r>
              <w:rPr>
                <w:b w:val="0"/>
                <w:sz w:val="14"/>
              </w:rPr>
              <w:t>ALT-2026-01982</w:t>
            </w:r>
          </w:p>
        </w:tc>
      </w:tr>
      <w:tr>
        <w:tc>
          <w:tcPr>
            <w:tcW w:type="dxa" w:w="5170"/>
            <w:vAlign w:val="center"/>
          </w:tcPr>
          <w:p>
            <w:r/>
            <w:r>
              <w:rPr>
                <w:b w:val="0"/>
                <w:sz w:val="14"/>
              </w:rPr>
              <w:t>TM case</w:t>
            </w:r>
          </w:p>
        </w:tc>
        <w:tc>
          <w:tcPr>
            <w:tcW w:type="dxa" w:w="5170"/>
            <w:vAlign w:val="center"/>
          </w:tcPr>
          <w:p>
            <w:r/>
            <w:r>
              <w:rPr>
                <w:b w:val="0"/>
                <w:sz w:val="14"/>
              </w:rPr>
              <w:t>TMC-2026-00618</w:t>
            </w:r>
          </w:p>
        </w:tc>
      </w:tr>
      <w:tr>
        <w:tc>
          <w:tcPr>
            <w:tcW w:type="dxa" w:w="5170"/>
            <w:vAlign w:val="center"/>
          </w:tcPr>
          <w:p>
            <w:r/>
            <w:r>
              <w:rPr>
                <w:b w:val="0"/>
                <w:sz w:val="14"/>
              </w:rPr>
              <w:t>Risk incident</w:t>
            </w:r>
          </w:p>
        </w:tc>
        <w:tc>
          <w:tcPr>
            <w:tcW w:type="dxa" w:w="5170"/>
            <w:vAlign w:val="center"/>
          </w:tcPr>
          <w:p>
            <w:r/>
            <w:r>
              <w:rPr>
                <w:b w:val="0"/>
                <w:sz w:val="14"/>
              </w:rPr>
              <w:t>ORI-2026-0091</w:t>
            </w:r>
          </w:p>
        </w:tc>
      </w:tr>
      <w:tr>
        <w:tc>
          <w:tcPr>
            <w:tcW w:type="dxa" w:w="5170"/>
            <w:vAlign w:val="center"/>
          </w:tcPr>
          <w:p>
            <w:r/>
            <w:r>
              <w:rPr>
                <w:b w:val="0"/>
                <w:sz w:val="14"/>
              </w:rPr>
              <w:t>Compliance breach</w:t>
            </w:r>
          </w:p>
        </w:tc>
        <w:tc>
          <w:tcPr>
            <w:tcW w:type="dxa" w:w="5170"/>
            <w:vAlign w:val="center"/>
          </w:tcPr>
          <w:p>
            <w:r/>
            <w:r>
              <w:rPr>
                <w:b w:val="0"/>
                <w:sz w:val="14"/>
              </w:rPr>
              <w:t>CBR-2026-0044</w:t>
            </w:r>
          </w:p>
        </w:tc>
      </w:tr>
      <w:tr>
        <w:tc>
          <w:tcPr>
            <w:tcW w:type="dxa" w:w="5170"/>
            <w:vAlign w:val="center"/>
          </w:tcPr>
          <w:p>
            <w:r/>
            <w:r>
              <w:rPr>
                <w:b w:val="0"/>
                <w:sz w:val="14"/>
              </w:rPr>
              <w:t>Security incident</w:t>
            </w:r>
          </w:p>
        </w:tc>
        <w:tc>
          <w:tcPr>
            <w:tcW w:type="dxa" w:w="5170"/>
            <w:vAlign w:val="center"/>
          </w:tcPr>
          <w:p>
            <w:r/>
            <w:r>
              <w:rPr>
                <w:b w:val="0"/>
                <w:sz w:val="14"/>
              </w:rPr>
              <w:t>SEC-2026-0073</w:t>
            </w:r>
          </w:p>
        </w:tc>
      </w:tr>
      <w:tr>
        <w:tc>
          <w:tcPr>
            <w:tcW w:type="dxa" w:w="5170"/>
            <w:vAlign w:val="center"/>
          </w:tcPr>
          <w:p>
            <w:r/>
            <w:r>
              <w:rPr>
                <w:b w:val="0"/>
                <w:sz w:val="14"/>
              </w:rPr>
              <w:t>Complaint</w:t>
            </w:r>
          </w:p>
        </w:tc>
        <w:tc>
          <w:tcPr>
            <w:tcW w:type="dxa" w:w="5170"/>
            <w:vAlign w:val="center"/>
          </w:tcPr>
          <w:p>
            <w:r/>
            <w:r>
              <w:rPr>
                <w:b w:val="0"/>
                <w:sz w:val="14"/>
              </w:rPr>
              <w:t>CMP-2026-0132</w:t>
            </w:r>
          </w:p>
        </w:tc>
      </w:tr>
      <w:tr>
        <w:tc>
          <w:tcPr>
            <w:tcW w:type="dxa" w:w="5170"/>
            <w:vAlign w:val="center"/>
          </w:tcPr>
          <w:p>
            <w:r/>
            <w:r>
              <w:rPr>
                <w:b w:val="0"/>
                <w:sz w:val="14"/>
              </w:rPr>
              <w:t>Fraud case</w:t>
            </w:r>
          </w:p>
        </w:tc>
        <w:tc>
          <w:tcPr>
            <w:tcW w:type="dxa" w:w="5170"/>
            <w:vAlign w:val="center"/>
          </w:tcPr>
          <w:p>
            <w:r/>
            <w:r>
              <w:rPr>
                <w:b w:val="0"/>
                <w:sz w:val="14"/>
              </w:rPr>
              <w:t>FRD-2026-0065</w:t>
            </w:r>
          </w:p>
        </w:tc>
      </w:tr>
      <w:tr>
        <w:tc>
          <w:tcPr>
            <w:tcW w:type="dxa" w:w="5170"/>
            <w:vAlign w:val="center"/>
          </w:tcPr>
          <w:p>
            <w:r/>
            <w:r>
              <w:rPr>
                <w:b w:val="0"/>
                <w:sz w:val="14"/>
              </w:rPr>
              <w:t>BCP test</w:t>
            </w:r>
          </w:p>
        </w:tc>
        <w:tc>
          <w:tcPr>
            <w:tcW w:type="dxa" w:w="5170"/>
            <w:vAlign w:val="center"/>
          </w:tcPr>
          <w:p>
            <w:r/>
            <w:r>
              <w:rPr>
                <w:b w:val="0"/>
                <w:sz w:val="14"/>
              </w:rPr>
              <w:t>BCT-2026-0027</w:t>
            </w:r>
          </w:p>
        </w:tc>
      </w:tr>
    </w:tbl>
    <w:p/>
    <w:p>
      <w:r>
        <w:br w:type="page"/>
      </w:r>
    </w:p>
    <w:p>
      <w:pPr>
        <w:pStyle w:val="Heading1"/>
      </w:pPr>
      <w:r>
        <w:t>Appendix C — Data Quality Checks</w:t>
      </w:r>
    </w:p>
    <w:p>
      <w:r>
        <w:t>Recommended validation checks for synthetic operational workbooks.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Check</w:t>
            </w:r>
          </w:p>
        </w:tc>
        <w:tc>
          <w:tcPr>
            <w:tcW w:type="dxa" w:w="5170"/>
            <w:vAlign w:val="center"/>
            <w:shd w:fill="17365D"/>
          </w:tcPr>
          <w:p>
            <w:r/>
            <w:r>
              <w:rPr>
                <w:b/>
                <w:color w:val="FFFFFF"/>
                <w:sz w:val="15"/>
              </w:rPr>
              <w:t>Example Failure</w:t>
            </w:r>
          </w:p>
        </w:tc>
      </w:tr>
      <w:tr>
        <w:tc>
          <w:tcPr>
            <w:tcW w:type="dxa" w:w="5170"/>
            <w:vAlign w:val="center"/>
          </w:tcPr>
          <w:p>
            <w:r/>
            <w:r>
              <w:rPr>
                <w:b w:val="0"/>
                <w:sz w:val="14"/>
              </w:rPr>
              <w:t>Unique ID</w:t>
            </w:r>
          </w:p>
        </w:tc>
        <w:tc>
          <w:tcPr>
            <w:tcW w:type="dxa" w:w="5170"/>
            <w:vAlign w:val="center"/>
          </w:tcPr>
          <w:p>
            <w:r/>
            <w:r>
              <w:rPr>
                <w:b w:val="0"/>
                <w:sz w:val="14"/>
              </w:rPr>
              <w:t>Duplicate Application ID.</w:t>
            </w:r>
          </w:p>
        </w:tc>
      </w:tr>
      <w:tr>
        <w:tc>
          <w:tcPr>
            <w:tcW w:type="dxa" w:w="5170"/>
            <w:vAlign w:val="center"/>
          </w:tcPr>
          <w:p>
            <w:r/>
            <w:r>
              <w:rPr>
                <w:b w:val="0"/>
                <w:sz w:val="14"/>
              </w:rPr>
              <w:t>Date sequence</w:t>
            </w:r>
          </w:p>
        </w:tc>
        <w:tc>
          <w:tcPr>
            <w:tcW w:type="dxa" w:w="5170"/>
            <w:vAlign w:val="center"/>
          </w:tcPr>
          <w:p>
            <w:r/>
            <w:r>
              <w:rPr>
                <w:b w:val="0"/>
                <w:sz w:val="14"/>
              </w:rPr>
              <w:t>Closure before awareness date.</w:t>
            </w:r>
          </w:p>
        </w:tc>
      </w:tr>
      <w:tr>
        <w:tc>
          <w:tcPr>
            <w:tcW w:type="dxa" w:w="5170"/>
            <w:vAlign w:val="center"/>
          </w:tcPr>
          <w:p>
            <w:r/>
            <w:r>
              <w:rPr>
                <w:b w:val="0"/>
                <w:sz w:val="14"/>
              </w:rPr>
              <w:t>Authority</w:t>
            </w:r>
          </w:p>
        </w:tc>
        <w:tc>
          <w:tcPr>
            <w:tcW w:type="dxa" w:w="5170"/>
            <w:vAlign w:val="center"/>
          </w:tcPr>
          <w:p>
            <w:r/>
            <w:r>
              <w:rPr>
                <w:b w:val="0"/>
                <w:sz w:val="14"/>
              </w:rPr>
              <w:t>Approval amount above authority without escalation.</w:t>
            </w:r>
          </w:p>
        </w:tc>
      </w:tr>
      <w:tr>
        <w:tc>
          <w:tcPr>
            <w:tcW w:type="dxa" w:w="5170"/>
            <w:vAlign w:val="center"/>
          </w:tcPr>
          <w:p>
            <w:r/>
            <w:r>
              <w:rPr>
                <w:b w:val="0"/>
                <w:sz w:val="14"/>
              </w:rPr>
              <w:t>Ratio bounds</w:t>
            </w:r>
          </w:p>
        </w:tc>
        <w:tc>
          <w:tcPr>
            <w:tcW w:type="dxa" w:w="5170"/>
            <w:vAlign w:val="center"/>
          </w:tcPr>
          <w:p>
            <w:r/>
            <w:r>
              <w:rPr>
                <w:b w:val="0"/>
                <w:sz w:val="14"/>
              </w:rPr>
              <w:t>LTV negative or implausibly high without explanation.</w:t>
            </w:r>
          </w:p>
        </w:tc>
      </w:tr>
      <w:tr>
        <w:tc>
          <w:tcPr>
            <w:tcW w:type="dxa" w:w="5170"/>
            <w:vAlign w:val="center"/>
          </w:tcPr>
          <w:p>
            <w:r/>
            <w:r>
              <w:rPr>
                <w:b w:val="0"/>
                <w:sz w:val="14"/>
              </w:rPr>
              <w:t>Severity</w:t>
            </w:r>
          </w:p>
        </w:tc>
        <w:tc>
          <w:tcPr>
            <w:tcW w:type="dxa" w:w="5170"/>
            <w:vAlign w:val="center"/>
          </w:tcPr>
          <w:p>
            <w:r/>
            <w:r>
              <w:rPr>
                <w:b w:val="0"/>
                <w:sz w:val="14"/>
              </w:rPr>
              <w:t>Security record using Compliance C-code as SEV.</w:t>
            </w:r>
          </w:p>
        </w:tc>
      </w:tr>
      <w:tr>
        <w:tc>
          <w:tcPr>
            <w:tcW w:type="dxa" w:w="5170"/>
            <w:vAlign w:val="center"/>
          </w:tcPr>
          <w:p>
            <w:r/>
            <w:r>
              <w:rPr>
                <w:b w:val="0"/>
                <w:sz w:val="14"/>
              </w:rPr>
              <w:t>Link integrity</w:t>
            </w:r>
          </w:p>
        </w:tc>
        <w:tc>
          <w:tcPr>
            <w:tcW w:type="dxa" w:w="5170"/>
            <w:vAlign w:val="center"/>
          </w:tcPr>
          <w:p>
            <w:r/>
            <w:r>
              <w:rPr>
                <w:b w:val="0"/>
                <w:sz w:val="14"/>
              </w:rPr>
              <w:t>Fraud case references nonexistent security incident.</w:t>
            </w:r>
          </w:p>
        </w:tc>
      </w:tr>
      <w:tr>
        <w:tc>
          <w:tcPr>
            <w:tcW w:type="dxa" w:w="5170"/>
            <w:vAlign w:val="center"/>
          </w:tcPr>
          <w:p>
            <w:r/>
            <w:r>
              <w:rPr>
                <w:b w:val="0"/>
                <w:sz w:val="14"/>
              </w:rPr>
              <w:t>Status consistency</w:t>
            </w:r>
          </w:p>
        </w:tc>
        <w:tc>
          <w:tcPr>
            <w:tcW w:type="dxa" w:w="5170"/>
            <w:vAlign w:val="center"/>
          </w:tcPr>
          <w:p>
            <w:r/>
            <w:r>
              <w:rPr>
                <w:b w:val="0"/>
                <w:sz w:val="14"/>
              </w:rPr>
              <w:t>Declined application marked disbursed.</w:t>
            </w:r>
          </w:p>
        </w:tc>
      </w:tr>
      <w:tr>
        <w:tc>
          <w:tcPr>
            <w:tcW w:type="dxa" w:w="5170"/>
            <w:vAlign w:val="center"/>
          </w:tcPr>
          <w:p>
            <w:r/>
            <w:r>
              <w:rPr>
                <w:b w:val="0"/>
                <w:sz w:val="14"/>
              </w:rPr>
              <w:t>Version</w:t>
            </w:r>
          </w:p>
        </w:tc>
        <w:tc>
          <w:tcPr>
            <w:tcW w:type="dxa" w:w="5170"/>
            <w:vAlign w:val="center"/>
          </w:tcPr>
          <w:p>
            <w:r/>
            <w:r>
              <w:rPr>
                <w:b w:val="0"/>
                <w:sz w:val="14"/>
              </w:rPr>
              <w:t>2026 decision references superseded document without transition basis.</w:t>
            </w:r>
          </w:p>
        </w:tc>
      </w:tr>
    </w:tbl>
    <w:p/>
    <w:sectPr w:rsidR="00FC693F" w:rsidRPr="0006063C" w:rsidSect="00034616">
      <w:headerReference w:type="default" r:id="rId9"/>
      <w:footerReference w:type="default" r:id="rId10"/>
      <w:pgSz w:w="12240" w:h="15840"/>
      <w:pgMar w:top="864" w:right="950" w:bottom="821"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2"/>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