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NORTHSTAR FINANCIAL</w:t>
      </w:r>
    </w:p>
    <w:p>
      <w:pPr>
        <w:jc w:val="center"/>
      </w:pPr>
      <w:r>
        <w:rPr>
          <w:b/>
          <w:color w:val="17365D"/>
          <w:sz w:val="42"/>
        </w:rPr>
        <w:t>Operational Risk Incident Procedure</w:t>
      </w:r>
    </w:p>
    <w:p>
      <w:pPr>
        <w:jc w:val="center"/>
      </w:pPr>
      <w:r>
        <w:rPr>
          <w:sz w:val="20"/>
        </w:rPr>
        <w:t>ORI-064  |  Version 1.1  |  Internal — Confidential</w:t>
      </w:r>
    </w:p>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D9EAF7"/>
          </w:tcPr>
          <w:p>
            <w:r/>
            <w:r>
              <w:rPr>
                <w:b/>
                <w:color w:val="17365D"/>
                <w:sz w:val="16"/>
              </w:rPr>
              <w:t>Document ID</w:t>
            </w:r>
          </w:p>
        </w:tc>
        <w:tc>
          <w:tcPr>
            <w:tcW w:type="dxa" w:w="5170"/>
            <w:vAlign w:val="center"/>
          </w:tcPr>
          <w:p>
            <w:r/>
            <w:r>
              <w:rPr>
                <w:b w:val="0"/>
                <w:sz w:val="16"/>
              </w:rPr>
              <w:t>ORI-064</w:t>
            </w:r>
          </w:p>
        </w:tc>
      </w:tr>
      <w:tr>
        <w:tc>
          <w:tcPr>
            <w:tcW w:type="dxa" w:w="5170"/>
            <w:vAlign w:val="center"/>
            <w:shd w:fill="D9EAF7"/>
          </w:tcPr>
          <w:p>
            <w:r/>
            <w:r>
              <w:rPr>
                <w:b/>
                <w:color w:val="17365D"/>
                <w:sz w:val="16"/>
              </w:rPr>
              <w:t>Document Title</w:t>
            </w:r>
          </w:p>
        </w:tc>
        <w:tc>
          <w:tcPr>
            <w:tcW w:type="dxa" w:w="5170"/>
            <w:vAlign w:val="center"/>
          </w:tcPr>
          <w:p>
            <w:r/>
            <w:r>
              <w:rPr>
                <w:b w:val="0"/>
                <w:sz w:val="16"/>
              </w:rPr>
              <w:t>Operational Risk Incident Procedure</w:t>
            </w:r>
          </w:p>
        </w:tc>
      </w:tr>
      <w:tr>
        <w:tc>
          <w:tcPr>
            <w:tcW w:type="dxa" w:w="5170"/>
            <w:vAlign w:val="center"/>
            <w:shd w:fill="D9EAF7"/>
          </w:tcPr>
          <w:p>
            <w:r/>
            <w:r>
              <w:rPr>
                <w:b/>
                <w:color w:val="17365D"/>
                <w:sz w:val="16"/>
              </w:rPr>
              <w:t>Version</w:t>
            </w:r>
          </w:p>
        </w:tc>
        <w:tc>
          <w:tcPr>
            <w:tcW w:type="dxa" w:w="5170"/>
            <w:vAlign w:val="center"/>
          </w:tcPr>
          <w:p>
            <w:r/>
            <w:r>
              <w:rPr>
                <w:b w:val="0"/>
                <w:sz w:val="16"/>
              </w:rPr>
              <w:t>1.1</w:t>
            </w:r>
          </w:p>
        </w:tc>
      </w:tr>
      <w:tr>
        <w:tc>
          <w:tcPr>
            <w:tcW w:type="dxa" w:w="5170"/>
            <w:vAlign w:val="center"/>
            <w:shd w:fill="D9EAF7"/>
          </w:tcPr>
          <w:p>
            <w:r/>
            <w:r>
              <w:rPr>
                <w:b/>
                <w:color w:val="17365D"/>
                <w:sz w:val="16"/>
              </w:rPr>
              <w:t>Policy Owner</w:t>
            </w:r>
          </w:p>
        </w:tc>
        <w:tc>
          <w:tcPr>
            <w:tcW w:type="dxa" w:w="5170"/>
            <w:vAlign w:val="center"/>
          </w:tcPr>
          <w:p>
            <w:r/>
            <w:r>
              <w:rPr>
                <w:b w:val="0"/>
                <w:sz w:val="16"/>
              </w:rPr>
              <w:t>Nikhil Wadhwa — Head of Operational Risk</w:t>
            </w:r>
          </w:p>
        </w:tc>
      </w:tr>
      <w:tr>
        <w:tc>
          <w:tcPr>
            <w:tcW w:type="dxa" w:w="5170"/>
            <w:vAlign w:val="center"/>
            <w:shd w:fill="D9EAF7"/>
          </w:tcPr>
          <w:p>
            <w:r/>
            <w:r>
              <w:rPr>
                <w:b/>
                <w:color w:val="17365D"/>
                <w:sz w:val="16"/>
              </w:rPr>
              <w:t>Business Unit</w:t>
            </w:r>
          </w:p>
        </w:tc>
        <w:tc>
          <w:tcPr>
            <w:tcW w:type="dxa" w:w="5170"/>
            <w:vAlign w:val="center"/>
          </w:tcPr>
          <w:p>
            <w:r/>
            <w:r>
              <w:rPr>
                <w:b w:val="0"/>
                <w:sz w:val="16"/>
              </w:rPr>
              <w:t>Enterprise Risk / Operations</w:t>
            </w:r>
          </w:p>
        </w:tc>
      </w:tr>
      <w:tr>
        <w:tc>
          <w:tcPr>
            <w:tcW w:type="dxa" w:w="5170"/>
            <w:vAlign w:val="center"/>
            <w:shd w:fill="D9EAF7"/>
          </w:tcPr>
          <w:p>
            <w:r/>
            <w:r>
              <w:rPr>
                <w:b/>
                <w:color w:val="17365D"/>
                <w:sz w:val="16"/>
              </w:rPr>
              <w:t>Approving Authority</w:t>
            </w:r>
          </w:p>
        </w:tc>
        <w:tc>
          <w:tcPr>
            <w:tcW w:type="dxa" w:w="5170"/>
            <w:vAlign w:val="center"/>
          </w:tcPr>
          <w:p>
            <w:r/>
            <w:r>
              <w:rPr>
                <w:b w:val="0"/>
                <w:sz w:val="16"/>
              </w:rPr>
              <w:t>Operational Risk Committee</w:t>
            </w:r>
          </w:p>
        </w:tc>
      </w:tr>
      <w:tr>
        <w:tc>
          <w:tcPr>
            <w:tcW w:type="dxa" w:w="5170"/>
            <w:vAlign w:val="center"/>
            <w:shd w:fill="D9EAF7"/>
          </w:tcPr>
          <w:p>
            <w:r/>
            <w:r>
              <w:rPr>
                <w:b/>
                <w:color w:val="17365D"/>
                <w:sz w:val="16"/>
              </w:rPr>
              <w:t>Effective Date</w:t>
            </w:r>
          </w:p>
        </w:tc>
        <w:tc>
          <w:tcPr>
            <w:tcW w:type="dxa" w:w="5170"/>
            <w:vAlign w:val="center"/>
          </w:tcPr>
          <w:p>
            <w:r/>
            <w:r>
              <w:rPr>
                <w:b w:val="0"/>
                <w:sz w:val="16"/>
              </w:rPr>
              <w:t>1 August 2026</w:t>
            </w:r>
          </w:p>
        </w:tc>
      </w:tr>
      <w:tr>
        <w:tc>
          <w:tcPr>
            <w:tcW w:type="dxa" w:w="5170"/>
            <w:vAlign w:val="center"/>
            <w:shd w:fill="D9EAF7"/>
          </w:tcPr>
          <w:p>
            <w:r/>
            <w:r>
              <w:rPr>
                <w:b/>
                <w:color w:val="17365D"/>
                <w:sz w:val="16"/>
              </w:rPr>
              <w:t>Previous Version</w:t>
            </w:r>
          </w:p>
        </w:tc>
        <w:tc>
          <w:tcPr>
            <w:tcW w:type="dxa" w:w="5170"/>
            <w:vAlign w:val="center"/>
          </w:tcPr>
          <w:p>
            <w:r/>
            <w:r>
              <w:rPr>
                <w:b w:val="0"/>
                <w:sz w:val="16"/>
              </w:rPr>
              <w:t>1.0</w:t>
            </w:r>
          </w:p>
        </w:tc>
      </w:tr>
      <w:tr>
        <w:tc>
          <w:tcPr>
            <w:tcW w:type="dxa" w:w="5170"/>
            <w:vAlign w:val="center"/>
            <w:shd w:fill="D9EAF7"/>
          </w:tcPr>
          <w:p>
            <w:r/>
            <w:r>
              <w:rPr>
                <w:b/>
                <w:color w:val="17365D"/>
                <w:sz w:val="16"/>
              </w:rPr>
              <w:t>Review Frequency</w:t>
            </w:r>
          </w:p>
        </w:tc>
        <w:tc>
          <w:tcPr>
            <w:tcW w:type="dxa" w:w="5170"/>
            <w:vAlign w:val="center"/>
          </w:tcPr>
          <w:p>
            <w:r/>
            <w:r>
              <w:rPr>
                <w:b w:val="0"/>
                <w:sz w:val="16"/>
              </w:rPr>
              <w:t>Annual</w:t>
            </w:r>
          </w:p>
        </w:tc>
      </w:tr>
      <w:tr>
        <w:tc>
          <w:tcPr>
            <w:tcW w:type="dxa" w:w="5170"/>
            <w:vAlign w:val="center"/>
            <w:shd w:fill="D9EAF7"/>
          </w:tcPr>
          <w:p>
            <w:r/>
            <w:r>
              <w:rPr>
                <w:b/>
                <w:color w:val="17365D"/>
                <w:sz w:val="16"/>
              </w:rPr>
              <w:t>Classification</w:t>
            </w:r>
          </w:p>
        </w:tc>
        <w:tc>
          <w:tcPr>
            <w:tcW w:type="dxa" w:w="5170"/>
            <w:vAlign w:val="center"/>
          </w:tcPr>
          <w:p>
            <w:r/>
            <w:r>
              <w:rPr>
                <w:b w:val="0"/>
                <w:sz w:val="16"/>
              </w:rPr>
              <w:t>Internal — Confidential</w:t>
            </w:r>
          </w:p>
        </w:tc>
      </w:tr>
      <w:tr>
        <w:tc>
          <w:tcPr>
            <w:tcW w:type="dxa" w:w="5170"/>
            <w:vAlign w:val="center"/>
            <w:shd w:fill="D9EAF7"/>
          </w:tcPr>
          <w:p>
            <w:r/>
            <w:r>
              <w:rPr>
                <w:b/>
                <w:color w:val="17365D"/>
                <w:sz w:val="16"/>
              </w:rPr>
              <w:t>Status</w:t>
            </w:r>
          </w:p>
        </w:tc>
        <w:tc>
          <w:tcPr>
            <w:tcW w:type="dxa" w:w="5170"/>
            <w:vAlign w:val="center"/>
          </w:tcPr>
          <w:p>
            <w:r/>
            <w:r>
              <w:rPr>
                <w:b w:val="0"/>
                <w:sz w:val="16"/>
              </w:rPr>
              <w:t>Approved</w:t>
            </w:r>
          </w:p>
        </w:tc>
      </w:tr>
      <w:tr>
        <w:tc>
          <w:tcPr>
            <w:tcW w:type="dxa" w:w="5170"/>
            <w:vAlign w:val="center"/>
            <w:shd w:fill="D9EAF7"/>
          </w:tcPr>
          <w:p>
            <w:r/>
            <w:r>
              <w:rPr>
                <w:b/>
                <w:color w:val="17365D"/>
                <w:sz w:val="16"/>
              </w:rPr>
              <w:t>Supersedes</w:t>
            </w:r>
          </w:p>
        </w:tc>
        <w:tc>
          <w:tcPr>
            <w:tcW w:type="dxa" w:w="5170"/>
            <w:vAlign w:val="center"/>
          </w:tcPr>
          <w:p>
            <w:r/>
            <w:r>
              <w:rPr>
                <w:b w:val="0"/>
                <w:sz w:val="16"/>
              </w:rPr>
              <w:t>ORI-064 v1.0</w:t>
            </w:r>
          </w:p>
        </w:tc>
      </w:tr>
      <w:tr>
        <w:tc>
          <w:tcPr>
            <w:tcW w:type="dxa" w:w="5170"/>
            <w:vAlign w:val="center"/>
            <w:shd w:fill="D9EAF7"/>
          </w:tcPr>
          <w:p>
            <w:r/>
            <w:r>
              <w:rPr>
                <w:b/>
                <w:color w:val="17365D"/>
                <w:sz w:val="16"/>
              </w:rPr>
              <w:t>Related Documents</w:t>
            </w:r>
          </w:p>
        </w:tc>
        <w:tc>
          <w:tcPr>
            <w:tcW w:type="dxa" w:w="5170"/>
            <w:vAlign w:val="center"/>
          </w:tcPr>
          <w:p>
            <w:r/>
            <w:r>
              <w:rPr>
                <w:b w:val="0"/>
                <w:sz w:val="16"/>
              </w:rPr>
              <w:t>RMF-008; RAS-009; CBP-043; SIR-052; BCP-061; FEP-062; CHP-063; EOM-020</w:t>
            </w:r>
          </w:p>
        </w:tc>
      </w:tr>
    </w:tbl>
    <w:p/>
    <w:p>
      <w:pPr>
        <w:jc w:val="center"/>
      </w:pPr>
      <w:r>
        <w:rPr>
          <w:i/>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 and Version History</w:t>
      </w:r>
    </w:p>
    <w:tbl>
      <w:tblPr>
        <w:tblStyle w:val="TableGrid"/>
        <w:tblW w:type="auto" w:w="0"/>
        <w:jc w:val="center"/>
        <w:tblLook w:firstColumn="1" w:firstRow="1" w:lastColumn="0" w:lastRow="0" w:noHBand="0" w:noVBand="1" w:val="04A0"/>
      </w:tblPr>
      <w:tblGrid>
        <w:gridCol w:w="2585"/>
        <w:gridCol w:w="2585"/>
        <w:gridCol w:w="2585"/>
        <w:gridCol w:w="2585"/>
      </w:tblGrid>
      <w:tr>
        <w:tc>
          <w:tcPr>
            <w:tcW w:type="dxa" w:w="2585"/>
            <w:vAlign w:val="center"/>
            <w:shd w:fill="17365D"/>
          </w:tcPr>
          <w:p>
            <w:r/>
            <w:r>
              <w:rPr>
                <w:b/>
                <w:color w:val="FFFFFF"/>
                <w:sz w:val="15"/>
              </w:rPr>
              <w:t>Version</w:t>
            </w:r>
          </w:p>
        </w:tc>
        <w:tc>
          <w:tcPr>
            <w:tcW w:type="dxa" w:w="2585"/>
            <w:vAlign w:val="center"/>
            <w:shd w:fill="17365D"/>
          </w:tcPr>
          <w:p>
            <w:r/>
            <w:r>
              <w:rPr>
                <w:b/>
                <w:color w:val="FFFFFF"/>
                <w:sz w:val="15"/>
              </w:rPr>
              <w:t>Effective Date</w:t>
            </w:r>
          </w:p>
        </w:tc>
        <w:tc>
          <w:tcPr>
            <w:tcW w:type="dxa" w:w="2585"/>
            <w:vAlign w:val="center"/>
            <w:shd w:fill="17365D"/>
          </w:tcPr>
          <w:p>
            <w:r/>
            <w:r>
              <w:rPr>
                <w:b/>
                <w:color w:val="FFFFFF"/>
                <w:sz w:val="15"/>
              </w:rPr>
              <w:t>Change Summary</w:t>
            </w:r>
          </w:p>
        </w:tc>
        <w:tc>
          <w:tcPr>
            <w:tcW w:type="dxa" w:w="2585"/>
            <w:vAlign w:val="center"/>
            <w:shd w:fill="17365D"/>
          </w:tcPr>
          <w:p>
            <w:r/>
            <w:r>
              <w:rPr>
                <w:b/>
                <w:color w:val="FFFFFF"/>
                <w:sz w:val="15"/>
              </w:rPr>
              <w:t>Approving Authority</w:t>
            </w:r>
          </w:p>
        </w:tc>
      </w:tr>
      <w:tr>
        <w:tc>
          <w:tcPr>
            <w:tcW w:type="dxa" w:w="2585"/>
            <w:vAlign w:val="center"/>
          </w:tcPr>
          <w:p>
            <w:r/>
            <w:r>
              <w:rPr>
                <w:b w:val="0"/>
                <w:sz w:val="14"/>
              </w:rPr>
              <w:t>1.0</w:t>
            </w:r>
          </w:p>
        </w:tc>
        <w:tc>
          <w:tcPr>
            <w:tcW w:type="dxa" w:w="2585"/>
            <w:vAlign w:val="center"/>
          </w:tcPr>
          <w:p>
            <w:r/>
            <w:r>
              <w:rPr>
                <w:b w:val="0"/>
                <w:sz w:val="14"/>
              </w:rPr>
              <w:t>1 Jan 2025</w:t>
            </w:r>
          </w:p>
        </w:tc>
        <w:tc>
          <w:tcPr>
            <w:tcW w:type="dxa" w:w="2585"/>
            <w:vAlign w:val="center"/>
          </w:tcPr>
          <w:p>
            <w:r/>
            <w:r>
              <w:rPr>
                <w:b w:val="0"/>
                <w:sz w:val="14"/>
              </w:rPr>
              <w:t>Established centralized operational-risk event capture.</w:t>
            </w:r>
          </w:p>
        </w:tc>
        <w:tc>
          <w:tcPr>
            <w:tcW w:type="dxa" w:w="2585"/>
            <w:vAlign w:val="center"/>
          </w:tcPr>
          <w:p>
            <w:r/>
            <w:r>
              <w:rPr>
                <w:b w:val="0"/>
                <w:sz w:val="14"/>
              </w:rPr>
              <w:t>Operational Risk Committee</w:t>
            </w:r>
          </w:p>
        </w:tc>
      </w:tr>
      <w:tr>
        <w:tc>
          <w:tcPr>
            <w:tcW w:type="dxa" w:w="2585"/>
            <w:vAlign w:val="center"/>
          </w:tcPr>
          <w:p>
            <w:r/>
            <w:r>
              <w:rPr>
                <w:b w:val="0"/>
                <w:sz w:val="14"/>
              </w:rPr>
              <w:t>1.1</w:t>
            </w:r>
          </w:p>
        </w:tc>
        <w:tc>
          <w:tcPr>
            <w:tcW w:type="dxa" w:w="2585"/>
            <w:vAlign w:val="center"/>
          </w:tcPr>
          <w:p>
            <w:r/>
            <w:r>
              <w:rPr>
                <w:b w:val="0"/>
                <w:sz w:val="14"/>
              </w:rPr>
              <w:t>1 Aug 2026</w:t>
            </w:r>
          </w:p>
        </w:tc>
        <w:tc>
          <w:tcPr>
            <w:tcW w:type="dxa" w:w="2585"/>
            <w:vAlign w:val="center"/>
          </w:tcPr>
          <w:p>
            <w:r/>
            <w:r>
              <w:rPr>
                <w:b w:val="0"/>
                <w:sz w:val="14"/>
              </w:rPr>
              <w:t>Aligned incident severity to security, compliance, fraud, vendor and continuity processes and expanded near-miss treatment.</w:t>
            </w:r>
          </w:p>
        </w:tc>
        <w:tc>
          <w:tcPr>
            <w:tcW w:type="dxa" w:w="2585"/>
            <w:vAlign w:val="center"/>
          </w:tcPr>
          <w:p>
            <w:r/>
            <w:r>
              <w:rPr>
                <w:b w:val="0"/>
                <w:sz w:val="14"/>
              </w:rPr>
              <w:t>Operational Risk Committee</w:t>
            </w:r>
          </w:p>
        </w:tc>
      </w:tr>
    </w:tbl>
    <w:p/>
    <w:p>
      <w:r>
        <w:t>Controlled copy status. The version recorded in Northstar Financial's controlled document library is authoritative. Printed or locally saved copies may be outdated and shall not be relied upon for current decisions without confirming version and effective date.</w:t>
      </w:r>
    </w:p>
    <w:p>
      <w:r>
        <w:t>Hierarchy. Board-approved policies and risk appetite statements prevail over frameworks, standards, procedures, departmental manuals, schedules and forms. A lower-level document may impose a stricter control within its scope. Where a conflict cannot be resolved from scope, effective date or hierarchy, the matter shall be escalated to the document owner before action is taken.</w:t>
      </w:r>
    </w:p>
    <w:p>
      <w:pPr>
        <w:pStyle w:val="Heading1"/>
      </w:pPr>
      <w:r>
        <w:t>1. Purpose</w:t>
      </w:r>
    </w:p>
    <w:p>
      <w:r>
        <w:t>This Procedure defines how Northstar identifies, records, assesses, escalates, investigates and remediates operational-risk incidents and near misses.</w:t>
      </w:r>
    </w:p>
    <w:p>
      <w:pPr>
        <w:pStyle w:val="Heading1"/>
      </w:pPr>
      <w:r>
        <w:t>2. Scope</w:t>
      </w:r>
    </w:p>
    <w:p>
      <w:r>
        <w:t>Operational-risk incidents include process, people, systems, external events, vendor failures, business disruption, execution errors, control breakdowns and other non-credit/market losses that affect operations or customers.</w:t>
      </w:r>
    </w:p>
    <w:p>
      <w:pPr>
        <w:pStyle w:val="Heading1"/>
      </w:pPr>
      <w:r>
        <w:t>3. Relationship to RMF-008</w:t>
      </w:r>
    </w:p>
    <w:p>
      <w:r>
        <w:t>RMF-008 defines enterprise risk taxonomy and residual-risk governance. ORI-064 defines the event-level process for operational incidents.</w:t>
      </w:r>
    </w:p>
    <w:p>
      <w:pPr>
        <w:pStyle w:val="Heading1"/>
      </w:pPr>
      <w:r>
        <w:t>4. What Must Be Recorded</w:t>
      </w:r>
    </w:p>
    <w:p>
      <w:r>
        <w:t>A record is required for material losses, customer-impacting errors, significant control failures, repeated near misses, major outages, vendor events, unauthorized activity or other events meeting internal thresholds/management judgment.</w:t>
      </w:r>
    </w:p>
    <w:p>
      <w:pPr>
        <w:pStyle w:val="Heading1"/>
      </w:pPr>
      <w:r>
        <w:t>5. Near Misses</w:t>
      </w:r>
    </w:p>
    <w:p>
      <w:r>
        <w:t>A near miss is a control failure or event that could reasonably have caused loss or material impact but was prevented or did not crystallize.</w:t>
      </w:r>
    </w:p>
    <w:p>
      <w:r>
        <w:t>Near misses are not “no issue” merely because loss was avoided. Repeated near misses may indicate a deteriorating control.</w:t>
      </w:r>
    </w:p>
    <w:p>
      <w:pPr>
        <w:pStyle w:val="Heading1"/>
      </w:pPr>
      <w:r>
        <w:t>6. Incident Severity</w:t>
      </w:r>
    </w:p>
    <w:p>
      <w:r>
        <w:t>Northstar uses OR1–OR4 operational incident severity.</w:t>
      </w:r>
    </w:p>
    <w:tbl>
      <w:tblPr>
        <w:tblStyle w:val="TableGrid"/>
        <w:tblW w:type="auto" w:w="0"/>
        <w:jc w:val="center"/>
        <w:tblLook w:firstColumn="1" w:firstRow="1" w:lastColumn="0" w:lastRow="0" w:noHBand="0" w:noVBand="1" w:val="04A0"/>
      </w:tblPr>
      <w:tblGrid>
        <w:gridCol w:w="3447"/>
        <w:gridCol w:w="3447"/>
        <w:gridCol w:w="3447"/>
      </w:tblGrid>
      <w:tr>
        <w:tc>
          <w:tcPr>
            <w:tcW w:type="dxa" w:w="3447"/>
            <w:vAlign w:val="center"/>
            <w:shd w:fill="17365D"/>
          </w:tcPr>
          <w:p>
            <w:r/>
            <w:r>
              <w:rPr>
                <w:b/>
                <w:color w:val="FFFFFF"/>
                <w:sz w:val="15"/>
              </w:rPr>
              <w:t>Severity</w:t>
            </w:r>
          </w:p>
        </w:tc>
        <w:tc>
          <w:tcPr>
            <w:tcW w:type="dxa" w:w="3447"/>
            <w:vAlign w:val="center"/>
            <w:shd w:fill="17365D"/>
          </w:tcPr>
          <w:p>
            <w:r/>
            <w:r>
              <w:rPr>
                <w:b/>
                <w:color w:val="FFFFFF"/>
                <w:sz w:val="15"/>
              </w:rPr>
              <w:t>Indicative Criteria</w:t>
            </w:r>
          </w:p>
        </w:tc>
        <w:tc>
          <w:tcPr>
            <w:tcW w:type="dxa" w:w="3447"/>
            <w:vAlign w:val="center"/>
            <w:shd w:fill="17365D"/>
          </w:tcPr>
          <w:p>
            <w:r/>
            <w:r>
              <w:rPr>
                <w:b/>
                <w:color w:val="FFFFFF"/>
                <w:sz w:val="15"/>
              </w:rPr>
              <w:t>Initial Escalation</w:t>
            </w:r>
          </w:p>
        </w:tc>
      </w:tr>
      <w:tr>
        <w:tc>
          <w:tcPr>
            <w:tcW w:type="dxa" w:w="3447"/>
            <w:vAlign w:val="center"/>
          </w:tcPr>
          <w:p>
            <w:r/>
            <w:r>
              <w:rPr>
                <w:b w:val="0"/>
                <w:sz w:val="14"/>
              </w:rPr>
              <w:t>OR1 Low</w:t>
            </w:r>
          </w:p>
        </w:tc>
        <w:tc>
          <w:tcPr>
            <w:tcW w:type="dxa" w:w="3447"/>
            <w:vAlign w:val="center"/>
          </w:tcPr>
          <w:p>
            <w:r/>
            <w:r>
              <w:rPr>
                <w:b w:val="0"/>
                <w:sz w:val="14"/>
              </w:rPr>
              <w:t>Limited internal impact; low/no loss; isolated control weakness</w:t>
            </w:r>
          </w:p>
        </w:tc>
        <w:tc>
          <w:tcPr>
            <w:tcW w:type="dxa" w:w="3447"/>
            <w:vAlign w:val="center"/>
          </w:tcPr>
          <w:p>
            <w:r/>
            <w:r>
              <w:rPr>
                <w:b w:val="0"/>
                <w:sz w:val="14"/>
              </w:rPr>
              <w:t>Record within 5 business days.</w:t>
            </w:r>
          </w:p>
        </w:tc>
      </w:tr>
      <w:tr>
        <w:tc>
          <w:tcPr>
            <w:tcW w:type="dxa" w:w="3447"/>
            <w:vAlign w:val="center"/>
          </w:tcPr>
          <w:p>
            <w:r/>
            <w:r>
              <w:rPr>
                <w:b w:val="0"/>
                <w:sz w:val="14"/>
              </w:rPr>
              <w:t>OR2 Moderate</w:t>
            </w:r>
          </w:p>
        </w:tc>
        <w:tc>
          <w:tcPr>
            <w:tcW w:type="dxa" w:w="3447"/>
            <w:vAlign w:val="center"/>
          </w:tcPr>
          <w:p>
            <w:r/>
            <w:r>
              <w:rPr>
                <w:b w:val="0"/>
                <w:sz w:val="14"/>
              </w:rPr>
              <w:t>Meaningful process/customer impact or repeat issue; manageable loss</w:t>
            </w:r>
          </w:p>
        </w:tc>
        <w:tc>
          <w:tcPr>
            <w:tcW w:type="dxa" w:w="3447"/>
            <w:vAlign w:val="center"/>
          </w:tcPr>
          <w:p>
            <w:r/>
            <w:r>
              <w:rPr>
                <w:b w:val="0"/>
                <w:sz w:val="14"/>
              </w:rPr>
              <w:t>Record within 2 business days; manager and Operational Risk.</w:t>
            </w:r>
          </w:p>
        </w:tc>
      </w:tr>
      <w:tr>
        <w:tc>
          <w:tcPr>
            <w:tcW w:type="dxa" w:w="3447"/>
            <w:vAlign w:val="center"/>
          </w:tcPr>
          <w:p>
            <w:r/>
            <w:r>
              <w:rPr>
                <w:b w:val="0"/>
                <w:sz w:val="14"/>
              </w:rPr>
              <w:t>OR3 High</w:t>
            </w:r>
          </w:p>
        </w:tc>
        <w:tc>
          <w:tcPr>
            <w:tcW w:type="dxa" w:w="3447"/>
            <w:vAlign w:val="center"/>
          </w:tcPr>
          <w:p>
            <w:r/>
            <w:r>
              <w:rPr>
                <w:b w:val="0"/>
                <w:sz w:val="14"/>
              </w:rPr>
              <w:t>Material customer/service/control impact, significant loss, multi-team event</w:t>
            </w:r>
          </w:p>
        </w:tc>
        <w:tc>
          <w:tcPr>
            <w:tcW w:type="dxa" w:w="3447"/>
            <w:vAlign w:val="center"/>
          </w:tcPr>
          <w:p>
            <w:r/>
            <w:r>
              <w:rPr>
                <w:b w:val="0"/>
                <w:sz w:val="14"/>
              </w:rPr>
              <w:t>Same business day; CRO/COO delegates as relevant.</w:t>
            </w:r>
          </w:p>
        </w:tc>
      </w:tr>
      <w:tr>
        <w:tc>
          <w:tcPr>
            <w:tcW w:type="dxa" w:w="3447"/>
            <w:vAlign w:val="center"/>
          </w:tcPr>
          <w:p>
            <w:r/>
            <w:r>
              <w:rPr>
                <w:b w:val="0"/>
                <w:sz w:val="14"/>
              </w:rPr>
              <w:t>OR4 Critical</w:t>
            </w:r>
          </w:p>
        </w:tc>
        <w:tc>
          <w:tcPr>
            <w:tcW w:type="dxa" w:w="3447"/>
            <w:vAlign w:val="center"/>
          </w:tcPr>
          <w:p>
            <w:r/>
            <w:r>
              <w:rPr>
                <w:b w:val="0"/>
                <w:sz w:val="14"/>
              </w:rPr>
              <w:t>Severe/systemic impact, major outage/loss, widespread customer harm or executive concern</w:t>
            </w:r>
          </w:p>
        </w:tc>
        <w:tc>
          <w:tcPr>
            <w:tcW w:type="dxa" w:w="3447"/>
            <w:vAlign w:val="center"/>
          </w:tcPr>
          <w:p>
            <w:r/>
            <w:r>
              <w:rPr>
                <w:b w:val="0"/>
                <w:sz w:val="14"/>
              </w:rPr>
              <w:t>Immediate escalation and crisis governance as applicable.</w:t>
            </w:r>
          </w:p>
        </w:tc>
      </w:tr>
    </w:tbl>
    <w:p/>
    <w:p>
      <w:pPr>
        <w:pStyle w:val="Heading1"/>
      </w:pPr>
      <w:r>
        <w:t>7. Parallel Classifications</w:t>
      </w:r>
    </w:p>
    <w:p>
      <w:r>
        <w:t>The same event may carry OR severity plus Security SEV, Compliance C, Fraud F or continuity activation status.</w:t>
      </w:r>
    </w:p>
    <w:p>
      <w:r>
        <w:t>These classifications shall not be forced into a one-to-one mapping because each serves a different risk/control purpose.</w:t>
      </w:r>
    </w:p>
    <w:p>
      <w:pPr>
        <w:pStyle w:val="Heading1"/>
      </w:pPr>
      <w:r>
        <w:t>8. Initial Capture</w:t>
      </w:r>
    </w:p>
    <w:p>
      <w:r>
        <w:t>Incident records shall include event date/time, awareness date/time, process, business unit, description, loss/impact, customers affected, controls involved, immediate containment and linked cases.</w:t>
      </w:r>
    </w:p>
    <w:p>
      <w:pPr>
        <w:pStyle w:val="Heading1"/>
      </w:pPr>
      <w:r>
        <w:t>9. Immediate Containment</w:t>
      </w:r>
    </w:p>
    <w:p>
      <w:r>
        <w:t>Business teams should stop ongoing harm, preserve evidence and maintain critical controls before detailed root-cause work.</w:t>
      </w:r>
    </w:p>
    <w:p>
      <w:pPr>
        <w:pStyle w:val="Heading1"/>
      </w:pPr>
      <w:r>
        <w:t>10. Loss Classification</w:t>
      </w:r>
    </w:p>
    <w:p>
      <w:r>
        <w:t>Gross loss, recoveries, provisions, customer remediation, vendor recoveries and prevented loss shall be recorded separately where applicable.</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Amount</w:t>
            </w:r>
          </w:p>
        </w:tc>
        <w:tc>
          <w:tcPr>
            <w:tcW w:type="dxa" w:w="5170"/>
            <w:vAlign w:val="center"/>
            <w:shd w:fill="17365D"/>
          </w:tcPr>
          <w:p>
            <w:r/>
            <w:r>
              <w:rPr>
                <w:b/>
                <w:color w:val="FFFFFF"/>
                <w:sz w:val="15"/>
              </w:rPr>
              <w:t>Treatment</w:t>
            </w:r>
          </w:p>
        </w:tc>
      </w:tr>
      <w:tr>
        <w:tc>
          <w:tcPr>
            <w:tcW w:type="dxa" w:w="5170"/>
            <w:vAlign w:val="center"/>
          </w:tcPr>
          <w:p>
            <w:r/>
            <w:r>
              <w:rPr>
                <w:b w:val="0"/>
                <w:sz w:val="14"/>
              </w:rPr>
              <w:t>Gross loss</w:t>
            </w:r>
          </w:p>
        </w:tc>
        <w:tc>
          <w:tcPr>
            <w:tcW w:type="dxa" w:w="5170"/>
            <w:vAlign w:val="center"/>
          </w:tcPr>
          <w:p>
            <w:r/>
            <w:r>
              <w:rPr>
                <w:b w:val="0"/>
                <w:sz w:val="14"/>
              </w:rPr>
              <w:t>Direct realized financial impact before recovery.</w:t>
            </w:r>
          </w:p>
        </w:tc>
      </w:tr>
      <w:tr>
        <w:tc>
          <w:tcPr>
            <w:tcW w:type="dxa" w:w="5170"/>
            <w:vAlign w:val="center"/>
          </w:tcPr>
          <w:p>
            <w:r/>
            <w:r>
              <w:rPr>
                <w:b w:val="0"/>
                <w:sz w:val="14"/>
              </w:rPr>
              <w:t>Recovery</w:t>
            </w:r>
          </w:p>
        </w:tc>
        <w:tc>
          <w:tcPr>
            <w:tcW w:type="dxa" w:w="5170"/>
            <w:vAlign w:val="center"/>
          </w:tcPr>
          <w:p>
            <w:r/>
            <w:r>
              <w:rPr>
                <w:b w:val="0"/>
                <w:sz w:val="14"/>
              </w:rPr>
              <w:t>Amount recovered from customer/vendor/insurance/other source.</w:t>
            </w:r>
          </w:p>
        </w:tc>
      </w:tr>
      <w:tr>
        <w:tc>
          <w:tcPr>
            <w:tcW w:type="dxa" w:w="5170"/>
            <w:vAlign w:val="center"/>
          </w:tcPr>
          <w:p>
            <w:r/>
            <w:r>
              <w:rPr>
                <w:b w:val="0"/>
                <w:sz w:val="14"/>
              </w:rPr>
              <w:t>Customer remediation</w:t>
            </w:r>
          </w:p>
        </w:tc>
        <w:tc>
          <w:tcPr>
            <w:tcW w:type="dxa" w:w="5170"/>
            <w:vAlign w:val="center"/>
          </w:tcPr>
          <w:p>
            <w:r/>
            <w:r>
              <w:rPr>
                <w:b w:val="0"/>
                <w:sz w:val="14"/>
              </w:rPr>
              <w:t>Payment/adjustment made to correct customer harm.</w:t>
            </w:r>
          </w:p>
        </w:tc>
      </w:tr>
      <w:tr>
        <w:tc>
          <w:tcPr>
            <w:tcW w:type="dxa" w:w="5170"/>
            <w:vAlign w:val="center"/>
          </w:tcPr>
          <w:p>
            <w:r/>
            <w:r>
              <w:rPr>
                <w:b w:val="0"/>
                <w:sz w:val="14"/>
              </w:rPr>
              <w:t>Near miss exposure</w:t>
            </w:r>
          </w:p>
        </w:tc>
        <w:tc>
          <w:tcPr>
            <w:tcW w:type="dxa" w:w="5170"/>
            <w:vAlign w:val="center"/>
          </w:tcPr>
          <w:p>
            <w:r/>
            <w:r>
              <w:rPr>
                <w:b w:val="0"/>
                <w:sz w:val="14"/>
              </w:rPr>
              <w:t>Estimated plausible impact; not recorded as realized loss.</w:t>
            </w:r>
          </w:p>
        </w:tc>
      </w:tr>
      <w:tr>
        <w:tc>
          <w:tcPr>
            <w:tcW w:type="dxa" w:w="5170"/>
            <w:vAlign w:val="center"/>
          </w:tcPr>
          <w:p>
            <w:r/>
            <w:r>
              <w:rPr>
                <w:b w:val="0"/>
                <w:sz w:val="14"/>
              </w:rPr>
              <w:t>Prevented loss</w:t>
            </w:r>
          </w:p>
        </w:tc>
        <w:tc>
          <w:tcPr>
            <w:tcW w:type="dxa" w:w="5170"/>
            <w:vAlign w:val="center"/>
          </w:tcPr>
          <w:p>
            <w:r/>
            <w:r>
              <w:rPr>
                <w:b w:val="0"/>
                <w:sz w:val="14"/>
              </w:rPr>
              <w:t>Potential fraud/operational exposure prevented; separate from accounting loss.</w:t>
            </w:r>
          </w:p>
        </w:tc>
      </w:tr>
    </w:tbl>
    <w:p/>
    <w:p>
      <w:pPr>
        <w:pStyle w:val="Heading1"/>
      </w:pPr>
      <w:r>
        <w:t>11. Customer Impact</w:t>
      </w:r>
    </w:p>
    <w:p>
      <w:r>
        <w:t>Customer count, financial harm, delay, access restriction, data concern and service outage shall be recorded where relevant. Complaint records may be linked.</w:t>
      </w:r>
    </w:p>
    <w:p>
      <w:pPr>
        <w:pStyle w:val="Heading1"/>
      </w:pPr>
      <w:r>
        <w:t>12. Risk Taxonomy</w:t>
      </w:r>
    </w:p>
    <w:p>
      <w:r>
        <w:t>Events shall be categorized using RMF-008 operational subcategories and the most relevant root-cause dimension.</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Category</w:t>
            </w:r>
          </w:p>
        </w:tc>
        <w:tc>
          <w:tcPr>
            <w:tcW w:type="dxa" w:w="5170"/>
            <w:vAlign w:val="center"/>
            <w:shd w:fill="17365D"/>
          </w:tcPr>
          <w:p>
            <w:r/>
            <w:r>
              <w:rPr>
                <w:b/>
                <w:color w:val="FFFFFF"/>
                <w:sz w:val="15"/>
              </w:rPr>
              <w:t>Examples</w:t>
            </w:r>
          </w:p>
        </w:tc>
      </w:tr>
      <w:tr>
        <w:tc>
          <w:tcPr>
            <w:tcW w:type="dxa" w:w="5170"/>
            <w:vAlign w:val="center"/>
          </w:tcPr>
          <w:p>
            <w:r/>
            <w:r>
              <w:rPr>
                <w:b w:val="0"/>
                <w:sz w:val="14"/>
              </w:rPr>
              <w:t>Process execution</w:t>
            </w:r>
          </w:p>
        </w:tc>
        <w:tc>
          <w:tcPr>
            <w:tcW w:type="dxa" w:w="5170"/>
            <w:vAlign w:val="center"/>
          </w:tcPr>
          <w:p>
            <w:r/>
            <w:r>
              <w:rPr>
                <w:b w:val="0"/>
                <w:sz w:val="14"/>
              </w:rPr>
              <w:t>Incorrect payment, duplicate processing, missed checker.</w:t>
            </w:r>
          </w:p>
        </w:tc>
      </w:tr>
      <w:tr>
        <w:tc>
          <w:tcPr>
            <w:tcW w:type="dxa" w:w="5170"/>
            <w:vAlign w:val="center"/>
          </w:tcPr>
          <w:p>
            <w:r/>
            <w:r>
              <w:rPr>
                <w:b w:val="0"/>
                <w:sz w:val="14"/>
              </w:rPr>
              <w:t>People</w:t>
            </w:r>
          </w:p>
        </w:tc>
        <w:tc>
          <w:tcPr>
            <w:tcW w:type="dxa" w:w="5170"/>
            <w:vAlign w:val="center"/>
          </w:tcPr>
          <w:p>
            <w:r/>
            <w:r>
              <w:rPr>
                <w:b w:val="0"/>
                <w:sz w:val="14"/>
              </w:rPr>
              <w:t>Error, misconduct, inadequate training.</w:t>
            </w:r>
          </w:p>
        </w:tc>
      </w:tr>
      <w:tr>
        <w:tc>
          <w:tcPr>
            <w:tcW w:type="dxa" w:w="5170"/>
            <w:vAlign w:val="center"/>
          </w:tcPr>
          <w:p>
            <w:r/>
            <w:r>
              <w:rPr>
                <w:b w:val="0"/>
                <w:sz w:val="14"/>
              </w:rPr>
              <w:t>Technology</w:t>
            </w:r>
          </w:p>
        </w:tc>
        <w:tc>
          <w:tcPr>
            <w:tcW w:type="dxa" w:w="5170"/>
            <w:vAlign w:val="center"/>
          </w:tcPr>
          <w:p>
            <w:r/>
            <w:r>
              <w:rPr>
                <w:b w:val="0"/>
                <w:sz w:val="14"/>
              </w:rPr>
              <w:t>Application failure, interface defect, data corruption.</w:t>
            </w:r>
          </w:p>
        </w:tc>
      </w:tr>
      <w:tr>
        <w:tc>
          <w:tcPr>
            <w:tcW w:type="dxa" w:w="5170"/>
            <w:vAlign w:val="center"/>
          </w:tcPr>
          <w:p>
            <w:r/>
            <w:r>
              <w:rPr>
                <w:b w:val="0"/>
                <w:sz w:val="14"/>
              </w:rPr>
              <w:t>Information security</w:t>
            </w:r>
          </w:p>
        </w:tc>
        <w:tc>
          <w:tcPr>
            <w:tcW w:type="dxa" w:w="5170"/>
            <w:vAlign w:val="center"/>
          </w:tcPr>
          <w:p>
            <w:r/>
            <w:r>
              <w:rPr>
                <w:b w:val="0"/>
                <w:sz w:val="14"/>
              </w:rPr>
              <w:t>Cyber/credential event linked to SIR-052.</w:t>
            </w:r>
          </w:p>
        </w:tc>
      </w:tr>
      <w:tr>
        <w:tc>
          <w:tcPr>
            <w:tcW w:type="dxa" w:w="5170"/>
            <w:vAlign w:val="center"/>
          </w:tcPr>
          <w:p>
            <w:r/>
            <w:r>
              <w:rPr>
                <w:b w:val="0"/>
                <w:sz w:val="14"/>
              </w:rPr>
              <w:t>Third party</w:t>
            </w:r>
          </w:p>
        </w:tc>
        <w:tc>
          <w:tcPr>
            <w:tcW w:type="dxa" w:w="5170"/>
            <w:vAlign w:val="center"/>
          </w:tcPr>
          <w:p>
            <w:r/>
            <w:r>
              <w:rPr>
                <w:b w:val="0"/>
                <w:sz w:val="14"/>
              </w:rPr>
              <w:t>Vendor outage/control failure.</w:t>
            </w:r>
          </w:p>
        </w:tc>
      </w:tr>
      <w:tr>
        <w:tc>
          <w:tcPr>
            <w:tcW w:type="dxa" w:w="5170"/>
            <w:vAlign w:val="center"/>
          </w:tcPr>
          <w:p>
            <w:r/>
            <w:r>
              <w:rPr>
                <w:b w:val="0"/>
                <w:sz w:val="14"/>
              </w:rPr>
              <w:t>External event</w:t>
            </w:r>
          </w:p>
        </w:tc>
        <w:tc>
          <w:tcPr>
            <w:tcW w:type="dxa" w:w="5170"/>
            <w:vAlign w:val="center"/>
          </w:tcPr>
          <w:p>
            <w:r/>
            <w:r>
              <w:rPr>
                <w:b w:val="0"/>
                <w:sz w:val="14"/>
              </w:rPr>
              <w:t>Utility failure, disaster, external fraud.</w:t>
            </w:r>
          </w:p>
        </w:tc>
      </w:tr>
      <w:tr>
        <w:tc>
          <w:tcPr>
            <w:tcW w:type="dxa" w:w="5170"/>
            <w:vAlign w:val="center"/>
          </w:tcPr>
          <w:p>
            <w:r/>
            <w:r>
              <w:rPr>
                <w:b w:val="0"/>
                <w:sz w:val="14"/>
              </w:rPr>
              <w:t>Business continuity</w:t>
            </w:r>
          </w:p>
        </w:tc>
        <w:tc>
          <w:tcPr>
            <w:tcW w:type="dxa" w:w="5170"/>
            <w:vAlign w:val="center"/>
          </w:tcPr>
          <w:p>
            <w:r/>
            <w:r>
              <w:rPr>
                <w:b w:val="0"/>
                <w:sz w:val="14"/>
              </w:rPr>
              <w:t>Extended disruption/recovery failure.</w:t>
            </w:r>
          </w:p>
        </w:tc>
      </w:tr>
      <w:tr>
        <w:tc>
          <w:tcPr>
            <w:tcW w:type="dxa" w:w="5170"/>
            <w:vAlign w:val="center"/>
          </w:tcPr>
          <w:p>
            <w:r/>
            <w:r>
              <w:rPr>
                <w:b w:val="0"/>
                <w:sz w:val="14"/>
              </w:rPr>
              <w:t>Legal/compliance</w:t>
            </w:r>
          </w:p>
        </w:tc>
        <w:tc>
          <w:tcPr>
            <w:tcW w:type="dxa" w:w="5170"/>
            <w:vAlign w:val="center"/>
          </w:tcPr>
          <w:p>
            <w:r/>
            <w:r>
              <w:rPr>
                <w:b w:val="0"/>
                <w:sz w:val="14"/>
              </w:rPr>
              <w:t>Control/obligation breach with CBP link.</w:t>
            </w:r>
          </w:p>
        </w:tc>
      </w:tr>
    </w:tbl>
    <w:p/>
    <w:p>
      <w:pPr>
        <w:pStyle w:val="Heading1"/>
      </w:pPr>
      <w:r>
        <w:t>13. Root Cause Analysis</w:t>
      </w:r>
    </w:p>
    <w:p>
      <w:r>
        <w:t>OR2 repeat, OR3 and OR4 incidents require proportionate root-cause analysis that goes beyond “human error” where process/system/control design contributed.</w:t>
      </w:r>
    </w:p>
    <w:p>
      <w:pPr>
        <w:pStyle w:val="Heading1"/>
      </w:pPr>
      <w:r>
        <w:t>14. Root Cause Methods</w:t>
      </w:r>
    </w:p>
    <w:p>
      <w:r>
        <w:t>Teams may use timeline analysis, five-whys, control mapping, data review, change review, access/log review and targeted interviews depending on event.</w:t>
      </w:r>
    </w:p>
    <w:p>
      <w:pPr>
        <w:pStyle w:val="Heading1"/>
      </w:pPr>
      <w:r>
        <w:t>15. Control Failure Assessment</w:t>
      </w:r>
    </w:p>
    <w:p>
      <w:r>
        <w:t>Determine whether the relevant control was absent, poorly designed, not operated, overridden, incorrectly configured, not evidenced or ineffective against the scenario.</w:t>
      </w:r>
    </w:p>
    <w:p>
      <w:pPr>
        <w:pStyle w:val="Heading1"/>
      </w:pPr>
      <w:r>
        <w:t>16. Action Plans</w:t>
      </w:r>
    </w:p>
    <w:p>
      <w:r>
        <w:t>Actions shall have specific deliverables, accountable owners, realistic due dates, dependencies and closure evidence.</w:t>
      </w:r>
    </w:p>
    <w:p>
      <w:r>
        <w:t>Training alone should not be the only action where process, system or access design materially caused the event.</w:t>
      </w:r>
    </w:p>
    <w:p>
      <w:pPr>
        <w:pStyle w:val="Heading1"/>
      </w:pPr>
      <w:r>
        <w:t>17. Risk Acceptance</w:t>
      </w:r>
    </w:p>
    <w:p>
      <w:r>
        <w:t>Where full remediation is not immediately feasible, temporary risk acceptance follows RMF-008/RAS-009 authority and must not be used to conceal overdue action or zero-tolerance breach.</w:t>
      </w:r>
    </w:p>
    <w:p>
      <w:pPr>
        <w:pStyle w:val="Heading1"/>
      </w:pPr>
      <w:r>
        <w:t>18. Repeat Incidents</w:t>
      </w:r>
    </w:p>
    <w:p>
      <w:r>
        <w:t>Events with same or materially similar root cause shall be linked. Repeat frequency may elevate severity or indicate ineffective prior remediation.</w:t>
      </w:r>
    </w:p>
    <w:p>
      <w:pPr>
        <w:pStyle w:val="Heading1"/>
      </w:pPr>
      <w:r>
        <w:t>19. Change-Related Incidents</w:t>
      </w:r>
    </w:p>
    <w:p>
      <w:r>
        <w:t>Incidents after system/process/product change shall assess testing, approval, rollback, data migration, user access and implementation controls.</w:t>
      </w:r>
    </w:p>
    <w:p>
      <w:pPr>
        <w:pStyle w:val="Heading1"/>
      </w:pPr>
      <w:r>
        <w:t>20. Security Incidents</w:t>
      </w:r>
    </w:p>
    <w:p>
      <w:r>
        <w:t>SIR-052 remains the operational command process for security events. ORI captures business loss, customer/service impact, control root cause and enterprise risk learning.</w:t>
      </w:r>
    </w:p>
    <w:p>
      <w:pPr>
        <w:pStyle w:val="Heading1"/>
      </w:pPr>
      <w:r>
        <w:t>21. Fraud Incidents</w:t>
      </w:r>
    </w:p>
    <w:p>
      <w:r>
        <w:t>FEP-062 leads fraud investigation while ORI captures operational loss/event and control-remediation aspects where threshold met.</w:t>
      </w:r>
    </w:p>
    <w:p>
      <w:pPr>
        <w:pStyle w:val="Heading1"/>
      </w:pPr>
      <w:r>
        <w:t>22. Compliance Breaches</w:t>
      </w:r>
    </w:p>
    <w:p>
      <w:r>
        <w:t>CBP-043 determines compliance severity and reporting. ORI may record the same event for operational loss/root-cause purposes.</w:t>
      </w:r>
    </w:p>
    <w:p>
      <w:pPr>
        <w:pStyle w:val="Heading1"/>
      </w:pPr>
      <w:r>
        <w:t>23. Vendor Incidents</w:t>
      </w:r>
    </w:p>
    <w:p>
      <w:r>
        <w:t>Vendor incidents shall include service, security, access, contract and concentration implications with VRP-053 linkage.</w:t>
      </w:r>
    </w:p>
    <w:p>
      <w:pPr>
        <w:pStyle w:val="Heading1"/>
      </w:pPr>
      <w:r>
        <w:t>24. Business Continuity Events</w:t>
      </w:r>
    </w:p>
    <w:p>
      <w:r>
        <w:t>BCP activations or RTO/RPO misses may require OR incident capture depending on materiality and control failure.</w:t>
      </w:r>
    </w:p>
    <w:p>
      <w:pPr>
        <w:pStyle w:val="Heading1"/>
      </w:pPr>
      <w:r>
        <w:t>25. Escalation</w:t>
      </w:r>
    </w:p>
    <w:p>
      <w:r>
        <w:t>OR3/OR4 events, material losses, repeat control failures, zero-tolerance implications and significant customer harm shall be escalated to appropriate executive/committee governance.</w:t>
      </w:r>
    </w:p>
    <w:p>
      <w:pPr>
        <w:pStyle w:val="Heading1"/>
      </w:pPr>
      <w:r>
        <w:t>26. Closure</w:t>
      </w:r>
    </w:p>
    <w:p>
      <w:r>
        <w:t>An incident is closed only after facts, impact, root cause, linked cases, actions and required customer/financial corrections are adequately recorded. Open actions may remain tracked after event closure if governance permits.</w:t>
      </w:r>
    </w:p>
    <w:p>
      <w:pPr>
        <w:pStyle w:val="Heading1"/>
      </w:pPr>
      <w:r>
        <w:t>27. Quality Review</w:t>
      </w:r>
    </w:p>
    <w:p>
      <w:r>
        <w:t>Operational Risk shall challenge severity, loss completeness, root cause, action adequacy and repeat-event linkage for material incidents.</w:t>
      </w:r>
    </w:p>
    <w:p>
      <w:pPr>
        <w:pStyle w:val="Heading1"/>
      </w:pPr>
      <w:r>
        <w:t>28. Historical and Transitional Provisions</w:t>
      </w:r>
    </w:p>
    <w:p>
      <w:r>
        <w:t>Version 1.1 replaces the v1.0 Low/Medium/High/Critical labels with OR1–OR4 while preserving historical labels on old records.</w:t>
      </w:r>
    </w:p>
    <w:tbl>
      <w:tblPr>
        <w:tblStyle w:val="TableGrid"/>
        <w:tblW w:type="auto" w:w="0"/>
        <w:jc w:val="center"/>
        <w:tblLook w:firstColumn="1" w:firstRow="1" w:lastColumn="0" w:lastRow="0" w:noHBand="0" w:noVBand="1" w:val="04A0"/>
      </w:tblPr>
      <w:tblGrid>
        <w:gridCol w:w="3447"/>
        <w:gridCol w:w="3447"/>
        <w:gridCol w:w="3447"/>
      </w:tblGrid>
      <w:tr>
        <w:tc>
          <w:tcPr>
            <w:tcW w:type="dxa" w:w="3447"/>
            <w:vAlign w:val="center"/>
            <w:shd w:fill="17365D"/>
          </w:tcPr>
          <w:p>
            <w:r/>
            <w:r>
              <w:rPr>
                <w:b/>
                <w:color w:val="FFFFFF"/>
                <w:sz w:val="15"/>
              </w:rPr>
              <w:t>Topic</w:t>
            </w:r>
          </w:p>
        </w:tc>
        <w:tc>
          <w:tcPr>
            <w:tcW w:type="dxa" w:w="3447"/>
            <w:vAlign w:val="center"/>
            <w:shd w:fill="17365D"/>
          </w:tcPr>
          <w:p>
            <w:r/>
            <w:r>
              <w:rPr>
                <w:b/>
                <w:color w:val="FFFFFF"/>
                <w:sz w:val="15"/>
              </w:rPr>
              <w:t>v1.0</w:t>
            </w:r>
          </w:p>
        </w:tc>
        <w:tc>
          <w:tcPr>
            <w:tcW w:type="dxa" w:w="3447"/>
            <w:vAlign w:val="center"/>
            <w:shd w:fill="17365D"/>
          </w:tcPr>
          <w:p>
            <w:r/>
            <w:r>
              <w:rPr>
                <w:b/>
                <w:color w:val="FFFFFF"/>
                <w:sz w:val="15"/>
              </w:rPr>
              <w:t>v1.1</w:t>
            </w:r>
          </w:p>
        </w:tc>
      </w:tr>
      <w:tr>
        <w:tc>
          <w:tcPr>
            <w:tcW w:type="dxa" w:w="3447"/>
            <w:vAlign w:val="center"/>
          </w:tcPr>
          <w:p>
            <w:r/>
            <w:r>
              <w:rPr>
                <w:b w:val="0"/>
                <w:sz w:val="14"/>
              </w:rPr>
              <w:t>Severity</w:t>
            </w:r>
          </w:p>
        </w:tc>
        <w:tc>
          <w:tcPr>
            <w:tcW w:type="dxa" w:w="3447"/>
            <w:vAlign w:val="center"/>
          </w:tcPr>
          <w:p>
            <w:r/>
            <w:r>
              <w:rPr>
                <w:b w:val="0"/>
                <w:sz w:val="14"/>
              </w:rPr>
              <w:t>Low/Medium/High/Critical</w:t>
            </w:r>
          </w:p>
        </w:tc>
        <w:tc>
          <w:tcPr>
            <w:tcW w:type="dxa" w:w="3447"/>
            <w:vAlign w:val="center"/>
          </w:tcPr>
          <w:p>
            <w:r/>
            <w:r>
              <w:rPr>
                <w:b w:val="0"/>
                <w:sz w:val="14"/>
              </w:rPr>
              <w:t>OR1–OR4</w:t>
            </w:r>
          </w:p>
        </w:tc>
      </w:tr>
      <w:tr>
        <w:tc>
          <w:tcPr>
            <w:tcW w:type="dxa" w:w="3447"/>
            <w:vAlign w:val="center"/>
          </w:tcPr>
          <w:p>
            <w:r/>
            <w:r>
              <w:rPr>
                <w:b w:val="0"/>
                <w:sz w:val="14"/>
              </w:rPr>
              <w:t>Near miss</w:t>
            </w:r>
          </w:p>
        </w:tc>
        <w:tc>
          <w:tcPr>
            <w:tcW w:type="dxa" w:w="3447"/>
            <w:vAlign w:val="center"/>
          </w:tcPr>
          <w:p>
            <w:r/>
            <w:r>
              <w:rPr>
                <w:b w:val="0"/>
                <w:sz w:val="14"/>
              </w:rPr>
              <w:t>Optional for low impact</w:t>
            </w:r>
          </w:p>
        </w:tc>
        <w:tc>
          <w:tcPr>
            <w:tcW w:type="dxa" w:w="3447"/>
            <w:vAlign w:val="center"/>
          </w:tcPr>
          <w:p>
            <w:r/>
            <w:r>
              <w:rPr>
                <w:b w:val="0"/>
                <w:sz w:val="14"/>
              </w:rPr>
              <w:t>Required where material/repeat control learning</w:t>
            </w:r>
          </w:p>
        </w:tc>
      </w:tr>
      <w:tr>
        <w:tc>
          <w:tcPr>
            <w:tcW w:type="dxa" w:w="3447"/>
            <w:vAlign w:val="center"/>
          </w:tcPr>
          <w:p>
            <w:r/>
            <w:r>
              <w:rPr>
                <w:b w:val="0"/>
                <w:sz w:val="14"/>
              </w:rPr>
              <w:t>Security/fraud link</w:t>
            </w:r>
          </w:p>
        </w:tc>
        <w:tc>
          <w:tcPr>
            <w:tcW w:type="dxa" w:w="3447"/>
            <w:vAlign w:val="center"/>
          </w:tcPr>
          <w:p>
            <w:r/>
            <w:r>
              <w:rPr>
                <w:b w:val="0"/>
                <w:sz w:val="14"/>
              </w:rPr>
              <w:t>Free-text cross reference</w:t>
            </w:r>
          </w:p>
        </w:tc>
        <w:tc>
          <w:tcPr>
            <w:tcW w:type="dxa" w:w="3447"/>
            <w:vAlign w:val="center"/>
          </w:tcPr>
          <w:p>
            <w:r/>
            <w:r>
              <w:rPr>
                <w:b w:val="0"/>
                <w:sz w:val="14"/>
              </w:rPr>
              <w:t>Controlled linked-case field</w:t>
            </w:r>
          </w:p>
        </w:tc>
      </w:tr>
      <w:tr>
        <w:tc>
          <w:tcPr>
            <w:tcW w:type="dxa" w:w="3447"/>
            <w:vAlign w:val="center"/>
          </w:tcPr>
          <w:p>
            <w:r/>
            <w:r>
              <w:rPr>
                <w:b w:val="0"/>
                <w:sz w:val="14"/>
              </w:rPr>
              <w:t>Customer remediation</w:t>
            </w:r>
          </w:p>
        </w:tc>
        <w:tc>
          <w:tcPr>
            <w:tcW w:type="dxa" w:w="3447"/>
            <w:vAlign w:val="center"/>
          </w:tcPr>
          <w:p>
            <w:r/>
            <w:r>
              <w:rPr>
                <w:b w:val="0"/>
                <w:sz w:val="14"/>
              </w:rPr>
              <w:t>Included in gross loss in some teams</w:t>
            </w:r>
          </w:p>
        </w:tc>
        <w:tc>
          <w:tcPr>
            <w:tcW w:type="dxa" w:w="3447"/>
            <w:vAlign w:val="center"/>
          </w:tcPr>
          <w:p>
            <w:r/>
            <w:r>
              <w:rPr>
                <w:b w:val="0"/>
                <w:sz w:val="14"/>
              </w:rPr>
              <w:t>Separate field from gross loss/recovery</w:t>
            </w:r>
          </w:p>
        </w:tc>
      </w:tr>
    </w:tbl>
    <w:p/>
    <w:p>
      <w:pPr>
        <w:pStyle w:val="Heading1"/>
      </w:pPr>
      <w:r>
        <w:t>29. Records</w:t>
      </w:r>
    </w:p>
    <w:p>
      <w:r>
        <w:t>Operational Risk retains the incident register, evidence, loss/recovery records, linked cases, RCA, action plans and closure validation.</w:t>
      </w:r>
    </w:p>
    <w:p>
      <w:pPr>
        <w:pStyle w:val="Heading1"/>
      </w:pPr>
      <w:r>
        <w:t>30. Management Information</w:t>
      </w:r>
    </w:p>
    <w:p>
      <w:r>
        <w:t>MI includes event count, OR3/OR4, gross loss, recoveries, customer remediation, near misses, repeat incidents, overdue actions, root causes, vendors, systems and business units.</w:t>
      </w:r>
    </w:p>
    <w:p>
      <w:r>
        <w:br w:type="page"/>
      </w:r>
    </w:p>
    <w:p>
      <w:pPr>
        <w:pStyle w:val="Heading1"/>
      </w:pPr>
      <w:r>
        <w:t>Appendix A — Severity Assessment Guide</w:t>
      </w:r>
    </w:p>
    <w:p>
      <w:r>
        <w:t>Use judgment; monetary amount alone does not determine severity.</w:t>
      </w:r>
    </w:p>
    <w:tbl>
      <w:tblPr>
        <w:tblStyle w:val="TableGrid"/>
        <w:tblW w:type="auto" w:w="0"/>
        <w:jc w:val="center"/>
        <w:tblLook w:firstColumn="1" w:firstRow="1" w:lastColumn="0" w:lastRow="0" w:noHBand="0" w:noVBand="1" w:val="04A0"/>
      </w:tblPr>
      <w:tblGrid>
        <w:gridCol w:w="2068"/>
        <w:gridCol w:w="2068"/>
        <w:gridCol w:w="2068"/>
        <w:gridCol w:w="2068"/>
        <w:gridCol w:w="2068"/>
      </w:tblGrid>
      <w:tr>
        <w:tc>
          <w:tcPr>
            <w:tcW w:type="dxa" w:w="2068"/>
            <w:vAlign w:val="center"/>
            <w:shd w:fill="17365D"/>
          </w:tcPr>
          <w:p>
            <w:r/>
            <w:r>
              <w:rPr>
                <w:b/>
                <w:color w:val="FFFFFF"/>
                <w:sz w:val="15"/>
              </w:rPr>
              <w:t>Factor</w:t>
            </w:r>
          </w:p>
        </w:tc>
        <w:tc>
          <w:tcPr>
            <w:tcW w:type="dxa" w:w="2068"/>
            <w:vAlign w:val="center"/>
            <w:shd w:fill="17365D"/>
          </w:tcPr>
          <w:p>
            <w:r/>
            <w:r>
              <w:rPr>
                <w:b/>
                <w:color w:val="FFFFFF"/>
                <w:sz w:val="15"/>
              </w:rPr>
              <w:t>OR1</w:t>
            </w:r>
          </w:p>
        </w:tc>
        <w:tc>
          <w:tcPr>
            <w:tcW w:type="dxa" w:w="2068"/>
            <w:vAlign w:val="center"/>
            <w:shd w:fill="17365D"/>
          </w:tcPr>
          <w:p>
            <w:r/>
            <w:r>
              <w:rPr>
                <w:b/>
                <w:color w:val="FFFFFF"/>
                <w:sz w:val="15"/>
              </w:rPr>
              <w:t>OR2</w:t>
            </w:r>
          </w:p>
        </w:tc>
        <w:tc>
          <w:tcPr>
            <w:tcW w:type="dxa" w:w="2068"/>
            <w:vAlign w:val="center"/>
            <w:shd w:fill="17365D"/>
          </w:tcPr>
          <w:p>
            <w:r/>
            <w:r>
              <w:rPr>
                <w:b/>
                <w:color w:val="FFFFFF"/>
                <w:sz w:val="15"/>
              </w:rPr>
              <w:t>OR3</w:t>
            </w:r>
          </w:p>
        </w:tc>
        <w:tc>
          <w:tcPr>
            <w:tcW w:type="dxa" w:w="2068"/>
            <w:vAlign w:val="center"/>
            <w:shd w:fill="17365D"/>
          </w:tcPr>
          <w:p>
            <w:r/>
            <w:r>
              <w:rPr>
                <w:b/>
                <w:color w:val="FFFFFF"/>
                <w:sz w:val="15"/>
              </w:rPr>
              <w:t>OR4</w:t>
            </w:r>
          </w:p>
        </w:tc>
      </w:tr>
      <w:tr>
        <w:tc>
          <w:tcPr>
            <w:tcW w:type="dxa" w:w="2068"/>
            <w:vAlign w:val="center"/>
          </w:tcPr>
          <w:p>
            <w:r/>
            <w:r>
              <w:rPr>
                <w:b w:val="0"/>
                <w:sz w:val="14"/>
              </w:rPr>
              <w:t>Customers</w:t>
            </w:r>
          </w:p>
        </w:tc>
        <w:tc>
          <w:tcPr>
            <w:tcW w:type="dxa" w:w="2068"/>
            <w:vAlign w:val="center"/>
          </w:tcPr>
          <w:p>
            <w:r/>
            <w:r>
              <w:rPr>
                <w:b w:val="0"/>
                <w:sz w:val="14"/>
              </w:rPr>
              <w:t>None/very limited</w:t>
            </w:r>
          </w:p>
        </w:tc>
        <w:tc>
          <w:tcPr>
            <w:tcW w:type="dxa" w:w="2068"/>
            <w:vAlign w:val="center"/>
          </w:tcPr>
          <w:p>
            <w:r/>
            <w:r>
              <w:rPr>
                <w:b w:val="0"/>
                <w:sz w:val="14"/>
              </w:rPr>
              <w:t>Limited group</w:t>
            </w:r>
          </w:p>
        </w:tc>
        <w:tc>
          <w:tcPr>
            <w:tcW w:type="dxa" w:w="2068"/>
            <w:vAlign w:val="center"/>
          </w:tcPr>
          <w:p>
            <w:r/>
            <w:r>
              <w:rPr>
                <w:b w:val="0"/>
                <w:sz w:val="14"/>
              </w:rPr>
              <w:t>Material group</w:t>
            </w:r>
          </w:p>
        </w:tc>
        <w:tc>
          <w:tcPr>
            <w:tcW w:type="dxa" w:w="2068"/>
            <w:vAlign w:val="center"/>
          </w:tcPr>
          <w:p>
            <w:r/>
            <w:r>
              <w:rPr>
                <w:b w:val="0"/>
                <w:sz w:val="14"/>
              </w:rPr>
              <w:t>Widespread/severe</w:t>
            </w:r>
          </w:p>
        </w:tc>
      </w:tr>
      <w:tr>
        <w:tc>
          <w:tcPr>
            <w:tcW w:type="dxa" w:w="2068"/>
            <w:vAlign w:val="center"/>
          </w:tcPr>
          <w:p>
            <w:r/>
            <w:r>
              <w:rPr>
                <w:b w:val="0"/>
                <w:sz w:val="14"/>
              </w:rPr>
              <w:t>Service</w:t>
            </w:r>
          </w:p>
        </w:tc>
        <w:tc>
          <w:tcPr>
            <w:tcW w:type="dxa" w:w="2068"/>
            <w:vAlign w:val="center"/>
          </w:tcPr>
          <w:p>
            <w:r/>
            <w:r>
              <w:rPr>
                <w:b w:val="0"/>
                <w:sz w:val="14"/>
              </w:rPr>
              <w:t>Minimal</w:t>
            </w:r>
          </w:p>
        </w:tc>
        <w:tc>
          <w:tcPr>
            <w:tcW w:type="dxa" w:w="2068"/>
            <w:vAlign w:val="center"/>
          </w:tcPr>
          <w:p>
            <w:r/>
            <w:r>
              <w:rPr>
                <w:b w:val="0"/>
                <w:sz w:val="14"/>
              </w:rPr>
              <w:t>Hours/local</w:t>
            </w:r>
          </w:p>
        </w:tc>
        <w:tc>
          <w:tcPr>
            <w:tcW w:type="dxa" w:w="2068"/>
            <w:vAlign w:val="center"/>
          </w:tcPr>
          <w:p>
            <w:r/>
            <w:r>
              <w:rPr>
                <w:b w:val="0"/>
                <w:sz w:val="14"/>
              </w:rPr>
              <w:t>Extended/material</w:t>
            </w:r>
          </w:p>
        </w:tc>
        <w:tc>
          <w:tcPr>
            <w:tcW w:type="dxa" w:w="2068"/>
            <w:vAlign w:val="center"/>
          </w:tcPr>
          <w:p>
            <w:r/>
            <w:r>
              <w:rPr>
                <w:b w:val="0"/>
                <w:sz w:val="14"/>
              </w:rPr>
              <w:t>Critical/systemic</w:t>
            </w:r>
          </w:p>
        </w:tc>
      </w:tr>
      <w:tr>
        <w:tc>
          <w:tcPr>
            <w:tcW w:type="dxa" w:w="2068"/>
            <w:vAlign w:val="center"/>
          </w:tcPr>
          <w:p>
            <w:r/>
            <w:r>
              <w:rPr>
                <w:b w:val="0"/>
                <w:sz w:val="14"/>
              </w:rPr>
              <w:t>Loss</w:t>
            </w:r>
          </w:p>
        </w:tc>
        <w:tc>
          <w:tcPr>
            <w:tcW w:type="dxa" w:w="2068"/>
            <w:vAlign w:val="center"/>
          </w:tcPr>
          <w:p>
            <w:r/>
            <w:r>
              <w:rPr>
                <w:b w:val="0"/>
                <w:sz w:val="14"/>
              </w:rPr>
              <w:t>Low</w:t>
            </w:r>
          </w:p>
        </w:tc>
        <w:tc>
          <w:tcPr>
            <w:tcW w:type="dxa" w:w="2068"/>
            <w:vAlign w:val="center"/>
          </w:tcPr>
          <w:p>
            <w:r/>
            <w:r>
              <w:rPr>
                <w:b w:val="0"/>
                <w:sz w:val="14"/>
              </w:rPr>
              <w:t>Moderate</w:t>
            </w:r>
          </w:p>
        </w:tc>
        <w:tc>
          <w:tcPr>
            <w:tcW w:type="dxa" w:w="2068"/>
            <w:vAlign w:val="center"/>
          </w:tcPr>
          <w:p>
            <w:r/>
            <w:r>
              <w:rPr>
                <w:b w:val="0"/>
                <w:sz w:val="14"/>
              </w:rPr>
              <w:t>Significant</w:t>
            </w:r>
          </w:p>
        </w:tc>
        <w:tc>
          <w:tcPr>
            <w:tcW w:type="dxa" w:w="2068"/>
            <w:vAlign w:val="center"/>
          </w:tcPr>
          <w:p>
            <w:r/>
            <w:r>
              <w:rPr>
                <w:b w:val="0"/>
                <w:sz w:val="14"/>
              </w:rPr>
              <w:t>Severe relative to context</w:t>
            </w:r>
          </w:p>
        </w:tc>
      </w:tr>
      <w:tr>
        <w:tc>
          <w:tcPr>
            <w:tcW w:type="dxa" w:w="2068"/>
            <w:vAlign w:val="center"/>
          </w:tcPr>
          <w:p>
            <w:r/>
            <w:r>
              <w:rPr>
                <w:b w:val="0"/>
                <w:sz w:val="14"/>
              </w:rPr>
              <w:t>Control</w:t>
            </w:r>
          </w:p>
        </w:tc>
        <w:tc>
          <w:tcPr>
            <w:tcW w:type="dxa" w:w="2068"/>
            <w:vAlign w:val="center"/>
          </w:tcPr>
          <w:p>
            <w:r/>
            <w:r>
              <w:rPr>
                <w:b w:val="0"/>
                <w:sz w:val="14"/>
              </w:rPr>
              <w:t>Isolated</w:t>
            </w:r>
          </w:p>
        </w:tc>
        <w:tc>
          <w:tcPr>
            <w:tcW w:type="dxa" w:w="2068"/>
            <w:vAlign w:val="center"/>
          </w:tcPr>
          <w:p>
            <w:r/>
            <w:r>
              <w:rPr>
                <w:b w:val="0"/>
                <w:sz w:val="14"/>
              </w:rPr>
              <w:t>Repeat/local weakness</w:t>
            </w:r>
          </w:p>
        </w:tc>
        <w:tc>
          <w:tcPr>
            <w:tcW w:type="dxa" w:w="2068"/>
            <w:vAlign w:val="center"/>
          </w:tcPr>
          <w:p>
            <w:r/>
            <w:r>
              <w:rPr>
                <w:b w:val="0"/>
                <w:sz w:val="14"/>
              </w:rPr>
              <w:t>Material failure</w:t>
            </w:r>
          </w:p>
        </w:tc>
        <w:tc>
          <w:tcPr>
            <w:tcW w:type="dxa" w:w="2068"/>
            <w:vAlign w:val="center"/>
          </w:tcPr>
          <w:p>
            <w:r/>
            <w:r>
              <w:rPr>
                <w:b w:val="0"/>
                <w:sz w:val="14"/>
              </w:rPr>
              <w:t>Systemic/intentional severe failure</w:t>
            </w:r>
          </w:p>
        </w:tc>
      </w:tr>
      <w:tr>
        <w:tc>
          <w:tcPr>
            <w:tcW w:type="dxa" w:w="2068"/>
            <w:vAlign w:val="center"/>
          </w:tcPr>
          <w:p>
            <w:r/>
            <w:r>
              <w:rPr>
                <w:b w:val="0"/>
                <w:sz w:val="14"/>
              </w:rPr>
              <w:t>External attention</w:t>
            </w:r>
          </w:p>
        </w:tc>
        <w:tc>
          <w:tcPr>
            <w:tcW w:type="dxa" w:w="2068"/>
            <w:vAlign w:val="center"/>
          </w:tcPr>
          <w:p>
            <w:r/>
            <w:r>
              <w:rPr>
                <w:b w:val="0"/>
                <w:sz w:val="14"/>
              </w:rPr>
              <w:t>None</w:t>
            </w:r>
          </w:p>
        </w:tc>
        <w:tc>
          <w:tcPr>
            <w:tcW w:type="dxa" w:w="2068"/>
            <w:vAlign w:val="center"/>
          </w:tcPr>
          <w:p>
            <w:r/>
            <w:r>
              <w:rPr>
                <w:b w:val="0"/>
                <w:sz w:val="14"/>
              </w:rPr>
              <w:t>Unlikely</w:t>
            </w:r>
          </w:p>
        </w:tc>
        <w:tc>
          <w:tcPr>
            <w:tcW w:type="dxa" w:w="2068"/>
            <w:vAlign w:val="center"/>
          </w:tcPr>
          <w:p>
            <w:r/>
            <w:r>
              <w:rPr>
                <w:b w:val="0"/>
                <w:sz w:val="14"/>
              </w:rPr>
              <w:t>Possible/material</w:t>
            </w:r>
          </w:p>
        </w:tc>
        <w:tc>
          <w:tcPr>
            <w:tcW w:type="dxa" w:w="2068"/>
            <w:vAlign w:val="center"/>
          </w:tcPr>
          <w:p>
            <w:r/>
            <w:r>
              <w:rPr>
                <w:b w:val="0"/>
                <w:sz w:val="14"/>
              </w:rPr>
              <w:t>Immediate executive/external concern</w:t>
            </w:r>
          </w:p>
        </w:tc>
      </w:tr>
    </w:tbl>
    <w:p/>
    <w:p>
      <w:r>
        <w:br w:type="page"/>
      </w:r>
    </w:p>
    <w:p>
      <w:pPr>
        <w:pStyle w:val="Heading1"/>
      </w:pPr>
      <w:r>
        <w:t>Appendix B — Root Cause Categories</w:t>
      </w:r>
    </w:p>
    <w:p>
      <w:r>
        <w:t>Avoid overusing “human error.”</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Category</w:t>
            </w:r>
          </w:p>
        </w:tc>
        <w:tc>
          <w:tcPr>
            <w:tcW w:type="dxa" w:w="5170"/>
            <w:vAlign w:val="center"/>
            <w:shd w:fill="17365D"/>
          </w:tcPr>
          <w:p>
            <w:r/>
            <w:r>
              <w:rPr>
                <w:b/>
                <w:color w:val="FFFFFF"/>
                <w:sz w:val="15"/>
              </w:rPr>
              <w:t>Questions</w:t>
            </w:r>
          </w:p>
        </w:tc>
      </w:tr>
      <w:tr>
        <w:tc>
          <w:tcPr>
            <w:tcW w:type="dxa" w:w="5170"/>
            <w:vAlign w:val="center"/>
          </w:tcPr>
          <w:p>
            <w:r/>
            <w:r>
              <w:rPr>
                <w:b w:val="0"/>
                <w:sz w:val="14"/>
              </w:rPr>
              <w:t>Process</w:t>
            </w:r>
          </w:p>
        </w:tc>
        <w:tc>
          <w:tcPr>
            <w:tcW w:type="dxa" w:w="5170"/>
            <w:vAlign w:val="center"/>
          </w:tcPr>
          <w:p>
            <w:r/>
            <w:r>
              <w:rPr>
                <w:b w:val="0"/>
                <w:sz w:val="14"/>
              </w:rPr>
              <w:t>Was workflow clear, feasible and maker-checker controlled?</w:t>
            </w:r>
          </w:p>
        </w:tc>
      </w:tr>
      <w:tr>
        <w:tc>
          <w:tcPr>
            <w:tcW w:type="dxa" w:w="5170"/>
            <w:vAlign w:val="center"/>
          </w:tcPr>
          <w:p>
            <w:r/>
            <w:r>
              <w:rPr>
                <w:b w:val="0"/>
                <w:sz w:val="14"/>
              </w:rPr>
              <w:t>System</w:t>
            </w:r>
          </w:p>
        </w:tc>
        <w:tc>
          <w:tcPr>
            <w:tcW w:type="dxa" w:w="5170"/>
            <w:vAlign w:val="center"/>
          </w:tcPr>
          <w:p>
            <w:r/>
            <w:r>
              <w:rPr>
                <w:b w:val="0"/>
                <w:sz w:val="14"/>
              </w:rPr>
              <w:t>Did design/configuration/interface contribute?</w:t>
            </w:r>
          </w:p>
        </w:tc>
      </w:tr>
      <w:tr>
        <w:tc>
          <w:tcPr>
            <w:tcW w:type="dxa" w:w="5170"/>
            <w:vAlign w:val="center"/>
          </w:tcPr>
          <w:p>
            <w:r/>
            <w:r>
              <w:rPr>
                <w:b w:val="0"/>
                <w:sz w:val="14"/>
              </w:rPr>
              <w:t>People</w:t>
            </w:r>
          </w:p>
        </w:tc>
        <w:tc>
          <w:tcPr>
            <w:tcW w:type="dxa" w:w="5170"/>
            <w:vAlign w:val="center"/>
          </w:tcPr>
          <w:p>
            <w:r/>
            <w:r>
              <w:rPr>
                <w:b w:val="0"/>
                <w:sz w:val="14"/>
              </w:rPr>
              <w:t>Was access, workload, training or supervision adequate?</w:t>
            </w:r>
          </w:p>
        </w:tc>
      </w:tr>
      <w:tr>
        <w:tc>
          <w:tcPr>
            <w:tcW w:type="dxa" w:w="5170"/>
            <w:vAlign w:val="center"/>
          </w:tcPr>
          <w:p>
            <w:r/>
            <w:r>
              <w:rPr>
                <w:b w:val="0"/>
                <w:sz w:val="14"/>
              </w:rPr>
              <w:t>Change</w:t>
            </w:r>
          </w:p>
        </w:tc>
        <w:tc>
          <w:tcPr>
            <w:tcW w:type="dxa" w:w="5170"/>
            <w:vAlign w:val="center"/>
          </w:tcPr>
          <w:p>
            <w:r/>
            <w:r>
              <w:rPr>
                <w:b w:val="0"/>
                <w:sz w:val="14"/>
              </w:rPr>
              <w:t>Was testing/approval/rollback adequate?</w:t>
            </w:r>
          </w:p>
        </w:tc>
      </w:tr>
      <w:tr>
        <w:tc>
          <w:tcPr>
            <w:tcW w:type="dxa" w:w="5170"/>
            <w:vAlign w:val="center"/>
          </w:tcPr>
          <w:p>
            <w:r/>
            <w:r>
              <w:rPr>
                <w:b w:val="0"/>
                <w:sz w:val="14"/>
              </w:rPr>
              <w:t>Vendor</w:t>
            </w:r>
          </w:p>
        </w:tc>
        <w:tc>
          <w:tcPr>
            <w:tcW w:type="dxa" w:w="5170"/>
            <w:vAlign w:val="center"/>
          </w:tcPr>
          <w:p>
            <w:r/>
            <w:r>
              <w:rPr>
                <w:b w:val="0"/>
                <w:sz w:val="14"/>
              </w:rPr>
              <w:t>Did third-party design/performance contribute?</w:t>
            </w:r>
          </w:p>
        </w:tc>
      </w:tr>
      <w:tr>
        <w:tc>
          <w:tcPr>
            <w:tcW w:type="dxa" w:w="5170"/>
            <w:vAlign w:val="center"/>
          </w:tcPr>
          <w:p>
            <w:r/>
            <w:r>
              <w:rPr>
                <w:b w:val="0"/>
                <w:sz w:val="14"/>
              </w:rPr>
              <w:t>Governance</w:t>
            </w:r>
          </w:p>
        </w:tc>
        <w:tc>
          <w:tcPr>
            <w:tcW w:type="dxa" w:w="5170"/>
            <w:vAlign w:val="center"/>
          </w:tcPr>
          <w:p>
            <w:r/>
            <w:r>
              <w:rPr>
                <w:b w:val="0"/>
                <w:sz w:val="14"/>
              </w:rPr>
              <w:t>Was ownership/escalation/authority clear?</w:t>
            </w:r>
          </w:p>
        </w:tc>
      </w:tr>
      <w:tr>
        <w:tc>
          <w:tcPr>
            <w:tcW w:type="dxa" w:w="5170"/>
            <w:vAlign w:val="center"/>
          </w:tcPr>
          <w:p>
            <w:r/>
            <w:r>
              <w:rPr>
                <w:b w:val="0"/>
                <w:sz w:val="14"/>
              </w:rPr>
              <w:t>Data</w:t>
            </w:r>
          </w:p>
        </w:tc>
        <w:tc>
          <w:tcPr>
            <w:tcW w:type="dxa" w:w="5170"/>
            <w:vAlign w:val="center"/>
          </w:tcPr>
          <w:p>
            <w:r/>
            <w:r>
              <w:rPr>
                <w:b w:val="0"/>
                <w:sz w:val="14"/>
              </w:rPr>
              <w:t>Was source, mapping, quality or reconciliation defective?</w:t>
            </w:r>
          </w:p>
        </w:tc>
      </w:tr>
    </w:tbl>
    <w:p/>
    <w:p>
      <w:r>
        <w:br w:type="page"/>
      </w:r>
    </w:p>
    <w:p>
      <w:pPr>
        <w:pStyle w:val="Heading1"/>
      </w:pPr>
      <w:r>
        <w:t>Appendix C — Incident Register Fields</w:t>
      </w:r>
    </w:p>
    <w:p>
      <w:r>
        <w:t>Operational workbook contains detailed records.</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Field</w:t>
            </w:r>
          </w:p>
        </w:tc>
        <w:tc>
          <w:tcPr>
            <w:tcW w:type="dxa" w:w="5170"/>
            <w:vAlign w:val="center"/>
            <w:shd w:fill="17365D"/>
          </w:tcPr>
          <w:p>
            <w:r/>
            <w:r>
              <w:rPr>
                <w:b/>
                <w:color w:val="FFFFFF"/>
                <w:sz w:val="15"/>
              </w:rPr>
              <w:t>Description</w:t>
            </w:r>
          </w:p>
        </w:tc>
      </w:tr>
      <w:tr>
        <w:tc>
          <w:tcPr>
            <w:tcW w:type="dxa" w:w="5170"/>
            <w:vAlign w:val="center"/>
          </w:tcPr>
          <w:p>
            <w:r/>
            <w:r>
              <w:rPr>
                <w:b w:val="0"/>
                <w:sz w:val="14"/>
              </w:rPr>
              <w:t>Incident ID</w:t>
            </w:r>
          </w:p>
        </w:tc>
        <w:tc>
          <w:tcPr>
            <w:tcW w:type="dxa" w:w="5170"/>
            <w:vAlign w:val="center"/>
          </w:tcPr>
          <w:p>
            <w:r/>
            <w:r>
              <w:rPr>
                <w:b w:val="0"/>
                <w:sz w:val="14"/>
              </w:rPr>
              <w:t>Unique event reference.</w:t>
            </w:r>
          </w:p>
        </w:tc>
      </w:tr>
      <w:tr>
        <w:tc>
          <w:tcPr>
            <w:tcW w:type="dxa" w:w="5170"/>
            <w:vAlign w:val="center"/>
          </w:tcPr>
          <w:p>
            <w:r/>
            <w:r>
              <w:rPr>
                <w:b w:val="0"/>
                <w:sz w:val="14"/>
              </w:rPr>
              <w:t>Event Date</w:t>
            </w:r>
          </w:p>
        </w:tc>
        <w:tc>
          <w:tcPr>
            <w:tcW w:type="dxa" w:w="5170"/>
            <w:vAlign w:val="center"/>
          </w:tcPr>
          <w:p>
            <w:r/>
            <w:r>
              <w:rPr>
                <w:b w:val="0"/>
                <w:sz w:val="14"/>
              </w:rPr>
              <w:t>When event occurred.</w:t>
            </w:r>
          </w:p>
        </w:tc>
      </w:tr>
      <w:tr>
        <w:tc>
          <w:tcPr>
            <w:tcW w:type="dxa" w:w="5170"/>
            <w:vAlign w:val="center"/>
          </w:tcPr>
          <w:p>
            <w:r/>
            <w:r>
              <w:rPr>
                <w:b w:val="0"/>
                <w:sz w:val="14"/>
              </w:rPr>
              <w:t>Awareness Date</w:t>
            </w:r>
          </w:p>
        </w:tc>
        <w:tc>
          <w:tcPr>
            <w:tcW w:type="dxa" w:w="5170"/>
            <w:vAlign w:val="center"/>
          </w:tcPr>
          <w:p>
            <w:r/>
            <w:r>
              <w:rPr>
                <w:b w:val="0"/>
                <w:sz w:val="14"/>
              </w:rPr>
              <w:t>When Northstar became aware.</w:t>
            </w:r>
          </w:p>
        </w:tc>
      </w:tr>
      <w:tr>
        <w:tc>
          <w:tcPr>
            <w:tcW w:type="dxa" w:w="5170"/>
            <w:vAlign w:val="center"/>
          </w:tcPr>
          <w:p>
            <w:r/>
            <w:r>
              <w:rPr>
                <w:b w:val="0"/>
                <w:sz w:val="14"/>
              </w:rPr>
              <w:t>Business Unit</w:t>
            </w:r>
          </w:p>
        </w:tc>
        <w:tc>
          <w:tcPr>
            <w:tcW w:type="dxa" w:w="5170"/>
            <w:vAlign w:val="center"/>
          </w:tcPr>
          <w:p>
            <w:r/>
            <w:r>
              <w:rPr>
                <w:b w:val="0"/>
                <w:sz w:val="14"/>
              </w:rPr>
              <w:t>Primary affected area.</w:t>
            </w:r>
          </w:p>
        </w:tc>
      </w:tr>
      <w:tr>
        <w:tc>
          <w:tcPr>
            <w:tcW w:type="dxa" w:w="5170"/>
            <w:vAlign w:val="center"/>
          </w:tcPr>
          <w:p>
            <w:r/>
            <w:r>
              <w:rPr>
                <w:b w:val="0"/>
                <w:sz w:val="14"/>
              </w:rPr>
              <w:t>Category</w:t>
            </w:r>
          </w:p>
        </w:tc>
        <w:tc>
          <w:tcPr>
            <w:tcW w:type="dxa" w:w="5170"/>
            <w:vAlign w:val="center"/>
          </w:tcPr>
          <w:p>
            <w:r/>
            <w:r>
              <w:rPr>
                <w:b w:val="0"/>
                <w:sz w:val="14"/>
              </w:rPr>
              <w:t>Operational-risk category.</w:t>
            </w:r>
          </w:p>
        </w:tc>
      </w:tr>
      <w:tr>
        <w:tc>
          <w:tcPr>
            <w:tcW w:type="dxa" w:w="5170"/>
            <w:vAlign w:val="center"/>
          </w:tcPr>
          <w:p>
            <w:r/>
            <w:r>
              <w:rPr>
                <w:b w:val="0"/>
                <w:sz w:val="14"/>
              </w:rPr>
              <w:t>Severity</w:t>
            </w:r>
          </w:p>
        </w:tc>
        <w:tc>
          <w:tcPr>
            <w:tcW w:type="dxa" w:w="5170"/>
            <w:vAlign w:val="center"/>
          </w:tcPr>
          <w:p>
            <w:r/>
            <w:r>
              <w:rPr>
                <w:b w:val="0"/>
                <w:sz w:val="14"/>
              </w:rPr>
              <w:t>OR1–OR4.</w:t>
            </w:r>
          </w:p>
        </w:tc>
      </w:tr>
      <w:tr>
        <w:tc>
          <w:tcPr>
            <w:tcW w:type="dxa" w:w="5170"/>
            <w:vAlign w:val="center"/>
          </w:tcPr>
          <w:p>
            <w:r/>
            <w:r>
              <w:rPr>
                <w:b w:val="0"/>
                <w:sz w:val="14"/>
              </w:rPr>
              <w:t>Gross Loss</w:t>
            </w:r>
          </w:p>
        </w:tc>
        <w:tc>
          <w:tcPr>
            <w:tcW w:type="dxa" w:w="5170"/>
            <w:vAlign w:val="center"/>
          </w:tcPr>
          <w:p>
            <w:r/>
            <w:r>
              <w:rPr>
                <w:b w:val="0"/>
                <w:sz w:val="14"/>
              </w:rPr>
              <w:t>Realized loss before recovery.</w:t>
            </w:r>
          </w:p>
        </w:tc>
      </w:tr>
      <w:tr>
        <w:tc>
          <w:tcPr>
            <w:tcW w:type="dxa" w:w="5170"/>
            <w:vAlign w:val="center"/>
          </w:tcPr>
          <w:p>
            <w:r/>
            <w:r>
              <w:rPr>
                <w:b w:val="0"/>
                <w:sz w:val="14"/>
              </w:rPr>
              <w:t>Recovery</w:t>
            </w:r>
          </w:p>
        </w:tc>
        <w:tc>
          <w:tcPr>
            <w:tcW w:type="dxa" w:w="5170"/>
            <w:vAlign w:val="center"/>
          </w:tcPr>
          <w:p>
            <w:r/>
            <w:r>
              <w:rPr>
                <w:b w:val="0"/>
                <w:sz w:val="14"/>
              </w:rPr>
              <w:t>Recovered amount.</w:t>
            </w:r>
          </w:p>
        </w:tc>
      </w:tr>
      <w:tr>
        <w:tc>
          <w:tcPr>
            <w:tcW w:type="dxa" w:w="5170"/>
            <w:vAlign w:val="center"/>
          </w:tcPr>
          <w:p>
            <w:r/>
            <w:r>
              <w:rPr>
                <w:b w:val="0"/>
                <w:sz w:val="14"/>
              </w:rPr>
              <w:t>Customer Remediation</w:t>
            </w:r>
          </w:p>
        </w:tc>
        <w:tc>
          <w:tcPr>
            <w:tcW w:type="dxa" w:w="5170"/>
            <w:vAlign w:val="center"/>
          </w:tcPr>
          <w:p>
            <w:r/>
            <w:r>
              <w:rPr>
                <w:b w:val="0"/>
                <w:sz w:val="14"/>
              </w:rPr>
              <w:t>Separate remediation amount.</w:t>
            </w:r>
          </w:p>
        </w:tc>
      </w:tr>
      <w:tr>
        <w:tc>
          <w:tcPr>
            <w:tcW w:type="dxa" w:w="5170"/>
            <w:vAlign w:val="center"/>
          </w:tcPr>
          <w:p>
            <w:r/>
            <w:r>
              <w:rPr>
                <w:b w:val="0"/>
                <w:sz w:val="14"/>
              </w:rPr>
              <w:t>Near Miss</w:t>
            </w:r>
          </w:p>
        </w:tc>
        <w:tc>
          <w:tcPr>
            <w:tcW w:type="dxa" w:w="5170"/>
            <w:vAlign w:val="center"/>
          </w:tcPr>
          <w:p>
            <w:r/>
            <w:r>
              <w:rPr>
                <w:b w:val="0"/>
                <w:sz w:val="14"/>
              </w:rPr>
              <w:t>Yes/No.</w:t>
            </w:r>
          </w:p>
        </w:tc>
      </w:tr>
      <w:tr>
        <w:tc>
          <w:tcPr>
            <w:tcW w:type="dxa" w:w="5170"/>
            <w:vAlign w:val="center"/>
          </w:tcPr>
          <w:p>
            <w:r/>
            <w:r>
              <w:rPr>
                <w:b w:val="0"/>
                <w:sz w:val="14"/>
              </w:rPr>
              <w:t>Root Cause</w:t>
            </w:r>
          </w:p>
        </w:tc>
        <w:tc>
          <w:tcPr>
            <w:tcW w:type="dxa" w:w="5170"/>
            <w:vAlign w:val="center"/>
          </w:tcPr>
          <w:p>
            <w:r/>
            <w:r>
              <w:rPr>
                <w:b w:val="0"/>
                <w:sz w:val="14"/>
              </w:rPr>
              <w:t>Controlled category.</w:t>
            </w:r>
          </w:p>
        </w:tc>
      </w:tr>
      <w:tr>
        <w:tc>
          <w:tcPr>
            <w:tcW w:type="dxa" w:w="5170"/>
            <w:vAlign w:val="center"/>
          </w:tcPr>
          <w:p>
            <w:r/>
            <w:r>
              <w:rPr>
                <w:b w:val="0"/>
                <w:sz w:val="14"/>
              </w:rPr>
              <w:t>Linked Cases</w:t>
            </w:r>
          </w:p>
        </w:tc>
        <w:tc>
          <w:tcPr>
            <w:tcW w:type="dxa" w:w="5170"/>
            <w:vAlign w:val="center"/>
          </w:tcPr>
          <w:p>
            <w:r/>
            <w:r>
              <w:rPr>
                <w:b w:val="0"/>
                <w:sz w:val="14"/>
              </w:rPr>
              <w:t>Security/compliance/fraud/complaint/BCP.</w:t>
            </w:r>
          </w:p>
        </w:tc>
      </w:tr>
      <w:tr>
        <w:tc>
          <w:tcPr>
            <w:tcW w:type="dxa" w:w="5170"/>
            <w:vAlign w:val="center"/>
          </w:tcPr>
          <w:p>
            <w:r/>
            <w:r>
              <w:rPr>
                <w:b w:val="0"/>
                <w:sz w:val="14"/>
              </w:rPr>
              <w:t>Actions</w:t>
            </w:r>
          </w:p>
        </w:tc>
        <w:tc>
          <w:tcPr>
            <w:tcW w:type="dxa" w:w="5170"/>
            <w:vAlign w:val="center"/>
          </w:tcPr>
          <w:p>
            <w:r/>
            <w:r>
              <w:rPr>
                <w:b w:val="0"/>
                <w:sz w:val="14"/>
              </w:rPr>
              <w:t>Owner and due date.</w:t>
            </w:r>
          </w:p>
        </w:tc>
      </w:tr>
      <w:tr>
        <w:tc>
          <w:tcPr>
            <w:tcW w:type="dxa" w:w="5170"/>
            <w:vAlign w:val="center"/>
          </w:tcPr>
          <w:p>
            <w:r/>
            <w:r>
              <w:rPr>
                <w:b w:val="0"/>
                <w:sz w:val="14"/>
              </w:rPr>
              <w:t>Status</w:t>
            </w:r>
          </w:p>
        </w:tc>
        <w:tc>
          <w:tcPr>
            <w:tcW w:type="dxa" w:w="5170"/>
            <w:vAlign w:val="center"/>
          </w:tcPr>
          <w:p>
            <w:r/>
            <w:r>
              <w:rPr>
                <w:b w:val="0"/>
                <w:sz w:val="14"/>
              </w:rPr>
              <w:t>Open/contained/RCA/action/closed.</w:t>
            </w:r>
          </w:p>
        </w:tc>
      </w:tr>
    </w:tbl>
    <w:p/>
    <w:p>
      <w:r>
        <w:br w:type="page"/>
      </w:r>
    </w:p>
    <w:p>
      <w:pPr>
        <w:pStyle w:val="Heading1"/>
      </w:pPr>
      <w:r>
        <w:t>Appendix D — Edge Cases</w:t>
      </w:r>
    </w:p>
    <w:p>
      <w:r>
        <w:t>These examples show why classifications stay separate.</w:t>
      </w:r>
    </w:p>
    <w:tbl>
      <w:tblPr>
        <w:tblStyle w:val="TableGrid"/>
        <w:tblW w:type="auto" w:w="0"/>
        <w:jc w:val="center"/>
        <w:tblLook w:firstColumn="1" w:firstRow="1" w:lastColumn="0" w:lastRow="0" w:noHBand="0" w:noVBand="1" w:val="04A0"/>
      </w:tblPr>
      <w:tblGrid>
        <w:gridCol w:w="5170"/>
        <w:gridCol w:w="5170"/>
      </w:tblGrid>
      <w:tr>
        <w:tc>
          <w:tcPr>
            <w:tcW w:type="dxa" w:w="5170"/>
            <w:vAlign w:val="center"/>
            <w:shd w:fill="17365D"/>
          </w:tcPr>
          <w:p>
            <w:r/>
            <w:r>
              <w:rPr>
                <w:b/>
                <w:color w:val="FFFFFF"/>
                <w:sz w:val="15"/>
              </w:rPr>
              <w:t>Scenario</w:t>
            </w:r>
          </w:p>
        </w:tc>
        <w:tc>
          <w:tcPr>
            <w:tcW w:type="dxa" w:w="5170"/>
            <w:vAlign w:val="center"/>
            <w:shd w:fill="17365D"/>
          </w:tcPr>
          <w:p>
            <w:r/>
            <w:r>
              <w:rPr>
                <w:b/>
                <w:color w:val="FFFFFF"/>
                <w:sz w:val="15"/>
              </w:rPr>
              <w:t>Treatment</w:t>
            </w:r>
          </w:p>
        </w:tc>
      </w:tr>
      <w:tr>
        <w:tc>
          <w:tcPr>
            <w:tcW w:type="dxa" w:w="5170"/>
            <w:vAlign w:val="center"/>
          </w:tcPr>
          <w:p>
            <w:r/>
            <w:r>
              <w:rPr>
                <w:b w:val="0"/>
                <w:sz w:val="14"/>
              </w:rPr>
              <w:t>SEV-2 cyber event with no financial loss</w:t>
            </w:r>
          </w:p>
        </w:tc>
        <w:tc>
          <w:tcPr>
            <w:tcW w:type="dxa" w:w="5170"/>
            <w:vAlign w:val="center"/>
          </w:tcPr>
          <w:p>
            <w:r/>
            <w:r>
              <w:rPr>
                <w:b w:val="0"/>
                <w:sz w:val="14"/>
              </w:rPr>
              <w:t>Security case required; OR incident if service/control impact meets threshold.</w:t>
            </w:r>
          </w:p>
        </w:tc>
      </w:tr>
      <w:tr>
        <w:tc>
          <w:tcPr>
            <w:tcW w:type="dxa" w:w="5170"/>
            <w:vAlign w:val="center"/>
          </w:tcPr>
          <w:p>
            <w:r/>
            <w:r>
              <w:rPr>
                <w:b w:val="0"/>
                <w:sz w:val="14"/>
              </w:rPr>
              <w:t>Small duplicate payment caught by checker</w:t>
            </w:r>
          </w:p>
        </w:tc>
        <w:tc>
          <w:tcPr>
            <w:tcW w:type="dxa" w:w="5170"/>
            <w:vAlign w:val="center"/>
          </w:tcPr>
          <w:p>
            <w:r/>
            <w:r>
              <w:rPr>
                <w:b w:val="0"/>
                <w:sz w:val="14"/>
              </w:rPr>
              <w:t>Near miss may be recorded if control learning/repeat pattern warrants it.</w:t>
            </w:r>
          </w:p>
        </w:tc>
      </w:tr>
      <w:tr>
        <w:tc>
          <w:tcPr>
            <w:tcW w:type="dxa" w:w="5170"/>
            <w:vAlign w:val="center"/>
          </w:tcPr>
          <w:p>
            <w:r/>
            <w:r>
              <w:rPr>
                <w:b w:val="0"/>
                <w:sz w:val="14"/>
              </w:rPr>
              <w:t>Vendor outage breaches SLA but customers unaffected</w:t>
            </w:r>
          </w:p>
        </w:tc>
        <w:tc>
          <w:tcPr>
            <w:tcW w:type="dxa" w:w="5170"/>
            <w:vAlign w:val="center"/>
          </w:tcPr>
          <w:p>
            <w:r/>
            <w:r>
              <w:rPr>
                <w:b w:val="0"/>
                <w:sz w:val="14"/>
              </w:rPr>
              <w:t>Vendor issue; OR severity depends on actual/potential impact and control learning.</w:t>
            </w:r>
          </w:p>
        </w:tc>
      </w:tr>
      <w:tr>
        <w:tc>
          <w:tcPr>
            <w:tcW w:type="dxa" w:w="5170"/>
            <w:vAlign w:val="center"/>
          </w:tcPr>
          <w:p>
            <w:r/>
            <w:r>
              <w:rPr>
                <w:b w:val="0"/>
                <w:sz w:val="14"/>
              </w:rPr>
              <w:t>Fraud attempt prevented before disbursement</w:t>
            </w:r>
          </w:p>
        </w:tc>
        <w:tc>
          <w:tcPr>
            <w:tcW w:type="dxa" w:w="5170"/>
            <w:vAlign w:val="center"/>
          </w:tcPr>
          <w:p>
            <w:r/>
            <w:r>
              <w:rPr>
                <w:b w:val="0"/>
                <w:sz w:val="14"/>
              </w:rPr>
              <w:t>Fraud case; OR near miss if material process/control issue.</w:t>
            </w:r>
          </w:p>
        </w:tc>
      </w:tr>
      <w:tr>
        <w:tc>
          <w:tcPr>
            <w:tcW w:type="dxa" w:w="5170"/>
            <w:vAlign w:val="center"/>
          </w:tcPr>
          <w:p>
            <w:r/>
            <w:r>
              <w:rPr>
                <w:b w:val="0"/>
                <w:sz w:val="14"/>
              </w:rPr>
              <w:t>Complaint reveals repeated manual calculation error</w:t>
            </w:r>
          </w:p>
        </w:tc>
        <w:tc>
          <w:tcPr>
            <w:tcW w:type="dxa" w:w="5170"/>
            <w:vAlign w:val="center"/>
          </w:tcPr>
          <w:p>
            <w:r/>
            <w:r>
              <w:rPr>
                <w:b w:val="0"/>
                <w:sz w:val="14"/>
              </w:rPr>
              <w:t>Complaint + possible compliance breach + OR incident/root-cause action.</w:t>
            </w:r>
          </w:p>
        </w:tc>
      </w:tr>
    </w:tbl>
    <w:p/>
    <w:sectPr w:rsidR="00FC693F" w:rsidRPr="0006063C" w:rsidSect="00034616">
      <w:headerReference w:type="default" r:id="rId9"/>
      <w:footerReference w:type="default" r:id="rId10"/>
      <w:pgSz w:w="12240" w:h="15840"/>
      <w:pgMar w:top="864" w:right="950" w:bottom="821"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2"/>
      </w:rPr>
      <w:t>Northstar Financial — Synthetic Internal Document. This document is fictional and created solely for educational and software-development purposes. It does not represent an actual financial institution, regulatory requirement, legal obligation, or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NORTHSTAR FINANCIAL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