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w:hAnsi="Aptos"/>
          <w:b/>
          <w:color w:val="17365D"/>
          <w:sz w:val="30"/>
        </w:rPr>
        <w:t>NORTHSTAR FINANCIAL</w:t>
      </w:r>
    </w:p>
    <w:p>
      <w:pPr>
        <w:spacing w:before="440"/>
        <w:jc w:val="center"/>
      </w:pPr>
      <w:r>
        <w:rPr>
          <w:rFonts w:ascii="Aptos" w:hAnsi="Aptos"/>
          <w:b/>
          <w:color w:val="17365D"/>
          <w:sz w:val="48"/>
        </w:rPr>
        <w:t>Risk Appetite Statement</w:t>
      </w:r>
    </w:p>
    <w:p>
      <w:pPr>
        <w:spacing w:before="160"/>
        <w:jc w:val="center"/>
      </w:pPr>
      <w:r>
        <w:rPr>
          <w:rFonts w:ascii="Aptos" w:hAnsi="Aptos"/>
          <w:b/>
          <w:color w:val="365F91"/>
          <w:sz w:val="26"/>
        </w:rPr>
        <w:t>RAS-009</w:t>
      </w:r>
    </w:p>
    <w:p>
      <w:pPr>
        <w:jc w:val="center"/>
      </w:pPr>
      <w:r>
        <w:rPr>
          <w:rFonts w:ascii="Aptos" w:hAnsi="Aptos"/>
          <w:color w:val="666666"/>
          <w:sz w:val="21"/>
        </w:rPr>
        <w:t>Version 1.5  |  Effective 1 December 2025</w:t>
      </w:r>
    </w:p>
    <w:p>
      <w:pPr>
        <w:jc w:val="center"/>
      </w:pPr>
      <w:r>
        <w:rPr>
          <w:rFonts w:ascii="Aptos" w:hAnsi="Aptos"/>
          <w:b/>
          <w:color w:val="666666"/>
          <w:sz w:val="18"/>
        </w:rPr>
        <w:t>Classification: INTERNAL — CONTROLLED</w:t>
      </w:r>
    </w:p>
    <w:p/>
    <w:p>
      <w:pPr>
        <w:ind w:left="504" w:right="504"/>
        <w:jc w:val="center"/>
      </w:pPr>
      <w:r>
        <w:rPr>
          <w:rFonts w:ascii="Aptos" w:hAnsi="Aptos"/>
          <w:i/>
          <w:color w:val="666666"/>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448"/>
            <w:shd w:fill="17365D"/>
            <w:vAlign w:val="center"/>
            <w:tcMar>
              <w:top w:w="80" w:type="dxa"/>
              <w:start w:w="90" w:type="dxa"/>
              <w:bottom w:w="80" w:type="dxa"/>
              <w:end w:w="90" w:type="dxa"/>
            </w:tcMar>
          </w:tcPr>
          <w:p>
            <w:r>
              <w:rPr>
                <w:rFonts w:ascii="Aptos" w:hAnsi="Aptos"/>
                <w:b/>
                <w:color w:val="FFFFFF"/>
                <w:sz w:val="17"/>
              </w:rPr>
              <w:t>Field</w:t>
            </w:r>
          </w:p>
        </w:tc>
        <w:tc>
          <w:tcPr>
            <w:tcW w:type="dxa" w:w="7920"/>
            <w:shd w:fill="17365D"/>
            <w:vAlign w:val="center"/>
            <w:tcMar>
              <w:top w:w="80" w:type="dxa"/>
              <w:start w:w="90" w:type="dxa"/>
              <w:bottom w:w="80" w:type="dxa"/>
              <w:end w:w="90" w:type="dxa"/>
            </w:tcMar>
          </w:tcPr>
          <w:p>
            <w:r>
              <w:rPr>
                <w:rFonts w:ascii="Aptos" w:hAnsi="Aptos"/>
                <w:b/>
                <w:color w:val="FFFFFF"/>
                <w:sz w:val="17"/>
              </w:rPr>
              <w:t>Controlled Value</w:t>
            </w:r>
          </w:p>
        </w:tc>
      </w:tr>
      <w:tr>
        <w:tc>
          <w:tcPr>
            <w:tcW w:type="dxa" w:w="2448"/>
            <w:tcMar>
              <w:top w:w="80" w:type="dxa"/>
              <w:start w:w="90" w:type="dxa"/>
              <w:bottom w:w="80" w:type="dxa"/>
              <w:end w:w="90" w:type="dxa"/>
            </w:tcMar>
            <w:vAlign w:val="top"/>
          </w:tcPr>
          <w:p>
            <w:r>
              <w:rPr>
                <w:rFonts w:ascii="Aptos" w:hAnsi="Aptos"/>
                <w:b/>
                <w:sz w:val="17"/>
              </w:rPr>
              <w:t>Document ID</w:t>
            </w:r>
          </w:p>
        </w:tc>
        <w:tc>
          <w:tcPr>
            <w:tcW w:type="dxa" w:w="7920"/>
            <w:tcMar>
              <w:top w:w="80" w:type="dxa"/>
              <w:start w:w="90" w:type="dxa"/>
              <w:bottom w:w="80" w:type="dxa"/>
              <w:end w:w="90" w:type="dxa"/>
            </w:tcMar>
            <w:vAlign w:val="top"/>
          </w:tcPr>
          <w:p>
            <w:r>
              <w:rPr>
                <w:rFonts w:ascii="Aptos" w:hAnsi="Aptos"/>
                <w:b w:val="0"/>
                <w:sz w:val="17"/>
              </w:rPr>
              <w:t>RAS-009</w:t>
            </w:r>
          </w:p>
        </w:tc>
      </w:tr>
      <w:tr>
        <w:tc>
          <w:tcPr>
            <w:tcW w:type="dxa" w:w="2448"/>
            <w:tcMar>
              <w:top w:w="80" w:type="dxa"/>
              <w:start w:w="90" w:type="dxa"/>
              <w:bottom w:w="80" w:type="dxa"/>
              <w:end w:w="90" w:type="dxa"/>
            </w:tcMar>
            <w:vAlign w:val="top"/>
            <w:shd w:fill="F7FAFC"/>
          </w:tcPr>
          <w:p>
            <w:r>
              <w:rPr>
                <w:rFonts w:ascii="Aptos" w:hAnsi="Aptos"/>
                <w:b/>
                <w:sz w:val="17"/>
              </w:rPr>
              <w:t>Document Title</w:t>
            </w:r>
          </w:p>
        </w:tc>
        <w:tc>
          <w:tcPr>
            <w:tcW w:type="dxa" w:w="7920"/>
            <w:tcMar>
              <w:top w:w="80" w:type="dxa"/>
              <w:start w:w="90" w:type="dxa"/>
              <w:bottom w:w="80" w:type="dxa"/>
              <w:end w:w="90" w:type="dxa"/>
            </w:tcMar>
            <w:vAlign w:val="top"/>
            <w:shd w:fill="F7FAFC"/>
          </w:tcPr>
          <w:p>
            <w:r>
              <w:rPr>
                <w:rFonts w:ascii="Aptos" w:hAnsi="Aptos"/>
                <w:b w:val="0"/>
                <w:sz w:val="17"/>
              </w:rPr>
              <w:t>Risk Appetite Statement</w:t>
            </w:r>
          </w:p>
        </w:tc>
      </w:tr>
      <w:tr>
        <w:tc>
          <w:tcPr>
            <w:tcW w:type="dxa" w:w="2448"/>
            <w:tcMar>
              <w:top w:w="80" w:type="dxa"/>
              <w:start w:w="90" w:type="dxa"/>
              <w:bottom w:w="80" w:type="dxa"/>
              <w:end w:w="90" w:type="dxa"/>
            </w:tcMar>
            <w:vAlign w:val="top"/>
          </w:tcPr>
          <w:p>
            <w:r>
              <w:rPr>
                <w:rFonts w:ascii="Aptos" w:hAnsi="Aptos"/>
                <w:b/>
                <w:sz w:val="17"/>
              </w:rPr>
              <w:t>Version</w:t>
            </w:r>
          </w:p>
        </w:tc>
        <w:tc>
          <w:tcPr>
            <w:tcW w:type="dxa" w:w="7920"/>
            <w:tcMar>
              <w:top w:w="80" w:type="dxa"/>
              <w:start w:w="90" w:type="dxa"/>
              <w:bottom w:w="80" w:type="dxa"/>
              <w:end w:w="90" w:type="dxa"/>
            </w:tcMar>
            <w:vAlign w:val="top"/>
          </w:tcPr>
          <w:p>
            <w:r>
              <w:rPr>
                <w:rFonts w:ascii="Aptos" w:hAnsi="Aptos"/>
                <w:b w:val="0"/>
                <w:sz w:val="17"/>
              </w:rPr>
              <w:t>1.5</w:t>
            </w:r>
          </w:p>
        </w:tc>
      </w:tr>
      <w:tr>
        <w:tc>
          <w:tcPr>
            <w:tcW w:type="dxa" w:w="2448"/>
            <w:tcMar>
              <w:top w:w="80" w:type="dxa"/>
              <w:start w:w="90" w:type="dxa"/>
              <w:bottom w:w="80" w:type="dxa"/>
              <w:end w:w="90" w:type="dxa"/>
            </w:tcMar>
            <w:vAlign w:val="top"/>
            <w:shd w:fill="F7FAFC"/>
          </w:tcPr>
          <w:p>
            <w:r>
              <w:rPr>
                <w:rFonts w:ascii="Aptos" w:hAnsi="Aptos"/>
                <w:b/>
                <w:sz w:val="17"/>
              </w:rPr>
              <w:t>Policy Owner</w:t>
            </w:r>
          </w:p>
        </w:tc>
        <w:tc>
          <w:tcPr>
            <w:tcW w:type="dxa" w:w="7920"/>
            <w:tcMar>
              <w:top w:w="80" w:type="dxa"/>
              <w:start w:w="90" w:type="dxa"/>
              <w:bottom w:w="80" w:type="dxa"/>
              <w:end w:w="90" w:type="dxa"/>
            </w:tcMar>
            <w:vAlign w:val="top"/>
            <w:shd w:fill="F7FAFC"/>
          </w:tcPr>
          <w:p>
            <w:r>
              <w:rPr>
                <w:rFonts w:ascii="Aptos" w:hAnsi="Aptos"/>
                <w:b w:val="0"/>
                <w:sz w:val="17"/>
              </w:rPr>
              <w:t>Meera Iyer — Chief Risk Officer</w:t>
            </w:r>
          </w:p>
        </w:tc>
      </w:tr>
      <w:tr>
        <w:tc>
          <w:tcPr>
            <w:tcW w:type="dxa" w:w="2448"/>
            <w:tcMar>
              <w:top w:w="80" w:type="dxa"/>
              <w:start w:w="90" w:type="dxa"/>
              <w:bottom w:w="80" w:type="dxa"/>
              <w:end w:w="90" w:type="dxa"/>
            </w:tcMar>
            <w:vAlign w:val="top"/>
          </w:tcPr>
          <w:p>
            <w:r>
              <w:rPr>
                <w:rFonts w:ascii="Aptos" w:hAnsi="Aptos"/>
                <w:b/>
                <w:sz w:val="17"/>
              </w:rPr>
              <w:t>Business Unit</w:t>
            </w:r>
          </w:p>
        </w:tc>
        <w:tc>
          <w:tcPr>
            <w:tcW w:type="dxa" w:w="7920"/>
            <w:tcMar>
              <w:top w:w="80" w:type="dxa"/>
              <w:start w:w="90" w:type="dxa"/>
              <w:bottom w:w="80" w:type="dxa"/>
              <w:end w:w="90" w:type="dxa"/>
            </w:tcMar>
            <w:vAlign w:val="top"/>
          </w:tcPr>
          <w:p>
            <w:r>
              <w:rPr>
                <w:rFonts w:ascii="Aptos" w:hAnsi="Aptos"/>
                <w:b w:val="0"/>
                <w:sz w:val="17"/>
              </w:rPr>
              <w:t>Enterprise Risk</w:t>
            </w:r>
          </w:p>
        </w:tc>
      </w:tr>
      <w:tr>
        <w:tc>
          <w:tcPr>
            <w:tcW w:type="dxa" w:w="2448"/>
            <w:tcMar>
              <w:top w:w="80" w:type="dxa"/>
              <w:start w:w="90" w:type="dxa"/>
              <w:bottom w:w="80" w:type="dxa"/>
              <w:end w:w="90" w:type="dxa"/>
            </w:tcMar>
            <w:vAlign w:val="top"/>
            <w:shd w:fill="F7FAFC"/>
          </w:tcPr>
          <w:p>
            <w:r>
              <w:rPr>
                <w:rFonts w:ascii="Aptos" w:hAnsi="Aptos"/>
                <w:b/>
                <w:sz w:val="17"/>
              </w:rPr>
              <w:t>Approving Authority</w:t>
            </w:r>
          </w:p>
        </w:tc>
        <w:tc>
          <w:tcPr>
            <w:tcW w:type="dxa" w:w="7920"/>
            <w:tcMar>
              <w:top w:w="80" w:type="dxa"/>
              <w:start w:w="90" w:type="dxa"/>
              <w:bottom w:w="80" w:type="dxa"/>
              <w:end w:w="90" w:type="dxa"/>
            </w:tcMar>
            <w:vAlign w:val="top"/>
            <w:shd w:fill="F7FAFC"/>
          </w:tcPr>
          <w:p>
            <w:r>
              <w:rPr>
                <w:rFonts w:ascii="Aptos" w:hAnsi="Aptos"/>
                <w:b w:val="0"/>
                <w:sz w:val="17"/>
              </w:rPr>
              <w:t>Board Risk Committee</w:t>
            </w:r>
          </w:p>
        </w:tc>
      </w:tr>
      <w:tr>
        <w:tc>
          <w:tcPr>
            <w:tcW w:type="dxa" w:w="2448"/>
            <w:tcMar>
              <w:top w:w="80" w:type="dxa"/>
              <w:start w:w="90" w:type="dxa"/>
              <w:bottom w:w="80" w:type="dxa"/>
              <w:end w:w="90" w:type="dxa"/>
            </w:tcMar>
            <w:vAlign w:val="top"/>
          </w:tcPr>
          <w:p>
            <w:r>
              <w:rPr>
                <w:rFonts w:ascii="Aptos" w:hAnsi="Aptos"/>
                <w:b/>
                <w:sz w:val="17"/>
              </w:rPr>
              <w:t>Effective Date</w:t>
            </w:r>
          </w:p>
        </w:tc>
        <w:tc>
          <w:tcPr>
            <w:tcW w:type="dxa" w:w="7920"/>
            <w:tcMar>
              <w:top w:w="80" w:type="dxa"/>
              <w:start w:w="90" w:type="dxa"/>
              <w:bottom w:w="80" w:type="dxa"/>
              <w:end w:w="90" w:type="dxa"/>
            </w:tcMar>
            <w:vAlign w:val="top"/>
          </w:tcPr>
          <w:p>
            <w:r>
              <w:rPr>
                <w:rFonts w:ascii="Aptos" w:hAnsi="Aptos"/>
                <w:b w:val="0"/>
                <w:sz w:val="17"/>
              </w:rPr>
              <w:t>1 December 2025</w:t>
            </w:r>
          </w:p>
        </w:tc>
      </w:tr>
      <w:tr>
        <w:tc>
          <w:tcPr>
            <w:tcW w:type="dxa" w:w="2448"/>
            <w:tcMar>
              <w:top w:w="80" w:type="dxa"/>
              <w:start w:w="90" w:type="dxa"/>
              <w:bottom w:w="80" w:type="dxa"/>
              <w:end w:w="90" w:type="dxa"/>
            </w:tcMar>
            <w:vAlign w:val="top"/>
            <w:shd w:fill="F7FAFC"/>
          </w:tcPr>
          <w:p>
            <w:r>
              <w:rPr>
                <w:rFonts w:ascii="Aptos" w:hAnsi="Aptos"/>
                <w:b/>
                <w:sz w:val="17"/>
              </w:rPr>
              <w:t>Previous Version</w:t>
            </w:r>
          </w:p>
        </w:tc>
        <w:tc>
          <w:tcPr>
            <w:tcW w:type="dxa" w:w="7920"/>
            <w:tcMar>
              <w:top w:w="80" w:type="dxa"/>
              <w:start w:w="90" w:type="dxa"/>
              <w:bottom w:w="80" w:type="dxa"/>
              <w:end w:w="90" w:type="dxa"/>
            </w:tcMar>
            <w:vAlign w:val="top"/>
            <w:shd w:fill="F7FAFC"/>
          </w:tcPr>
          <w:p>
            <w:r>
              <w:rPr>
                <w:rFonts w:ascii="Aptos" w:hAnsi="Aptos"/>
                <w:b w:val="0"/>
                <w:sz w:val="17"/>
              </w:rPr>
              <w:t>1.4</w:t>
            </w:r>
          </w:p>
        </w:tc>
      </w:tr>
      <w:tr>
        <w:tc>
          <w:tcPr>
            <w:tcW w:type="dxa" w:w="2448"/>
            <w:tcMar>
              <w:top w:w="80" w:type="dxa"/>
              <w:start w:w="90" w:type="dxa"/>
              <w:bottom w:w="80" w:type="dxa"/>
              <w:end w:w="90" w:type="dxa"/>
            </w:tcMar>
            <w:vAlign w:val="top"/>
          </w:tcPr>
          <w:p>
            <w:r>
              <w:rPr>
                <w:rFonts w:ascii="Aptos" w:hAnsi="Aptos"/>
                <w:b/>
                <w:sz w:val="17"/>
              </w:rPr>
              <w:t>Review Frequency</w:t>
            </w:r>
          </w:p>
        </w:tc>
        <w:tc>
          <w:tcPr>
            <w:tcW w:type="dxa" w:w="7920"/>
            <w:tcMar>
              <w:top w:w="80" w:type="dxa"/>
              <w:start w:w="90" w:type="dxa"/>
              <w:bottom w:w="80" w:type="dxa"/>
              <w:end w:w="90" w:type="dxa"/>
            </w:tcMar>
            <w:vAlign w:val="top"/>
          </w:tcPr>
          <w:p>
            <w:r>
              <w:rPr>
                <w:rFonts w:ascii="Aptos" w:hAnsi="Aptos"/>
                <w:b w:val="0"/>
                <w:sz w:val="17"/>
              </w:rPr>
              <w:t>Annual and on material strategy change</w:t>
            </w:r>
          </w:p>
        </w:tc>
      </w:tr>
      <w:tr>
        <w:tc>
          <w:tcPr>
            <w:tcW w:type="dxa" w:w="2448"/>
            <w:tcMar>
              <w:top w:w="80" w:type="dxa"/>
              <w:start w:w="90" w:type="dxa"/>
              <w:bottom w:w="80" w:type="dxa"/>
              <w:end w:w="90" w:type="dxa"/>
            </w:tcMar>
            <w:vAlign w:val="top"/>
            <w:shd w:fill="F7FAFC"/>
          </w:tcPr>
          <w:p>
            <w:r>
              <w:rPr>
                <w:rFonts w:ascii="Aptos" w:hAnsi="Aptos"/>
                <w:b/>
                <w:sz w:val="17"/>
              </w:rPr>
              <w:t>Classification</w:t>
            </w:r>
          </w:p>
        </w:tc>
        <w:tc>
          <w:tcPr>
            <w:tcW w:type="dxa" w:w="7920"/>
            <w:tcMar>
              <w:top w:w="80" w:type="dxa"/>
              <w:start w:w="90" w:type="dxa"/>
              <w:bottom w:w="80" w:type="dxa"/>
              <w:end w:w="90" w:type="dxa"/>
            </w:tcMar>
            <w:vAlign w:val="top"/>
            <w:shd w:fill="F7FAFC"/>
          </w:tcPr>
          <w:p>
            <w:r>
              <w:rPr>
                <w:rFonts w:ascii="Aptos" w:hAnsi="Aptos"/>
                <w:b w:val="0"/>
                <w:sz w:val="17"/>
              </w:rPr>
              <w:t>INTERNAL — CONTROLLED</w:t>
            </w:r>
          </w:p>
        </w:tc>
      </w:tr>
      <w:tr>
        <w:tc>
          <w:tcPr>
            <w:tcW w:type="dxa" w:w="2448"/>
            <w:tcMar>
              <w:top w:w="80" w:type="dxa"/>
              <w:start w:w="90" w:type="dxa"/>
              <w:bottom w:w="80" w:type="dxa"/>
              <w:end w:w="90" w:type="dxa"/>
            </w:tcMar>
            <w:vAlign w:val="top"/>
          </w:tcPr>
          <w:p>
            <w:r>
              <w:rPr>
                <w:rFonts w:ascii="Aptos" w:hAnsi="Aptos"/>
                <w:b/>
                <w:sz w:val="17"/>
              </w:rPr>
              <w:t>Status</w:t>
            </w:r>
          </w:p>
        </w:tc>
        <w:tc>
          <w:tcPr>
            <w:tcW w:type="dxa" w:w="7920"/>
            <w:tcMar>
              <w:top w:w="80" w:type="dxa"/>
              <w:start w:w="90" w:type="dxa"/>
              <w:bottom w:w="80" w:type="dxa"/>
              <w:end w:w="90" w:type="dxa"/>
            </w:tcMar>
            <w:vAlign w:val="top"/>
          </w:tcPr>
          <w:p>
            <w:r>
              <w:rPr>
                <w:rFonts w:ascii="Aptos" w:hAnsi="Aptos"/>
                <w:b w:val="0"/>
                <w:sz w:val="17"/>
              </w:rPr>
              <w:t>Approved</w:t>
            </w:r>
          </w:p>
        </w:tc>
      </w:tr>
      <w:tr>
        <w:tc>
          <w:tcPr>
            <w:tcW w:type="dxa" w:w="2448"/>
            <w:tcMar>
              <w:top w:w="80" w:type="dxa"/>
              <w:start w:w="90" w:type="dxa"/>
              <w:bottom w:w="80" w:type="dxa"/>
              <w:end w:w="90" w:type="dxa"/>
            </w:tcMar>
            <w:vAlign w:val="top"/>
            <w:shd w:fill="F7FAFC"/>
          </w:tcPr>
          <w:p>
            <w:r>
              <w:rPr>
                <w:rFonts w:ascii="Aptos" w:hAnsi="Aptos"/>
                <w:b/>
                <w:sz w:val="17"/>
              </w:rPr>
              <w:t>Supersedes</w:t>
            </w:r>
          </w:p>
        </w:tc>
        <w:tc>
          <w:tcPr>
            <w:tcW w:type="dxa" w:w="7920"/>
            <w:tcMar>
              <w:top w:w="80" w:type="dxa"/>
              <w:start w:w="90" w:type="dxa"/>
              <w:bottom w:w="80" w:type="dxa"/>
              <w:end w:w="90" w:type="dxa"/>
            </w:tcMar>
            <w:vAlign w:val="top"/>
            <w:shd w:fill="F7FAFC"/>
          </w:tcPr>
          <w:p>
            <w:r>
              <w:rPr>
                <w:rFonts w:ascii="Aptos" w:hAnsi="Aptos"/>
                <w:b w:val="0"/>
                <w:sz w:val="17"/>
              </w:rPr>
              <w:t>RAS-009 v1.4</w:t>
            </w:r>
          </w:p>
        </w:tc>
      </w:tr>
      <w:tr>
        <w:tc>
          <w:tcPr>
            <w:tcW w:type="dxa" w:w="2448"/>
            <w:tcMar>
              <w:top w:w="80" w:type="dxa"/>
              <w:start w:w="90" w:type="dxa"/>
              <w:bottom w:w="80" w:type="dxa"/>
              <w:end w:w="90" w:type="dxa"/>
            </w:tcMar>
            <w:vAlign w:val="top"/>
          </w:tcPr>
          <w:p>
            <w:r>
              <w:rPr>
                <w:rFonts w:ascii="Aptos" w:hAnsi="Aptos"/>
                <w:b/>
                <w:sz w:val="17"/>
              </w:rPr>
              <w:t>Related Documents</w:t>
            </w:r>
          </w:p>
        </w:tc>
        <w:tc>
          <w:tcPr>
            <w:tcW w:type="dxa" w:w="7920"/>
            <w:tcMar>
              <w:top w:w="80" w:type="dxa"/>
              <w:start w:w="90" w:type="dxa"/>
              <w:bottom w:w="80" w:type="dxa"/>
              <w:end w:w="90" w:type="dxa"/>
            </w:tcMar>
            <w:vAlign w:val="top"/>
          </w:tcPr>
          <w:p>
            <w:r>
              <w:rPr>
                <w:rFonts w:ascii="Aptos" w:hAnsi="Aptos"/>
                <w:b w:val="0"/>
                <w:sz w:val="17"/>
              </w:rPr>
              <w:t>RMF-008; CRP-001; CDAS-007; AML-003; CDD-005; CRR-033; future Investment / Compliance / Information Security documents</w:t>
            </w:r>
          </w:p>
        </w:tc>
      </w:tr>
    </w:tbl>
    <w:p/>
    <w:p>
      <w:pPr>
        <w:pStyle w:val="Heading2"/>
      </w:pPr>
      <w:r>
        <w:t>Approval Record</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448"/>
            <w:shd w:fill="17365D"/>
            <w:vAlign w:val="center"/>
            <w:tcMar>
              <w:top w:w="80" w:type="dxa"/>
              <w:start w:w="90" w:type="dxa"/>
              <w:bottom w:w="80" w:type="dxa"/>
              <w:end w:w="90" w:type="dxa"/>
            </w:tcMar>
          </w:tcPr>
          <w:p>
            <w:r>
              <w:rPr>
                <w:rFonts w:ascii="Aptos" w:hAnsi="Aptos"/>
                <w:b/>
                <w:color w:val="FFFFFF"/>
                <w:sz w:val="16"/>
              </w:rPr>
              <w:t>Role</w:t>
            </w:r>
          </w:p>
        </w:tc>
        <w:tc>
          <w:tcPr>
            <w:tcW w:type="dxa" w:w="4032"/>
            <w:shd w:fill="17365D"/>
            <w:vAlign w:val="center"/>
            <w:tcMar>
              <w:top w:w="80" w:type="dxa"/>
              <w:start w:w="90" w:type="dxa"/>
              <w:bottom w:w="80" w:type="dxa"/>
              <w:end w:w="90" w:type="dxa"/>
            </w:tcMar>
          </w:tcPr>
          <w:p>
            <w:r>
              <w:rPr>
                <w:rFonts w:ascii="Aptos" w:hAnsi="Aptos"/>
                <w:b/>
                <w:color w:val="FFFFFF"/>
                <w:sz w:val="16"/>
              </w:rPr>
              <w:t>Approver / Function</w:t>
            </w:r>
          </w:p>
        </w:tc>
        <w:tc>
          <w:tcPr>
            <w:tcW w:type="dxa" w:w="1728"/>
            <w:shd w:fill="17365D"/>
            <w:vAlign w:val="center"/>
            <w:tcMar>
              <w:top w:w="80" w:type="dxa"/>
              <w:start w:w="90" w:type="dxa"/>
              <w:bottom w:w="80" w:type="dxa"/>
              <w:end w:w="90" w:type="dxa"/>
            </w:tcMar>
          </w:tcPr>
          <w:p>
            <w:r>
              <w:rPr>
                <w:rFonts w:ascii="Aptos" w:hAnsi="Aptos"/>
                <w:b/>
                <w:color w:val="FFFFFF"/>
                <w:sz w:val="16"/>
              </w:rPr>
              <w:t>Approval Date</w:t>
            </w:r>
          </w:p>
        </w:tc>
        <w:tc>
          <w:tcPr>
            <w:tcW w:type="dxa" w:w="2160"/>
            <w:shd w:fill="17365D"/>
            <w:vAlign w:val="center"/>
            <w:tcMar>
              <w:top w:w="80" w:type="dxa"/>
              <w:start w:w="90" w:type="dxa"/>
              <w:bottom w:w="80" w:type="dxa"/>
              <w:end w:w="90" w:type="dxa"/>
            </w:tcMar>
          </w:tcPr>
          <w:p>
            <w:r>
              <w:rPr>
                <w:rFonts w:ascii="Aptos" w:hAnsi="Aptos"/>
                <w:b/>
                <w:color w:val="FFFFFF"/>
                <w:sz w:val="16"/>
              </w:rPr>
              <w:t>Decision</w:t>
            </w:r>
          </w:p>
        </w:tc>
      </w:tr>
      <w:tr>
        <w:tc>
          <w:tcPr>
            <w:tcW w:type="dxa" w:w="2448"/>
            <w:tcMar>
              <w:top w:w="80" w:type="dxa"/>
              <w:start w:w="90" w:type="dxa"/>
              <w:bottom w:w="80" w:type="dxa"/>
              <w:end w:w="90" w:type="dxa"/>
            </w:tcMar>
            <w:vAlign w:val="top"/>
          </w:tcPr>
          <w:p>
            <w:r>
              <w:rPr>
                <w:rFonts w:ascii="Aptos" w:hAnsi="Aptos"/>
                <w:b w:val="0"/>
                <w:sz w:val="16"/>
              </w:rPr>
              <w:t>Document Owner</w:t>
            </w:r>
          </w:p>
        </w:tc>
        <w:tc>
          <w:tcPr>
            <w:tcW w:type="dxa" w:w="4032"/>
            <w:tcMar>
              <w:top w:w="80" w:type="dxa"/>
              <w:start w:w="90" w:type="dxa"/>
              <w:bottom w:w="80" w:type="dxa"/>
              <w:end w:w="90" w:type="dxa"/>
            </w:tcMar>
            <w:vAlign w:val="top"/>
          </w:tcPr>
          <w:p>
            <w:r>
              <w:rPr>
                <w:rFonts w:ascii="Aptos" w:hAnsi="Aptos"/>
                <w:b w:val="0"/>
                <w:sz w:val="16"/>
              </w:rPr>
              <w:t>Meera Iyer — Chief Risk Officer</w:t>
            </w:r>
          </w:p>
        </w:tc>
        <w:tc>
          <w:tcPr>
            <w:tcW w:type="dxa" w:w="1728"/>
            <w:tcMar>
              <w:top w:w="80" w:type="dxa"/>
              <w:start w:w="90" w:type="dxa"/>
              <w:bottom w:w="80" w:type="dxa"/>
              <w:end w:w="90" w:type="dxa"/>
            </w:tcMar>
            <w:vAlign w:val="top"/>
          </w:tcPr>
          <w:p>
            <w:r>
              <w:rPr>
                <w:rFonts w:ascii="Aptos" w:hAnsi="Aptos"/>
                <w:b w:val="0"/>
                <w:sz w:val="16"/>
              </w:rPr>
              <w:t>18 November 2025</w:t>
            </w:r>
          </w:p>
        </w:tc>
        <w:tc>
          <w:tcPr>
            <w:tcW w:type="dxa" w:w="2160"/>
            <w:tcMar>
              <w:top w:w="80" w:type="dxa"/>
              <w:start w:w="90" w:type="dxa"/>
              <w:bottom w:w="80" w:type="dxa"/>
              <w:end w:w="90" w:type="dxa"/>
            </w:tcMar>
            <w:vAlign w:val="top"/>
          </w:tcPr>
          <w:p>
            <w:r>
              <w:rPr>
                <w:rFonts w:ascii="Aptos" w:hAnsi="Aptos"/>
                <w:b w:val="0"/>
                <w:sz w:val="16"/>
              </w:rPr>
              <w:t>Approved</w:t>
            </w:r>
          </w:p>
        </w:tc>
      </w:tr>
      <w:tr>
        <w:tc>
          <w:tcPr>
            <w:tcW w:type="dxa" w:w="2448"/>
            <w:tcMar>
              <w:top w:w="80" w:type="dxa"/>
              <w:start w:w="90" w:type="dxa"/>
              <w:bottom w:w="80" w:type="dxa"/>
              <w:end w:w="90" w:type="dxa"/>
            </w:tcMar>
            <w:vAlign w:val="top"/>
            <w:shd w:fill="F7FAFC"/>
          </w:tcPr>
          <w:p>
            <w:r>
              <w:rPr>
                <w:rFonts w:ascii="Aptos" w:hAnsi="Aptos"/>
                <w:b w:val="0"/>
                <w:sz w:val="16"/>
              </w:rPr>
              <w:t>Control Function Review</w:t>
            </w:r>
          </w:p>
        </w:tc>
        <w:tc>
          <w:tcPr>
            <w:tcW w:type="dxa" w:w="4032"/>
            <w:tcMar>
              <w:top w:w="80" w:type="dxa"/>
              <w:start w:w="90" w:type="dxa"/>
              <w:bottom w:w="80" w:type="dxa"/>
              <w:end w:w="90" w:type="dxa"/>
            </w:tcMar>
            <w:vAlign w:val="top"/>
            <w:shd w:fill="F7FAFC"/>
          </w:tcPr>
          <w:p>
            <w:r>
              <w:rPr>
                <w:rFonts w:ascii="Aptos" w:hAnsi="Aptos"/>
                <w:b w:val="0"/>
                <w:sz w:val="16"/>
              </w:rPr>
              <w:t>Legal / Compliance Advisory</w:t>
            </w:r>
          </w:p>
        </w:tc>
        <w:tc>
          <w:tcPr>
            <w:tcW w:type="dxa" w:w="1728"/>
            <w:tcMar>
              <w:top w:w="80" w:type="dxa"/>
              <w:start w:w="90" w:type="dxa"/>
              <w:bottom w:w="80" w:type="dxa"/>
              <w:end w:w="90" w:type="dxa"/>
            </w:tcMar>
            <w:vAlign w:val="top"/>
            <w:shd w:fill="F7FAFC"/>
          </w:tcPr>
          <w:p>
            <w:r>
              <w:rPr>
                <w:rFonts w:ascii="Aptos" w:hAnsi="Aptos"/>
                <w:b w:val="0"/>
                <w:sz w:val="16"/>
              </w:rPr>
              <w:t>18 November 2025</w:t>
            </w:r>
          </w:p>
        </w:tc>
        <w:tc>
          <w:tcPr>
            <w:tcW w:type="dxa" w:w="2160"/>
            <w:tcMar>
              <w:top w:w="80" w:type="dxa"/>
              <w:start w:w="90" w:type="dxa"/>
              <w:bottom w:w="80" w:type="dxa"/>
              <w:end w:w="90" w:type="dxa"/>
            </w:tcMar>
            <w:vAlign w:val="top"/>
            <w:shd w:fill="F7FAFC"/>
          </w:tcPr>
          <w:p>
            <w:r>
              <w:rPr>
                <w:rFonts w:ascii="Aptos" w:hAnsi="Aptos"/>
                <w:b w:val="0"/>
                <w:sz w:val="16"/>
              </w:rPr>
              <w:t>No objection</w:t>
            </w:r>
          </w:p>
        </w:tc>
      </w:tr>
      <w:tr>
        <w:tc>
          <w:tcPr>
            <w:tcW w:type="dxa" w:w="2448"/>
            <w:tcMar>
              <w:top w:w="80" w:type="dxa"/>
              <w:start w:w="90" w:type="dxa"/>
              <w:bottom w:w="80" w:type="dxa"/>
              <w:end w:w="90" w:type="dxa"/>
            </w:tcMar>
            <w:vAlign w:val="top"/>
          </w:tcPr>
          <w:p>
            <w:r>
              <w:rPr>
                <w:rFonts w:ascii="Aptos" w:hAnsi="Aptos"/>
                <w:b w:val="0"/>
                <w:sz w:val="16"/>
              </w:rPr>
              <w:t>Approving Authority</w:t>
            </w:r>
          </w:p>
        </w:tc>
        <w:tc>
          <w:tcPr>
            <w:tcW w:type="dxa" w:w="4032"/>
            <w:tcMar>
              <w:top w:w="80" w:type="dxa"/>
              <w:start w:w="90" w:type="dxa"/>
              <w:bottom w:w="80" w:type="dxa"/>
              <w:end w:w="90" w:type="dxa"/>
            </w:tcMar>
            <w:vAlign w:val="top"/>
          </w:tcPr>
          <w:p>
            <w:r>
              <w:rPr>
                <w:rFonts w:ascii="Aptos" w:hAnsi="Aptos"/>
                <w:b w:val="0"/>
                <w:sz w:val="16"/>
              </w:rPr>
              <w:t>Board Risk Committee</w:t>
            </w:r>
          </w:p>
        </w:tc>
        <w:tc>
          <w:tcPr>
            <w:tcW w:type="dxa" w:w="1728"/>
            <w:tcMar>
              <w:top w:w="80" w:type="dxa"/>
              <w:start w:w="90" w:type="dxa"/>
              <w:bottom w:w="80" w:type="dxa"/>
              <w:end w:w="90" w:type="dxa"/>
            </w:tcMar>
            <w:vAlign w:val="top"/>
          </w:tcPr>
          <w:p>
            <w:r>
              <w:rPr>
                <w:rFonts w:ascii="Aptos" w:hAnsi="Aptos"/>
                <w:b w:val="0"/>
                <w:sz w:val="16"/>
              </w:rPr>
              <w:t>18 November 2025</w:t>
            </w:r>
          </w:p>
        </w:tc>
        <w:tc>
          <w:tcPr>
            <w:tcW w:type="dxa" w:w="2160"/>
            <w:tcMar>
              <w:top w:w="80" w:type="dxa"/>
              <w:start w:w="90" w:type="dxa"/>
              <w:bottom w:w="80" w:type="dxa"/>
              <w:end w:w="90" w:type="dxa"/>
            </w:tcMar>
            <w:vAlign w:val="top"/>
          </w:tcPr>
          <w:p>
            <w:r>
              <w:rPr>
                <w:rFonts w:ascii="Aptos" w:hAnsi="Aptos"/>
                <w:b w:val="0"/>
                <w:sz w:val="16"/>
              </w:rPr>
              <w:t>Approved for controlled release</w:t>
            </w:r>
          </w:p>
        </w:tc>
      </w:tr>
    </w:tbl>
    <w:p/>
    <w:p>
      <w:pPr>
        <w:pStyle w:val="Heading2"/>
      </w:pPr>
      <w:r>
        <w:t>Revision History</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152"/>
            <w:shd w:fill="17365D"/>
            <w:vAlign w:val="center"/>
            <w:tcMar>
              <w:top w:w="80" w:type="dxa"/>
              <w:start w:w="90" w:type="dxa"/>
              <w:bottom w:w="80" w:type="dxa"/>
              <w:end w:w="90" w:type="dxa"/>
            </w:tcMar>
          </w:tcPr>
          <w:p>
            <w:r>
              <w:rPr>
                <w:rFonts w:ascii="Aptos" w:hAnsi="Aptos"/>
                <w:b/>
                <w:color w:val="FFFFFF"/>
                <w:sz w:val="16"/>
              </w:rPr>
              <w:t>Version</w:t>
            </w:r>
          </w:p>
        </w:tc>
        <w:tc>
          <w:tcPr>
            <w:tcW w:type="dxa" w:w="1728"/>
            <w:shd w:fill="17365D"/>
            <w:vAlign w:val="center"/>
            <w:tcMar>
              <w:top w:w="80" w:type="dxa"/>
              <w:start w:w="90" w:type="dxa"/>
              <w:bottom w:w="80" w:type="dxa"/>
              <w:end w:w="90" w:type="dxa"/>
            </w:tcMar>
          </w:tcPr>
          <w:p>
            <w:r>
              <w:rPr>
                <w:rFonts w:ascii="Aptos" w:hAnsi="Aptos"/>
                <w:b/>
                <w:color w:val="FFFFFF"/>
                <w:sz w:val="16"/>
              </w:rPr>
              <w:t>Effective Date</w:t>
            </w:r>
          </w:p>
        </w:tc>
        <w:tc>
          <w:tcPr>
            <w:tcW w:type="dxa" w:w="5616"/>
            <w:shd w:fill="17365D"/>
            <w:vAlign w:val="center"/>
            <w:tcMar>
              <w:top w:w="80" w:type="dxa"/>
              <w:start w:w="90" w:type="dxa"/>
              <w:bottom w:w="80" w:type="dxa"/>
              <w:end w:w="90" w:type="dxa"/>
            </w:tcMar>
          </w:tcPr>
          <w:p>
            <w:r>
              <w:rPr>
                <w:rFonts w:ascii="Aptos" w:hAnsi="Aptos"/>
                <w:b/>
                <w:color w:val="FFFFFF"/>
                <w:sz w:val="16"/>
              </w:rPr>
              <w:t>Summary of Change</w:t>
            </w:r>
          </w:p>
        </w:tc>
        <w:tc>
          <w:tcPr>
            <w:tcW w:type="dxa" w:w="2160"/>
            <w:shd w:fill="17365D"/>
            <w:vAlign w:val="center"/>
            <w:tcMar>
              <w:top w:w="80" w:type="dxa"/>
              <w:start w:w="90" w:type="dxa"/>
              <w:bottom w:w="80" w:type="dxa"/>
              <w:end w:w="90" w:type="dxa"/>
            </w:tcMar>
          </w:tcPr>
          <w:p>
            <w:r>
              <w:rPr>
                <w:rFonts w:ascii="Aptos" w:hAnsi="Aptos"/>
                <w:b/>
                <w:color w:val="FFFFFF"/>
                <w:sz w:val="16"/>
              </w:rPr>
              <w:t>Owner</w:t>
            </w:r>
          </w:p>
        </w:tc>
      </w:tr>
      <w:tr>
        <w:tc>
          <w:tcPr>
            <w:tcW w:type="dxa" w:w="1152"/>
            <w:tcMar>
              <w:top w:w="80" w:type="dxa"/>
              <w:start w:w="90" w:type="dxa"/>
              <w:bottom w:w="80" w:type="dxa"/>
              <w:end w:w="90" w:type="dxa"/>
            </w:tcMar>
            <w:vAlign w:val="top"/>
          </w:tcPr>
          <w:p>
            <w:r>
              <w:rPr>
                <w:rFonts w:ascii="Aptos" w:hAnsi="Aptos"/>
                <w:b w:val="0"/>
                <w:sz w:val="16"/>
              </w:rPr>
              <w:t>1.3</w:t>
            </w:r>
          </w:p>
        </w:tc>
        <w:tc>
          <w:tcPr>
            <w:tcW w:type="dxa" w:w="1728"/>
            <w:tcMar>
              <w:top w:w="80" w:type="dxa"/>
              <w:start w:w="90" w:type="dxa"/>
              <w:bottom w:w="80" w:type="dxa"/>
              <w:end w:w="90" w:type="dxa"/>
            </w:tcMar>
            <w:vAlign w:val="top"/>
          </w:tcPr>
          <w:p>
            <w:r>
              <w:rPr>
                <w:rFonts w:ascii="Aptos" w:hAnsi="Aptos"/>
                <w:b w:val="0"/>
                <w:sz w:val="16"/>
              </w:rPr>
              <w:t>1 Apr 2024</w:t>
            </w:r>
          </w:p>
        </w:tc>
        <w:tc>
          <w:tcPr>
            <w:tcW w:type="dxa" w:w="5616"/>
            <w:tcMar>
              <w:top w:w="80" w:type="dxa"/>
              <w:start w:w="90" w:type="dxa"/>
              <w:bottom w:w="80" w:type="dxa"/>
              <w:end w:w="90" w:type="dxa"/>
            </w:tcMar>
            <w:vAlign w:val="top"/>
          </w:tcPr>
          <w:p>
            <w:r>
              <w:rPr>
                <w:rFonts w:ascii="Aptos" w:hAnsi="Aptos"/>
                <w:b w:val="0"/>
                <w:sz w:val="16"/>
              </w:rPr>
              <w:t>Added operational-loss and concentration indicators.</w:t>
            </w:r>
          </w:p>
        </w:tc>
        <w:tc>
          <w:tcPr>
            <w:tcW w:type="dxa" w:w="2160"/>
            <w:tcMar>
              <w:top w:w="80" w:type="dxa"/>
              <w:start w:w="90" w:type="dxa"/>
              <w:bottom w:w="80" w:type="dxa"/>
              <w:end w:w="90" w:type="dxa"/>
            </w:tcMar>
            <w:vAlign w:val="top"/>
          </w:tcPr>
          <w:p>
            <w:r>
              <w:rPr>
                <w:rFonts w:ascii="Aptos" w:hAnsi="Aptos"/>
                <w:b w:val="0"/>
                <w:sz w:val="16"/>
              </w:rPr>
              <w:t>Enterprise Risk</w:t>
            </w:r>
          </w:p>
        </w:tc>
      </w:tr>
      <w:tr>
        <w:tc>
          <w:tcPr>
            <w:tcW w:type="dxa" w:w="1152"/>
            <w:tcMar>
              <w:top w:w="80" w:type="dxa"/>
              <w:start w:w="90" w:type="dxa"/>
              <w:bottom w:w="80" w:type="dxa"/>
              <w:end w:w="90" w:type="dxa"/>
            </w:tcMar>
            <w:vAlign w:val="top"/>
            <w:shd w:fill="F7FAFC"/>
          </w:tcPr>
          <w:p>
            <w:r>
              <w:rPr>
                <w:rFonts w:ascii="Aptos" w:hAnsi="Aptos"/>
                <w:b w:val="0"/>
                <w:sz w:val="16"/>
              </w:rPr>
              <w:t>1.4</w:t>
            </w:r>
          </w:p>
        </w:tc>
        <w:tc>
          <w:tcPr>
            <w:tcW w:type="dxa" w:w="1728"/>
            <w:tcMar>
              <w:top w:w="80" w:type="dxa"/>
              <w:start w:w="90" w:type="dxa"/>
              <w:bottom w:w="80" w:type="dxa"/>
              <w:end w:w="90" w:type="dxa"/>
            </w:tcMar>
            <w:vAlign w:val="top"/>
            <w:shd w:fill="F7FAFC"/>
          </w:tcPr>
          <w:p>
            <w:r>
              <w:rPr>
                <w:rFonts w:ascii="Aptos" w:hAnsi="Aptos"/>
                <w:b w:val="0"/>
                <w:sz w:val="16"/>
              </w:rPr>
              <w:t>1 Apr 2025</w:t>
            </w:r>
          </w:p>
        </w:tc>
        <w:tc>
          <w:tcPr>
            <w:tcW w:type="dxa" w:w="5616"/>
            <w:tcMar>
              <w:top w:w="80" w:type="dxa"/>
              <w:start w:w="90" w:type="dxa"/>
              <w:bottom w:w="80" w:type="dxa"/>
              <w:end w:w="90" w:type="dxa"/>
            </w:tcMar>
            <w:vAlign w:val="top"/>
            <w:shd w:fill="F7FAFC"/>
          </w:tcPr>
          <w:p>
            <w:r>
              <w:rPr>
                <w:rFonts w:ascii="Aptos" w:hAnsi="Aptos"/>
                <w:b w:val="0"/>
                <w:sz w:val="16"/>
              </w:rPr>
              <w:t>Aligned credit appetite with CRP-001 v2.0 and delegated-authority changes.</w:t>
            </w:r>
          </w:p>
        </w:tc>
        <w:tc>
          <w:tcPr>
            <w:tcW w:type="dxa" w:w="2160"/>
            <w:tcMar>
              <w:top w:w="80" w:type="dxa"/>
              <w:start w:w="90" w:type="dxa"/>
              <w:bottom w:w="80" w:type="dxa"/>
              <w:end w:w="90" w:type="dxa"/>
            </w:tcMar>
            <w:vAlign w:val="top"/>
            <w:shd w:fill="F7FAFC"/>
          </w:tcPr>
          <w:p>
            <w:r>
              <w:rPr>
                <w:rFonts w:ascii="Aptos" w:hAnsi="Aptos"/>
                <w:b w:val="0"/>
                <w:sz w:val="16"/>
              </w:rPr>
              <w:t>Enterprise Risk</w:t>
            </w:r>
          </w:p>
        </w:tc>
      </w:tr>
      <w:tr>
        <w:tc>
          <w:tcPr>
            <w:tcW w:type="dxa" w:w="1152"/>
            <w:tcMar>
              <w:top w:w="80" w:type="dxa"/>
              <w:start w:w="90" w:type="dxa"/>
              <w:bottom w:w="80" w:type="dxa"/>
              <w:end w:w="90" w:type="dxa"/>
            </w:tcMar>
            <w:vAlign w:val="top"/>
          </w:tcPr>
          <w:p>
            <w:r>
              <w:rPr>
                <w:rFonts w:ascii="Aptos" w:hAnsi="Aptos"/>
                <w:b w:val="0"/>
                <w:sz w:val="16"/>
              </w:rPr>
              <w:t>1.5</w:t>
            </w:r>
          </w:p>
        </w:tc>
        <w:tc>
          <w:tcPr>
            <w:tcW w:type="dxa" w:w="1728"/>
            <w:tcMar>
              <w:top w:w="80" w:type="dxa"/>
              <w:start w:w="90" w:type="dxa"/>
              <w:bottom w:w="80" w:type="dxa"/>
              <w:end w:w="90" w:type="dxa"/>
            </w:tcMar>
            <w:vAlign w:val="top"/>
          </w:tcPr>
          <w:p>
            <w:r>
              <w:rPr>
                <w:rFonts w:ascii="Aptos" w:hAnsi="Aptos"/>
                <w:b w:val="0"/>
                <w:sz w:val="16"/>
              </w:rPr>
              <w:t>1 Dec 2025</w:t>
            </w:r>
          </w:p>
        </w:tc>
        <w:tc>
          <w:tcPr>
            <w:tcW w:type="dxa" w:w="5616"/>
            <w:tcMar>
              <w:top w:w="80" w:type="dxa"/>
              <w:start w:w="90" w:type="dxa"/>
              <w:bottom w:w="80" w:type="dxa"/>
              <w:end w:w="90" w:type="dxa"/>
            </w:tcMar>
            <w:vAlign w:val="top"/>
          </w:tcPr>
          <w:p>
            <w:r>
              <w:rPr>
                <w:rFonts w:ascii="Aptos" w:hAnsi="Aptos"/>
                <w:b w:val="0"/>
                <w:sz w:val="16"/>
              </w:rPr>
              <w:t>Added AML/KYC, model-risk and enterprise breach architecture aligned to RMF-008 v2.0.</w:t>
            </w:r>
          </w:p>
        </w:tc>
        <w:tc>
          <w:tcPr>
            <w:tcW w:type="dxa" w:w="2160"/>
            <w:tcMar>
              <w:top w:w="80" w:type="dxa"/>
              <w:start w:w="90" w:type="dxa"/>
              <w:bottom w:w="80" w:type="dxa"/>
              <w:end w:w="90" w:type="dxa"/>
            </w:tcMar>
            <w:vAlign w:val="top"/>
          </w:tcPr>
          <w:p>
            <w:r>
              <w:rPr>
                <w:rFonts w:ascii="Aptos" w:hAnsi="Aptos"/>
                <w:b w:val="0"/>
                <w:sz w:val="16"/>
              </w:rPr>
              <w:t>Meera Iyer</w:t>
            </w:r>
          </w:p>
        </w:tc>
      </w:tr>
    </w:tbl>
    <w:p/>
    <w:p>
      <w:pPr>
        <w:pStyle w:val="SmallNote"/>
      </w:pPr>
      <w:r>
        <w:t>Controlled copies are maintained in the Northstar Financial internal policy repository. Printed, exported or locally saved copies may become superseded. Users shall confirm document status before applying a threshold, approval route or transitional provision.</w:t>
      </w:r>
    </w:p>
    <w:p>
      <w:r>
        <w:br w:type="page"/>
      </w:r>
    </w:p>
    <w:p>
      <w:pPr>
        <w:pStyle w:val="Heading1"/>
      </w:pPr>
      <w:r>
        <w:t>Contents</w:t>
      </w:r>
    </w:p>
    <w:p>
      <w:pPr>
        <w:spacing w:after="24"/>
      </w:pPr>
      <w:r>
        <w:rPr>
          <w:rFonts w:ascii="Aptos" w:hAnsi="Aptos"/>
          <w:sz w:val="18"/>
        </w:rPr>
        <w:t>1. Purpose and Board Risk Appetite Statement</w:t>
      </w:r>
    </w:p>
    <w:p>
      <w:pPr>
        <w:spacing w:after="24"/>
      </w:pPr>
      <w:r>
        <w:rPr>
          <w:rFonts w:ascii="Aptos" w:hAnsi="Aptos"/>
          <w:sz w:val="18"/>
        </w:rPr>
        <w:t>2. Appetite Architecture and Status</w:t>
      </w:r>
    </w:p>
    <w:p>
      <w:pPr>
        <w:spacing w:after="24"/>
      </w:pPr>
      <w:r>
        <w:rPr>
          <w:rFonts w:ascii="Aptos" w:hAnsi="Aptos"/>
          <w:sz w:val="18"/>
        </w:rPr>
        <w:t>3. Credit Risk Appetite</w:t>
      </w:r>
    </w:p>
    <w:p>
      <w:pPr>
        <w:spacing w:after="24"/>
      </w:pPr>
      <w:r>
        <w:rPr>
          <w:rFonts w:ascii="Aptos" w:hAnsi="Aptos"/>
          <w:sz w:val="18"/>
        </w:rPr>
        <w:t>4. Credit Decision Quality and Authority Appetite</w:t>
      </w:r>
    </w:p>
    <w:p>
      <w:pPr>
        <w:spacing w:after="24"/>
      </w:pPr>
      <w:r>
        <w:rPr>
          <w:rFonts w:ascii="Aptos" w:hAnsi="Aptos"/>
          <w:sz w:val="18"/>
        </w:rPr>
        <w:t>5. Financial-Crime and KYC Appetite</w:t>
      </w:r>
    </w:p>
    <w:p>
      <w:pPr>
        <w:spacing w:after="24"/>
      </w:pPr>
      <w:r>
        <w:rPr>
          <w:rFonts w:ascii="Aptos" w:hAnsi="Aptos"/>
          <w:sz w:val="18"/>
        </w:rPr>
        <w:t>6. Operational Risk Appetite</w:t>
      </w:r>
    </w:p>
    <w:p>
      <w:pPr>
        <w:spacing w:after="24"/>
      </w:pPr>
      <w:r>
        <w:rPr>
          <w:rFonts w:ascii="Aptos" w:hAnsi="Aptos"/>
          <w:sz w:val="18"/>
        </w:rPr>
        <w:t>7. Liquidity Risk Appetite</w:t>
      </w:r>
    </w:p>
    <w:p>
      <w:pPr>
        <w:spacing w:after="24"/>
      </w:pPr>
      <w:r>
        <w:rPr>
          <w:rFonts w:ascii="Aptos" w:hAnsi="Aptos"/>
          <w:sz w:val="18"/>
        </w:rPr>
        <w:t>8. Market and Investment Risk Appetite</w:t>
      </w:r>
    </w:p>
    <w:p>
      <w:pPr>
        <w:spacing w:after="24"/>
      </w:pPr>
      <w:r>
        <w:rPr>
          <w:rFonts w:ascii="Aptos" w:hAnsi="Aptos"/>
          <w:sz w:val="18"/>
        </w:rPr>
        <w:t>9. Cyber and Information Security Appetite</w:t>
      </w:r>
    </w:p>
    <w:p>
      <w:pPr>
        <w:spacing w:after="24"/>
      </w:pPr>
      <w:r>
        <w:rPr>
          <w:rFonts w:ascii="Aptos" w:hAnsi="Aptos"/>
          <w:sz w:val="18"/>
        </w:rPr>
        <w:t>10. Compliance and Conduct Appetite</w:t>
      </w:r>
    </w:p>
    <w:p>
      <w:pPr>
        <w:spacing w:after="24"/>
      </w:pPr>
      <w:r>
        <w:rPr>
          <w:rFonts w:ascii="Aptos" w:hAnsi="Aptos"/>
          <w:sz w:val="18"/>
        </w:rPr>
        <w:t>11. Model Risk Appetite</w:t>
      </w:r>
    </w:p>
    <w:p>
      <w:pPr>
        <w:spacing w:after="24"/>
      </w:pPr>
      <w:r>
        <w:rPr>
          <w:rFonts w:ascii="Aptos" w:hAnsi="Aptos"/>
          <w:sz w:val="18"/>
        </w:rPr>
        <w:t>12. Reputational and Strategic Appetite</w:t>
      </w:r>
    </w:p>
    <w:p>
      <w:pPr>
        <w:spacing w:after="24"/>
      </w:pPr>
      <w:r>
        <w:rPr>
          <w:rFonts w:ascii="Aptos" w:hAnsi="Aptos"/>
          <w:sz w:val="18"/>
        </w:rPr>
        <w:t>13. Risk Appetite Breach Management</w:t>
      </w:r>
    </w:p>
    <w:p>
      <w:pPr>
        <w:spacing w:after="24"/>
      </w:pPr>
      <w:r>
        <w:rPr>
          <w:rFonts w:ascii="Aptos" w:hAnsi="Aptos"/>
          <w:sz w:val="18"/>
        </w:rPr>
        <w:t>14. Temporary Accepted Excess</w:t>
      </w:r>
    </w:p>
    <w:p>
      <w:pPr>
        <w:spacing w:after="24"/>
      </w:pPr>
      <w:r>
        <w:rPr>
          <w:rFonts w:ascii="Aptos" w:hAnsi="Aptos"/>
          <w:sz w:val="18"/>
        </w:rPr>
        <w:t>15. Monitoring, Reporting and Review</w:t>
      </w:r>
    </w:p>
    <w:p>
      <w:pPr>
        <w:spacing w:after="24"/>
      </w:pPr>
      <w:r>
        <w:rPr>
          <w:rFonts w:ascii="Aptos" w:hAnsi="Aptos"/>
          <w:sz w:val="18"/>
        </w:rPr>
        <w:t>16. Effective-Date and Historical Treatment</w:t>
      </w:r>
    </w:p>
    <w:p>
      <w:pPr>
        <w:spacing w:after="24"/>
      </w:pPr>
      <w:r>
        <w:rPr>
          <w:rFonts w:ascii="Aptos" w:hAnsi="Aptos"/>
          <w:sz w:val="18"/>
        </w:rPr>
        <w:t>17. Enterprise Appetite Dashboard Template</w:t>
      </w:r>
    </w:p>
    <w:p>
      <w:pPr>
        <w:spacing w:after="24"/>
      </w:pPr>
      <w:r>
        <w:rPr>
          <w:rFonts w:ascii="Aptos" w:hAnsi="Aptos"/>
          <w:sz w:val="18"/>
        </w:rPr>
        <w:t>18. Appetite vs Policy Threshold Interpretation</w:t>
      </w:r>
      <w:r>
        <w:br/>
        <w:t>19. Risk Appetite Metric Definitions</w:t>
      </w:r>
      <w:r>
        <w:br/>
        <w:t>20. Breach Response Playbook</w:t>
      </w:r>
      <w:r>
        <w:br/>
        <w:t>21. Historical and Transitional Interpretation Notes</w:t>
      </w:r>
    </w:p>
    <w:p>
      <w:r>
        <w:br w:type="page"/>
      </w:r>
    </w:p>
    <w:p>
      <w:pPr>
        <w:pStyle w:val="Heading1"/>
        <w:keepNext/>
      </w:pPr>
      <w:r>
        <w:t>1. Purpose and Board Risk Appetite Statement</w:t>
      </w:r>
    </w:p>
    <w:p>
      <w:r>
        <w:t>Northstar Financial seeks sustainable growth from lending, deposits and investment activities while maintaining strong credit quality, liquidity, operational resilience, customer protection and financial-crime controls. The institution has no appetite for deliberate circumvention of delegated authority, sanctions restrictions, fraudulent activity, concealment of material customer information or intentional misstatement of risk.</w:t>
      </w:r>
    </w:p>
    <w:p>
      <w:r>
        <w:t>Risk appetite is expressed through quantitative limits, early-warning thresholds and qualitative positions. A metric outside appetite requires escalation and management action; it does not automatically imply that every underlying transaction or customer is unacceptable.</w:t>
      </w:r>
    </w:p>
    <w:p>
      <w:pPr>
        <w:pStyle w:val="Heading1"/>
        <w:keepNext/>
      </w:pPr>
      <w:r>
        <w:t>2. Appetite Architecture and Status</w:t>
      </w:r>
    </w:p>
    <w:p>
      <w:r>
        <w:t>Metrics use four statuses: Within Appetite, Early Warning, Appetite Breach and Temporary Accepted Excess. Temporary accepted excess requires explicit authority, action and expiry; it is not a new permanent limit.</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880"/>
            <w:shd w:fill="17365D"/>
            <w:vAlign w:val="center"/>
            <w:tcMar>
              <w:top w:w="80" w:type="dxa"/>
              <w:start w:w="90" w:type="dxa"/>
              <w:bottom w:w="80" w:type="dxa"/>
              <w:end w:w="90" w:type="dxa"/>
            </w:tcMar>
          </w:tcPr>
          <w:p>
            <w:r>
              <w:rPr>
                <w:rFonts w:ascii="Aptos" w:hAnsi="Aptos"/>
                <w:b/>
                <w:color w:val="FFFFFF"/>
                <w:sz w:val="16"/>
              </w:rPr>
              <w:t>Status</w:t>
            </w:r>
          </w:p>
        </w:tc>
        <w:tc>
          <w:tcPr>
            <w:tcW w:type="dxa" w:w="4608"/>
            <w:shd w:fill="17365D"/>
            <w:vAlign w:val="center"/>
            <w:tcMar>
              <w:top w:w="80" w:type="dxa"/>
              <w:start w:w="90" w:type="dxa"/>
              <w:bottom w:w="80" w:type="dxa"/>
              <w:end w:w="90" w:type="dxa"/>
            </w:tcMar>
          </w:tcPr>
          <w:p>
            <w:r>
              <w:rPr>
                <w:rFonts w:ascii="Aptos" w:hAnsi="Aptos"/>
                <w:b/>
                <w:color w:val="FFFFFF"/>
                <w:sz w:val="16"/>
              </w:rPr>
              <w:t>Meaning</w:t>
            </w:r>
          </w:p>
        </w:tc>
        <w:tc>
          <w:tcPr>
            <w:tcW w:type="dxa" w:w="2880"/>
            <w:shd w:fill="17365D"/>
            <w:vAlign w:val="center"/>
            <w:tcMar>
              <w:top w:w="80" w:type="dxa"/>
              <w:start w:w="90" w:type="dxa"/>
              <w:bottom w:w="80" w:type="dxa"/>
              <w:end w:w="90" w:type="dxa"/>
            </w:tcMar>
          </w:tcPr>
          <w:p>
            <w:r>
              <w:rPr>
                <w:rFonts w:ascii="Aptos" w:hAnsi="Aptos"/>
                <w:b/>
                <w:color w:val="FFFFFF"/>
                <w:sz w:val="16"/>
              </w:rPr>
              <w:t>Required Response</w:t>
            </w:r>
          </w:p>
        </w:tc>
      </w:tr>
      <w:tr>
        <w:tc>
          <w:tcPr>
            <w:tcW w:type="dxa" w:w="2880"/>
            <w:tcMar>
              <w:top w:w="80" w:type="dxa"/>
              <w:start w:w="90" w:type="dxa"/>
              <w:bottom w:w="80" w:type="dxa"/>
              <w:end w:w="90" w:type="dxa"/>
            </w:tcMar>
            <w:vAlign w:val="top"/>
          </w:tcPr>
          <w:p>
            <w:r>
              <w:rPr>
                <w:rFonts w:ascii="Aptos" w:hAnsi="Aptos"/>
                <w:b w:val="0"/>
                <w:sz w:val="16"/>
              </w:rPr>
              <w:t>Within Appetite</w:t>
            </w:r>
          </w:p>
        </w:tc>
        <w:tc>
          <w:tcPr>
            <w:tcW w:type="dxa" w:w="4608"/>
            <w:tcMar>
              <w:top w:w="80" w:type="dxa"/>
              <w:start w:w="90" w:type="dxa"/>
              <w:bottom w:w="80" w:type="dxa"/>
              <w:end w:w="90" w:type="dxa"/>
            </w:tcMar>
            <w:vAlign w:val="top"/>
          </w:tcPr>
          <w:p>
            <w:r>
              <w:rPr>
                <w:rFonts w:ascii="Aptos" w:hAnsi="Aptos"/>
                <w:b w:val="0"/>
                <w:sz w:val="16"/>
              </w:rPr>
              <w:t>Exposure/control performance is within approved range</w:t>
            </w:r>
          </w:p>
        </w:tc>
        <w:tc>
          <w:tcPr>
            <w:tcW w:type="dxa" w:w="2880"/>
            <w:tcMar>
              <w:top w:w="80" w:type="dxa"/>
              <w:start w:w="90" w:type="dxa"/>
              <w:bottom w:w="80" w:type="dxa"/>
              <w:end w:w="90" w:type="dxa"/>
            </w:tcMar>
            <w:vAlign w:val="top"/>
          </w:tcPr>
          <w:p>
            <w:r>
              <w:rPr>
                <w:rFonts w:ascii="Aptos" w:hAnsi="Aptos"/>
                <w:b w:val="0"/>
                <w:sz w:val="16"/>
              </w:rPr>
              <w:t>Routine monitoring</w:t>
            </w:r>
          </w:p>
        </w:tc>
      </w:tr>
      <w:tr>
        <w:tc>
          <w:tcPr>
            <w:tcW w:type="dxa" w:w="2880"/>
            <w:tcMar>
              <w:top w:w="80" w:type="dxa"/>
              <w:start w:w="90" w:type="dxa"/>
              <w:bottom w:w="80" w:type="dxa"/>
              <w:end w:w="90" w:type="dxa"/>
            </w:tcMar>
            <w:vAlign w:val="top"/>
            <w:shd w:fill="F7FAFC"/>
          </w:tcPr>
          <w:p>
            <w:r>
              <w:rPr>
                <w:rFonts w:ascii="Aptos" w:hAnsi="Aptos"/>
                <w:b w:val="0"/>
                <w:sz w:val="16"/>
              </w:rPr>
              <w:t>Early Warning</w:t>
            </w:r>
          </w:p>
        </w:tc>
        <w:tc>
          <w:tcPr>
            <w:tcW w:type="dxa" w:w="4608"/>
            <w:tcMar>
              <w:top w:w="80" w:type="dxa"/>
              <w:start w:w="90" w:type="dxa"/>
              <w:bottom w:w="80" w:type="dxa"/>
              <w:end w:w="90" w:type="dxa"/>
            </w:tcMar>
            <w:vAlign w:val="top"/>
            <w:shd w:fill="F7FAFC"/>
          </w:tcPr>
          <w:p>
            <w:r>
              <w:rPr>
                <w:rFonts w:ascii="Aptos" w:hAnsi="Aptos"/>
                <w:b w:val="0"/>
                <w:sz w:val="16"/>
              </w:rPr>
              <w:t>Approaching limit or deterioration requiring attention</w:t>
            </w:r>
          </w:p>
        </w:tc>
        <w:tc>
          <w:tcPr>
            <w:tcW w:type="dxa" w:w="2880"/>
            <w:tcMar>
              <w:top w:w="80" w:type="dxa"/>
              <w:start w:w="90" w:type="dxa"/>
              <w:bottom w:w="80" w:type="dxa"/>
              <w:end w:w="90" w:type="dxa"/>
            </w:tcMar>
            <w:vAlign w:val="top"/>
            <w:shd w:fill="F7FAFC"/>
          </w:tcPr>
          <w:p>
            <w:r>
              <w:rPr>
                <w:rFonts w:ascii="Aptos" w:hAnsi="Aptos"/>
                <w:b w:val="0"/>
                <w:sz w:val="16"/>
              </w:rPr>
              <w:t>Management action and closer monitoring</w:t>
            </w:r>
          </w:p>
        </w:tc>
      </w:tr>
      <w:tr>
        <w:tc>
          <w:tcPr>
            <w:tcW w:type="dxa" w:w="2880"/>
            <w:tcMar>
              <w:top w:w="80" w:type="dxa"/>
              <w:start w:w="90" w:type="dxa"/>
              <w:bottom w:w="80" w:type="dxa"/>
              <w:end w:w="90" w:type="dxa"/>
            </w:tcMar>
            <w:vAlign w:val="top"/>
          </w:tcPr>
          <w:p>
            <w:r>
              <w:rPr>
                <w:rFonts w:ascii="Aptos" w:hAnsi="Aptos"/>
                <w:b w:val="0"/>
                <w:sz w:val="16"/>
              </w:rPr>
              <w:t>Appetite Breach</w:t>
            </w:r>
          </w:p>
        </w:tc>
        <w:tc>
          <w:tcPr>
            <w:tcW w:type="dxa" w:w="4608"/>
            <w:tcMar>
              <w:top w:w="80" w:type="dxa"/>
              <w:start w:w="90" w:type="dxa"/>
              <w:bottom w:w="80" w:type="dxa"/>
              <w:end w:w="90" w:type="dxa"/>
            </w:tcMar>
            <w:vAlign w:val="top"/>
          </w:tcPr>
          <w:p>
            <w:r>
              <w:rPr>
                <w:rFonts w:ascii="Aptos" w:hAnsi="Aptos"/>
                <w:b w:val="0"/>
                <w:sz w:val="16"/>
              </w:rPr>
              <w:t>Approved appetite limit exceeded</w:t>
            </w:r>
          </w:p>
        </w:tc>
        <w:tc>
          <w:tcPr>
            <w:tcW w:type="dxa" w:w="2880"/>
            <w:tcMar>
              <w:top w:w="80" w:type="dxa"/>
              <w:start w:w="90" w:type="dxa"/>
              <w:bottom w:w="80" w:type="dxa"/>
              <w:end w:w="90" w:type="dxa"/>
            </w:tcMar>
            <w:vAlign w:val="top"/>
          </w:tcPr>
          <w:p>
            <w:r>
              <w:rPr>
                <w:rFonts w:ascii="Aptos" w:hAnsi="Aptos"/>
                <w:b w:val="0"/>
                <w:sz w:val="16"/>
              </w:rPr>
              <w:t>Prompt escalation, action plan and committee reporting</w:t>
            </w:r>
          </w:p>
        </w:tc>
      </w:tr>
      <w:tr>
        <w:tc>
          <w:tcPr>
            <w:tcW w:type="dxa" w:w="2880"/>
            <w:tcMar>
              <w:top w:w="80" w:type="dxa"/>
              <w:start w:w="90" w:type="dxa"/>
              <w:bottom w:w="80" w:type="dxa"/>
              <w:end w:w="90" w:type="dxa"/>
            </w:tcMar>
            <w:vAlign w:val="top"/>
            <w:shd w:fill="F7FAFC"/>
          </w:tcPr>
          <w:p>
            <w:r>
              <w:rPr>
                <w:rFonts w:ascii="Aptos" w:hAnsi="Aptos"/>
                <w:b w:val="0"/>
                <w:sz w:val="16"/>
              </w:rPr>
              <w:t>Temporary Accepted Excess</w:t>
            </w:r>
          </w:p>
        </w:tc>
        <w:tc>
          <w:tcPr>
            <w:tcW w:type="dxa" w:w="4608"/>
            <w:tcMar>
              <w:top w:w="80" w:type="dxa"/>
              <w:start w:w="90" w:type="dxa"/>
              <w:bottom w:w="80" w:type="dxa"/>
              <w:end w:w="90" w:type="dxa"/>
            </w:tcMar>
            <w:vAlign w:val="top"/>
            <w:shd w:fill="F7FAFC"/>
          </w:tcPr>
          <w:p>
            <w:r>
              <w:rPr>
                <w:rFonts w:ascii="Aptos" w:hAnsi="Aptos"/>
                <w:b w:val="0"/>
                <w:sz w:val="16"/>
              </w:rPr>
              <w:t>Breach accepted for defined period by authorized body</w:t>
            </w:r>
          </w:p>
        </w:tc>
        <w:tc>
          <w:tcPr>
            <w:tcW w:type="dxa" w:w="2880"/>
            <w:tcMar>
              <w:top w:w="80" w:type="dxa"/>
              <w:start w:w="90" w:type="dxa"/>
              <w:bottom w:w="80" w:type="dxa"/>
              <w:end w:w="90" w:type="dxa"/>
            </w:tcMar>
            <w:vAlign w:val="top"/>
            <w:shd w:fill="F7FAFC"/>
          </w:tcPr>
          <w:p>
            <w:r>
              <w:rPr>
                <w:rFonts w:ascii="Aptos" w:hAnsi="Aptos"/>
                <w:b w:val="0"/>
                <w:sz w:val="16"/>
              </w:rPr>
              <w:t>Document rationale, compensating controls, expiry and remediation</w:t>
            </w:r>
          </w:p>
        </w:tc>
      </w:tr>
    </w:tbl>
    <w:p/>
    <w:p>
      <w:pPr>
        <w:pStyle w:val="Heading1"/>
        <w:keepNext/>
      </w:pPr>
      <w:r>
        <w:t>3. Credit Risk Appetite</w:t>
      </w:r>
    </w:p>
    <w:p>
      <w:r>
        <w:t>Northstar accepts controlled retail and SME credit risk within underwriting, product and concentration limits. The institution has low appetite for policy exceptions that compensate for weak affordability without credible compensating factors.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3744"/>
            <w:shd w:fill="17365D"/>
            <w:vAlign w:val="center"/>
            <w:tcMar>
              <w:top w:w="80" w:type="dxa"/>
              <w:start w:w="90" w:type="dxa"/>
              <w:bottom w:w="80" w:type="dxa"/>
              <w:end w:w="90" w:type="dxa"/>
            </w:tcMar>
          </w:tcPr>
          <w:p>
            <w:r>
              <w:rPr>
                <w:rFonts w:ascii="Aptos" w:hAnsi="Aptos"/>
                <w:b/>
                <w:color w:val="FFFFFF"/>
                <w:sz w:val="16"/>
              </w:rPr>
              <w:t>Metric</w:t>
            </w:r>
          </w:p>
        </w:tc>
        <w:tc>
          <w:tcPr>
            <w:tcW w:type="dxa" w:w="2160"/>
            <w:shd w:fill="17365D"/>
            <w:vAlign w:val="center"/>
            <w:tcMar>
              <w:top w:w="80" w:type="dxa"/>
              <w:start w:w="90" w:type="dxa"/>
              <w:bottom w:w="80" w:type="dxa"/>
              <w:end w:w="90" w:type="dxa"/>
            </w:tcMar>
          </w:tcPr>
          <w:p>
            <w:r>
              <w:rPr>
                <w:rFonts w:ascii="Aptos" w:hAnsi="Aptos"/>
                <w:b/>
                <w:color w:val="FFFFFF"/>
                <w:sz w:val="16"/>
              </w:rPr>
              <w:t>Appetite</w:t>
            </w:r>
          </w:p>
        </w:tc>
        <w:tc>
          <w:tcPr>
            <w:tcW w:type="dxa" w:w="2160"/>
            <w:shd w:fill="17365D"/>
            <w:vAlign w:val="center"/>
            <w:tcMar>
              <w:top w:w="80" w:type="dxa"/>
              <w:start w:w="90" w:type="dxa"/>
              <w:bottom w:w="80" w:type="dxa"/>
              <w:end w:w="90" w:type="dxa"/>
            </w:tcMar>
          </w:tcPr>
          <w:p>
            <w:r>
              <w:rPr>
                <w:rFonts w:ascii="Aptos" w:hAnsi="Aptos"/>
                <w:b/>
                <w:color w:val="FFFFFF"/>
                <w:sz w:val="16"/>
              </w:rPr>
              <w:t>Early Warning</w:t>
            </w:r>
          </w:p>
        </w:tc>
        <w:tc>
          <w:tcPr>
            <w:tcW w:type="dxa" w:w="3168"/>
            <w:shd w:fill="17365D"/>
            <w:vAlign w:val="center"/>
            <w:tcMar>
              <w:top w:w="80" w:type="dxa"/>
              <w:start w:w="90" w:type="dxa"/>
              <w:bottom w:w="80" w:type="dxa"/>
              <w:end w:w="90" w:type="dxa"/>
            </w:tcMar>
          </w:tcPr>
          <w:p>
            <w:r>
              <w:rPr>
                <w:rFonts w:ascii="Aptos" w:hAnsi="Aptos"/>
                <w:b/>
                <w:color w:val="FFFFFF"/>
                <w:sz w:val="16"/>
              </w:rPr>
              <w:t>Breach / Escalation</w:t>
            </w:r>
          </w:p>
        </w:tc>
      </w:tr>
      <w:tr>
        <w:tc>
          <w:tcPr>
            <w:tcW w:type="dxa" w:w="3744"/>
            <w:tcMar>
              <w:top w:w="80" w:type="dxa"/>
              <w:start w:w="90" w:type="dxa"/>
              <w:bottom w:w="80" w:type="dxa"/>
              <w:end w:w="90" w:type="dxa"/>
            </w:tcMar>
            <w:vAlign w:val="top"/>
          </w:tcPr>
          <w:p>
            <w:r>
              <w:rPr>
                <w:rFonts w:ascii="Aptos" w:hAnsi="Aptos"/>
                <w:b w:val="0"/>
                <w:sz w:val="16"/>
              </w:rPr>
              <w:t>Personal-loan standard DTI</w:t>
            </w:r>
          </w:p>
        </w:tc>
        <w:tc>
          <w:tcPr>
            <w:tcW w:type="dxa" w:w="2160"/>
            <w:tcMar>
              <w:top w:w="80" w:type="dxa"/>
              <w:start w:w="90" w:type="dxa"/>
              <w:bottom w:w="80" w:type="dxa"/>
              <w:end w:w="90" w:type="dxa"/>
            </w:tcMar>
            <w:vAlign w:val="top"/>
          </w:tcPr>
          <w:p>
            <w:r>
              <w:rPr>
                <w:rFonts w:ascii="Aptos" w:hAnsi="Aptos"/>
                <w:b w:val="0"/>
                <w:sz w:val="16"/>
              </w:rPr>
              <w:t>≤45% standard rule</w:t>
            </w:r>
          </w:p>
        </w:tc>
        <w:tc>
          <w:tcPr>
            <w:tcW w:type="dxa" w:w="2160"/>
            <w:tcMar>
              <w:top w:w="80" w:type="dxa"/>
              <w:start w:w="90" w:type="dxa"/>
              <w:bottom w:w="80" w:type="dxa"/>
              <w:end w:w="90" w:type="dxa"/>
            </w:tcMar>
            <w:vAlign w:val="top"/>
          </w:tcPr>
          <w:p>
            <w:r>
              <w:rPr>
                <w:rFonts w:ascii="Aptos" w:hAnsi="Aptos"/>
                <w:b w:val="0"/>
                <w:sz w:val="16"/>
              </w:rPr>
              <w:t>Exception mix or trend rising</w:t>
            </w:r>
          </w:p>
        </w:tc>
        <w:tc>
          <w:tcPr>
            <w:tcW w:type="dxa" w:w="3168"/>
            <w:tcMar>
              <w:top w:w="80" w:type="dxa"/>
              <w:start w:w="90" w:type="dxa"/>
              <w:bottom w:w="80" w:type="dxa"/>
              <w:end w:w="90" w:type="dxa"/>
            </w:tcMar>
            <w:vAlign w:val="top"/>
          </w:tcPr>
          <w:p>
            <w:r>
              <w:rPr>
                <w:rFonts w:ascii="Aptos" w:hAnsi="Aptos"/>
                <w:b w:val="0"/>
                <w:sz w:val="16"/>
              </w:rPr>
              <w:t>Cases &gt;48% outside normal standard require Head Credit Risk minimum; portfolio pattern to committee</w:t>
            </w:r>
          </w:p>
        </w:tc>
      </w:tr>
      <w:tr>
        <w:tc>
          <w:tcPr>
            <w:tcW w:type="dxa" w:w="3744"/>
            <w:tcMar>
              <w:top w:w="80" w:type="dxa"/>
              <w:start w:w="90" w:type="dxa"/>
              <w:bottom w:w="80" w:type="dxa"/>
              <w:end w:w="90" w:type="dxa"/>
            </w:tcMar>
            <w:vAlign w:val="top"/>
            <w:shd w:fill="F7FAFC"/>
          </w:tcPr>
          <w:p>
            <w:r>
              <w:rPr>
                <w:rFonts w:ascii="Aptos" w:hAnsi="Aptos"/>
                <w:b w:val="0"/>
                <w:sz w:val="16"/>
              </w:rPr>
              <w:t>Personal-loan approved DTI exceptions</w:t>
            </w:r>
          </w:p>
        </w:tc>
        <w:tc>
          <w:tcPr>
            <w:tcW w:type="dxa" w:w="2160"/>
            <w:tcMar>
              <w:top w:w="80" w:type="dxa"/>
              <w:start w:w="90" w:type="dxa"/>
              <w:bottom w:w="80" w:type="dxa"/>
              <w:end w:w="90" w:type="dxa"/>
            </w:tcMar>
            <w:vAlign w:val="top"/>
            <w:shd w:fill="F7FAFC"/>
          </w:tcPr>
          <w:p>
            <w:r>
              <w:rPr>
                <w:rFonts w:ascii="Aptos" w:hAnsi="Aptos"/>
                <w:b w:val="0"/>
                <w:sz w:val="16"/>
              </w:rPr>
              <w:t>≤3.0% of quarterly approvals</w:t>
            </w:r>
          </w:p>
        </w:tc>
        <w:tc>
          <w:tcPr>
            <w:tcW w:type="dxa" w:w="2160"/>
            <w:tcMar>
              <w:top w:w="80" w:type="dxa"/>
              <w:start w:w="90" w:type="dxa"/>
              <w:bottom w:w="80" w:type="dxa"/>
              <w:end w:w="90" w:type="dxa"/>
            </w:tcMar>
            <w:vAlign w:val="top"/>
            <w:shd w:fill="F7FAFC"/>
          </w:tcPr>
          <w:p>
            <w:r>
              <w:rPr>
                <w:rFonts w:ascii="Aptos" w:hAnsi="Aptos"/>
                <w:b w:val="0"/>
                <w:sz w:val="16"/>
              </w:rPr>
              <w:t>&gt;2.0%</w:t>
            </w:r>
          </w:p>
        </w:tc>
        <w:tc>
          <w:tcPr>
            <w:tcW w:type="dxa" w:w="3168"/>
            <w:tcMar>
              <w:top w:w="80" w:type="dxa"/>
              <w:start w:w="90" w:type="dxa"/>
              <w:bottom w:w="80" w:type="dxa"/>
              <w:end w:w="90" w:type="dxa"/>
            </w:tcMar>
            <w:vAlign w:val="top"/>
            <w:shd w:fill="F7FAFC"/>
          </w:tcPr>
          <w:p>
            <w:r>
              <w:rPr>
                <w:rFonts w:ascii="Aptos" w:hAnsi="Aptos"/>
                <w:b w:val="0"/>
                <w:sz w:val="16"/>
              </w:rPr>
              <w:t>&gt;3.0%</w:t>
            </w:r>
          </w:p>
        </w:tc>
      </w:tr>
      <w:tr>
        <w:tc>
          <w:tcPr>
            <w:tcW w:type="dxa" w:w="3744"/>
            <w:tcMar>
              <w:top w:w="80" w:type="dxa"/>
              <w:start w:w="90" w:type="dxa"/>
              <w:bottom w:w="80" w:type="dxa"/>
              <w:end w:w="90" w:type="dxa"/>
            </w:tcMar>
            <w:vAlign w:val="top"/>
          </w:tcPr>
          <w:p>
            <w:r>
              <w:rPr>
                <w:rFonts w:ascii="Aptos" w:hAnsi="Aptos"/>
                <w:b w:val="0"/>
                <w:sz w:val="16"/>
              </w:rPr>
              <w:t>Personal-loan 30+ DPD (portfolio)</w:t>
            </w:r>
          </w:p>
        </w:tc>
        <w:tc>
          <w:tcPr>
            <w:tcW w:type="dxa" w:w="2160"/>
            <w:tcMar>
              <w:top w:w="80" w:type="dxa"/>
              <w:start w:w="90" w:type="dxa"/>
              <w:bottom w:w="80" w:type="dxa"/>
              <w:end w:w="90" w:type="dxa"/>
            </w:tcMar>
            <w:vAlign w:val="top"/>
          </w:tcPr>
          <w:p>
            <w:r>
              <w:rPr>
                <w:rFonts w:ascii="Aptos" w:hAnsi="Aptos"/>
                <w:b w:val="0"/>
                <w:sz w:val="16"/>
              </w:rPr>
              <w:t>≤4.0%</w:t>
            </w:r>
          </w:p>
        </w:tc>
        <w:tc>
          <w:tcPr>
            <w:tcW w:type="dxa" w:w="2160"/>
            <w:tcMar>
              <w:top w:w="80" w:type="dxa"/>
              <w:start w:w="90" w:type="dxa"/>
              <w:bottom w:w="80" w:type="dxa"/>
              <w:end w:w="90" w:type="dxa"/>
            </w:tcMar>
            <w:vAlign w:val="top"/>
          </w:tcPr>
          <w:p>
            <w:r>
              <w:rPr>
                <w:rFonts w:ascii="Aptos" w:hAnsi="Aptos"/>
                <w:b w:val="0"/>
                <w:sz w:val="16"/>
              </w:rPr>
              <w:t>&gt;3.2%</w:t>
            </w:r>
          </w:p>
        </w:tc>
        <w:tc>
          <w:tcPr>
            <w:tcW w:type="dxa" w:w="3168"/>
            <w:tcMar>
              <w:top w:w="80" w:type="dxa"/>
              <w:start w:w="90" w:type="dxa"/>
              <w:bottom w:w="80" w:type="dxa"/>
              <w:end w:w="90" w:type="dxa"/>
            </w:tcMar>
            <w:vAlign w:val="top"/>
          </w:tcPr>
          <w:p>
            <w:r>
              <w:rPr>
                <w:rFonts w:ascii="Aptos" w:hAnsi="Aptos"/>
                <w:b w:val="0"/>
                <w:sz w:val="16"/>
              </w:rPr>
              <w:t>&gt;4.0%</w:t>
            </w:r>
          </w:p>
        </w:tc>
      </w:tr>
      <w:tr>
        <w:tc>
          <w:tcPr>
            <w:tcW w:type="dxa" w:w="3744"/>
            <w:tcMar>
              <w:top w:w="80" w:type="dxa"/>
              <w:start w:w="90" w:type="dxa"/>
              <w:bottom w:w="80" w:type="dxa"/>
              <w:end w:w="90" w:type="dxa"/>
            </w:tcMar>
            <w:vAlign w:val="top"/>
            <w:shd w:fill="F7FAFC"/>
          </w:tcPr>
          <w:p>
            <w:r>
              <w:rPr>
                <w:rFonts w:ascii="Aptos" w:hAnsi="Aptos"/>
                <w:b w:val="0"/>
                <w:sz w:val="16"/>
              </w:rPr>
              <w:t>Gross internal NPA ratio</w:t>
            </w:r>
          </w:p>
        </w:tc>
        <w:tc>
          <w:tcPr>
            <w:tcW w:type="dxa" w:w="2160"/>
            <w:tcMar>
              <w:top w:w="80" w:type="dxa"/>
              <w:start w:w="90" w:type="dxa"/>
              <w:bottom w:w="80" w:type="dxa"/>
              <w:end w:w="90" w:type="dxa"/>
            </w:tcMar>
            <w:vAlign w:val="top"/>
            <w:shd w:fill="F7FAFC"/>
          </w:tcPr>
          <w:p>
            <w:r>
              <w:rPr>
                <w:rFonts w:ascii="Aptos" w:hAnsi="Aptos"/>
                <w:b w:val="0"/>
                <w:sz w:val="16"/>
              </w:rPr>
              <w:t>≤3.5%</w:t>
            </w:r>
          </w:p>
        </w:tc>
        <w:tc>
          <w:tcPr>
            <w:tcW w:type="dxa" w:w="2160"/>
            <w:tcMar>
              <w:top w:w="80" w:type="dxa"/>
              <w:start w:w="90" w:type="dxa"/>
              <w:bottom w:w="80" w:type="dxa"/>
              <w:end w:w="90" w:type="dxa"/>
            </w:tcMar>
            <w:vAlign w:val="top"/>
            <w:shd w:fill="F7FAFC"/>
          </w:tcPr>
          <w:p>
            <w:r>
              <w:rPr>
                <w:rFonts w:ascii="Aptos" w:hAnsi="Aptos"/>
                <w:b w:val="0"/>
                <w:sz w:val="16"/>
              </w:rPr>
              <w:t>&gt;2.8%</w:t>
            </w:r>
          </w:p>
        </w:tc>
        <w:tc>
          <w:tcPr>
            <w:tcW w:type="dxa" w:w="3168"/>
            <w:tcMar>
              <w:top w:w="80" w:type="dxa"/>
              <w:start w:w="90" w:type="dxa"/>
              <w:bottom w:w="80" w:type="dxa"/>
              <w:end w:w="90" w:type="dxa"/>
            </w:tcMar>
            <w:vAlign w:val="top"/>
            <w:shd w:fill="F7FAFC"/>
          </w:tcPr>
          <w:p>
            <w:r>
              <w:rPr>
                <w:rFonts w:ascii="Aptos" w:hAnsi="Aptos"/>
                <w:b w:val="0"/>
                <w:sz w:val="16"/>
              </w:rPr>
              <w:t>&gt;3.5%</w:t>
            </w:r>
          </w:p>
        </w:tc>
      </w:tr>
      <w:tr>
        <w:tc>
          <w:tcPr>
            <w:tcW w:type="dxa" w:w="3744"/>
            <w:tcMar>
              <w:top w:w="80" w:type="dxa"/>
              <w:start w:w="90" w:type="dxa"/>
              <w:bottom w:w="80" w:type="dxa"/>
              <w:end w:w="90" w:type="dxa"/>
            </w:tcMar>
            <w:vAlign w:val="top"/>
          </w:tcPr>
          <w:p>
            <w:r>
              <w:rPr>
                <w:rFonts w:ascii="Aptos" w:hAnsi="Aptos"/>
                <w:b w:val="0"/>
                <w:sz w:val="16"/>
              </w:rPr>
              <w:t>Single sourcing partner share of quarterly new originations</w:t>
            </w:r>
          </w:p>
        </w:tc>
        <w:tc>
          <w:tcPr>
            <w:tcW w:type="dxa" w:w="2160"/>
            <w:tcMar>
              <w:top w:w="80" w:type="dxa"/>
              <w:start w:w="90" w:type="dxa"/>
              <w:bottom w:w="80" w:type="dxa"/>
              <w:end w:w="90" w:type="dxa"/>
            </w:tcMar>
            <w:vAlign w:val="top"/>
          </w:tcPr>
          <w:p>
            <w:r>
              <w:rPr>
                <w:rFonts w:ascii="Aptos" w:hAnsi="Aptos"/>
                <w:b w:val="0"/>
                <w:sz w:val="16"/>
              </w:rPr>
              <w:t>≤15% management trigger</w:t>
            </w:r>
          </w:p>
        </w:tc>
        <w:tc>
          <w:tcPr>
            <w:tcW w:type="dxa" w:w="2160"/>
            <w:tcMar>
              <w:top w:w="80" w:type="dxa"/>
              <w:start w:w="90" w:type="dxa"/>
              <w:bottom w:w="80" w:type="dxa"/>
              <w:end w:w="90" w:type="dxa"/>
            </w:tcMar>
            <w:vAlign w:val="top"/>
          </w:tcPr>
          <w:p>
            <w:r>
              <w:rPr>
                <w:rFonts w:ascii="Aptos" w:hAnsi="Aptos"/>
                <w:b w:val="0"/>
                <w:sz w:val="16"/>
              </w:rPr>
              <w:t>&gt;12%</w:t>
            </w:r>
          </w:p>
        </w:tc>
        <w:tc>
          <w:tcPr>
            <w:tcW w:type="dxa" w:w="3168"/>
            <w:tcMar>
              <w:top w:w="80" w:type="dxa"/>
              <w:start w:w="90" w:type="dxa"/>
              <w:bottom w:w="80" w:type="dxa"/>
              <w:end w:w="90" w:type="dxa"/>
            </w:tcMar>
            <w:vAlign w:val="top"/>
          </w:tcPr>
          <w:p>
            <w:r>
              <w:rPr>
                <w:rFonts w:ascii="Aptos" w:hAnsi="Aptos"/>
                <w:b w:val="0"/>
                <w:sz w:val="16"/>
              </w:rPr>
              <w:t>&gt;15% requires concentration review; not automatically stop-lend</w:t>
            </w:r>
          </w:p>
        </w:tc>
      </w:tr>
      <w:tr>
        <w:tc>
          <w:tcPr>
            <w:tcW w:type="dxa" w:w="3744"/>
            <w:tcMar>
              <w:top w:w="80" w:type="dxa"/>
              <w:start w:w="90" w:type="dxa"/>
              <w:bottom w:w="80" w:type="dxa"/>
              <w:end w:w="90" w:type="dxa"/>
            </w:tcMar>
            <w:vAlign w:val="top"/>
            <w:shd w:fill="F7FAFC"/>
          </w:tcPr>
          <w:p>
            <w:r>
              <w:rPr>
                <w:rFonts w:ascii="Aptos" w:hAnsi="Aptos"/>
                <w:b w:val="0"/>
                <w:sz w:val="16"/>
              </w:rPr>
              <w:t>District unsecured concentration</w:t>
            </w:r>
          </w:p>
        </w:tc>
        <w:tc>
          <w:tcPr>
            <w:tcW w:type="dxa" w:w="2160"/>
            <w:tcMar>
              <w:top w:w="80" w:type="dxa"/>
              <w:start w:w="90" w:type="dxa"/>
              <w:bottom w:w="80" w:type="dxa"/>
              <w:end w:w="90" w:type="dxa"/>
            </w:tcMar>
            <w:vAlign w:val="top"/>
            <w:shd w:fill="F7FAFC"/>
          </w:tcPr>
          <w:p>
            <w:r>
              <w:rPr>
                <w:rFonts w:ascii="Aptos" w:hAnsi="Aptos"/>
                <w:b w:val="0"/>
                <w:sz w:val="16"/>
              </w:rPr>
              <w:t>≤10% management trigger</w:t>
            </w:r>
          </w:p>
        </w:tc>
        <w:tc>
          <w:tcPr>
            <w:tcW w:type="dxa" w:w="2160"/>
            <w:tcMar>
              <w:top w:w="80" w:type="dxa"/>
              <w:start w:w="90" w:type="dxa"/>
              <w:bottom w:w="80" w:type="dxa"/>
              <w:end w:w="90" w:type="dxa"/>
            </w:tcMar>
            <w:vAlign w:val="top"/>
            <w:shd w:fill="F7FAFC"/>
          </w:tcPr>
          <w:p>
            <w:r>
              <w:rPr>
                <w:rFonts w:ascii="Aptos" w:hAnsi="Aptos"/>
                <w:b w:val="0"/>
                <w:sz w:val="16"/>
              </w:rPr>
              <w:t>&gt;8%</w:t>
            </w:r>
          </w:p>
        </w:tc>
        <w:tc>
          <w:tcPr>
            <w:tcW w:type="dxa" w:w="3168"/>
            <w:tcMar>
              <w:top w:w="80" w:type="dxa"/>
              <w:start w:w="90" w:type="dxa"/>
              <w:bottom w:w="80" w:type="dxa"/>
              <w:end w:w="90" w:type="dxa"/>
            </w:tcMar>
            <w:vAlign w:val="top"/>
            <w:shd w:fill="F7FAFC"/>
          </w:tcPr>
          <w:p>
            <w:r>
              <w:rPr>
                <w:rFonts w:ascii="Aptos" w:hAnsi="Aptos"/>
                <w:b w:val="0"/>
                <w:sz w:val="16"/>
              </w:rPr>
              <w:t>&gt;10% requires management review</w:t>
            </w:r>
          </w:p>
        </w:tc>
      </w:tr>
      <w:tr>
        <w:tc>
          <w:tcPr>
            <w:tcW w:type="dxa" w:w="3744"/>
            <w:tcMar>
              <w:top w:w="80" w:type="dxa"/>
              <w:start w:w="90" w:type="dxa"/>
              <w:bottom w:w="80" w:type="dxa"/>
              <w:end w:w="90" w:type="dxa"/>
            </w:tcMar>
            <w:vAlign w:val="top"/>
          </w:tcPr>
          <w:p>
            <w:r>
              <w:rPr>
                <w:rFonts w:ascii="Aptos" w:hAnsi="Aptos"/>
                <w:b w:val="0"/>
                <w:sz w:val="16"/>
              </w:rPr>
              <w:t>High-risk industry share of SME funded exposure</w:t>
            </w:r>
          </w:p>
        </w:tc>
        <w:tc>
          <w:tcPr>
            <w:tcW w:type="dxa" w:w="2160"/>
            <w:tcMar>
              <w:top w:w="80" w:type="dxa"/>
              <w:start w:w="90" w:type="dxa"/>
              <w:bottom w:w="80" w:type="dxa"/>
              <w:end w:w="90" w:type="dxa"/>
            </w:tcMar>
            <w:vAlign w:val="top"/>
          </w:tcPr>
          <w:p>
            <w:r>
              <w:rPr>
                <w:rFonts w:ascii="Aptos" w:hAnsi="Aptos"/>
                <w:b w:val="0"/>
                <w:sz w:val="16"/>
              </w:rPr>
              <w:t>≤7.5%</w:t>
            </w:r>
          </w:p>
        </w:tc>
        <w:tc>
          <w:tcPr>
            <w:tcW w:type="dxa" w:w="2160"/>
            <w:tcMar>
              <w:top w:w="80" w:type="dxa"/>
              <w:start w:w="90" w:type="dxa"/>
              <w:bottom w:w="80" w:type="dxa"/>
              <w:end w:w="90" w:type="dxa"/>
            </w:tcMar>
            <w:vAlign w:val="top"/>
          </w:tcPr>
          <w:p>
            <w:r>
              <w:rPr>
                <w:rFonts w:ascii="Aptos" w:hAnsi="Aptos"/>
                <w:b w:val="0"/>
                <w:sz w:val="16"/>
              </w:rPr>
              <w:t>&gt;6.0%</w:t>
            </w:r>
          </w:p>
        </w:tc>
        <w:tc>
          <w:tcPr>
            <w:tcW w:type="dxa" w:w="3168"/>
            <w:tcMar>
              <w:top w:w="80" w:type="dxa"/>
              <w:start w:w="90" w:type="dxa"/>
              <w:bottom w:w="80" w:type="dxa"/>
              <w:end w:w="90" w:type="dxa"/>
            </w:tcMar>
            <w:vAlign w:val="top"/>
          </w:tcPr>
          <w:p>
            <w:r>
              <w:rPr>
                <w:rFonts w:ascii="Aptos" w:hAnsi="Aptos"/>
                <w:b w:val="0"/>
                <w:sz w:val="16"/>
              </w:rPr>
              <w:t>&gt;7.5% requires documented risk response</w:t>
            </w:r>
          </w:p>
        </w:tc>
      </w:tr>
    </w:tbl>
    <w:p/>
    <w:p>
      <w:pPr>
        <w:pStyle w:val="Heading1"/>
        <w:keepNext/>
      </w:pPr>
      <w:r>
        <w:t>4. Credit Decision Quality and Authority Appetite</w:t>
      </w:r>
    </w:p>
    <w:p>
      <w:r>
        <w:t>Northstar has no appetite for deliberate approvals outside delegated authority. System permissions are not authority. Correctly approved exceptions are permitted within controlled limits and reporting.</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4608"/>
            <w:shd w:fill="17365D"/>
            <w:vAlign w:val="center"/>
            <w:tcMar>
              <w:top w:w="80" w:type="dxa"/>
              <w:start w:w="90" w:type="dxa"/>
              <w:bottom w:w="80" w:type="dxa"/>
              <w:end w:w="90" w:type="dxa"/>
            </w:tcMar>
          </w:tcPr>
          <w:p>
            <w:r>
              <w:rPr>
                <w:rFonts w:ascii="Aptos" w:hAnsi="Aptos"/>
                <w:b/>
                <w:color w:val="FFFFFF"/>
                <w:sz w:val="16"/>
              </w:rPr>
              <w:t>Indicator</w:t>
            </w:r>
          </w:p>
        </w:tc>
        <w:tc>
          <w:tcPr>
            <w:tcW w:type="dxa" w:w="5760"/>
            <w:shd w:fill="17365D"/>
            <w:vAlign w:val="center"/>
            <w:tcMar>
              <w:top w:w="80" w:type="dxa"/>
              <w:start w:w="90" w:type="dxa"/>
              <w:bottom w:w="80" w:type="dxa"/>
              <w:end w:w="90" w:type="dxa"/>
            </w:tcMar>
          </w:tcPr>
          <w:p>
            <w:r>
              <w:rPr>
                <w:rFonts w:ascii="Aptos" w:hAnsi="Aptos"/>
                <w:b/>
                <w:color w:val="FFFFFF"/>
                <w:sz w:val="16"/>
              </w:rPr>
              <w:t>Appetite Position</w:t>
            </w:r>
          </w:p>
        </w:tc>
      </w:tr>
      <w:tr>
        <w:tc>
          <w:tcPr>
            <w:tcW w:type="dxa" w:w="4608"/>
            <w:tcMar>
              <w:top w:w="80" w:type="dxa"/>
              <w:start w:w="90" w:type="dxa"/>
              <w:bottom w:w="80" w:type="dxa"/>
              <w:end w:w="90" w:type="dxa"/>
            </w:tcMar>
            <w:vAlign w:val="top"/>
          </w:tcPr>
          <w:p>
            <w:r>
              <w:rPr>
                <w:rFonts w:ascii="Aptos" w:hAnsi="Aptos"/>
                <w:b w:val="0"/>
                <w:sz w:val="16"/>
              </w:rPr>
              <w:t>Unauthorized approval above delegated authority</w:t>
            </w:r>
          </w:p>
        </w:tc>
        <w:tc>
          <w:tcPr>
            <w:tcW w:type="dxa" w:w="5760"/>
            <w:tcMar>
              <w:top w:w="80" w:type="dxa"/>
              <w:start w:w="90" w:type="dxa"/>
              <w:bottom w:w="80" w:type="dxa"/>
              <w:end w:w="90" w:type="dxa"/>
            </w:tcMar>
            <w:vAlign w:val="top"/>
          </w:tcPr>
          <w:p>
            <w:r>
              <w:rPr>
                <w:rFonts w:ascii="Aptos" w:hAnsi="Aptos"/>
                <w:b w:val="0"/>
                <w:sz w:val="16"/>
              </w:rPr>
              <w:t>Zero tolerance; immediate breach escalation</w:t>
            </w:r>
          </w:p>
        </w:tc>
      </w:tr>
      <w:tr>
        <w:tc>
          <w:tcPr>
            <w:tcW w:type="dxa" w:w="4608"/>
            <w:tcMar>
              <w:top w:w="80" w:type="dxa"/>
              <w:start w:w="90" w:type="dxa"/>
              <w:bottom w:w="80" w:type="dxa"/>
              <w:end w:w="90" w:type="dxa"/>
            </w:tcMar>
            <w:vAlign w:val="top"/>
            <w:shd w:fill="F7FAFC"/>
          </w:tcPr>
          <w:p>
            <w:r>
              <w:rPr>
                <w:rFonts w:ascii="Aptos" w:hAnsi="Aptos"/>
                <w:b w:val="0"/>
                <w:sz w:val="16"/>
              </w:rPr>
              <w:t>Retrospective approval of missed authority</w:t>
            </w:r>
          </w:p>
        </w:tc>
        <w:tc>
          <w:tcPr>
            <w:tcW w:type="dxa" w:w="5760"/>
            <w:tcMar>
              <w:top w:w="80" w:type="dxa"/>
              <w:start w:w="90" w:type="dxa"/>
              <w:bottom w:w="80" w:type="dxa"/>
              <w:end w:w="90" w:type="dxa"/>
            </w:tcMar>
            <w:vAlign w:val="top"/>
            <w:shd w:fill="F7FAFC"/>
          </w:tcPr>
          <w:p>
            <w:r>
              <w:rPr>
                <w:rFonts w:ascii="Aptos" w:hAnsi="Aptos"/>
                <w:b w:val="0"/>
                <w:sz w:val="16"/>
              </w:rPr>
              <w:t>May remediate decision but remains a control breach</w:t>
            </w:r>
          </w:p>
        </w:tc>
      </w:tr>
      <w:tr>
        <w:tc>
          <w:tcPr>
            <w:tcW w:type="dxa" w:w="4608"/>
            <w:tcMar>
              <w:top w:w="80" w:type="dxa"/>
              <w:start w:w="90" w:type="dxa"/>
              <w:bottom w:w="80" w:type="dxa"/>
              <w:end w:w="90" w:type="dxa"/>
            </w:tcMar>
            <w:vAlign w:val="top"/>
          </w:tcPr>
          <w:p>
            <w:r>
              <w:rPr>
                <w:rFonts w:ascii="Aptos" w:hAnsi="Aptos"/>
                <w:b w:val="0"/>
                <w:sz w:val="16"/>
              </w:rPr>
              <w:t>Exception approvals lacking compensating factor</w:t>
            </w:r>
          </w:p>
        </w:tc>
        <w:tc>
          <w:tcPr>
            <w:tcW w:type="dxa" w:w="5760"/>
            <w:tcMar>
              <w:top w:w="80" w:type="dxa"/>
              <w:start w:w="90" w:type="dxa"/>
              <w:bottom w:w="80" w:type="dxa"/>
              <w:end w:w="90" w:type="dxa"/>
            </w:tcMar>
            <w:vAlign w:val="top"/>
          </w:tcPr>
          <w:p>
            <w:r>
              <w:rPr>
                <w:rFonts w:ascii="Aptos" w:hAnsi="Aptos"/>
                <w:b w:val="0"/>
                <w:sz w:val="16"/>
              </w:rPr>
              <w:t>Low appetite; QA and management action</w:t>
            </w:r>
          </w:p>
        </w:tc>
      </w:tr>
      <w:tr>
        <w:tc>
          <w:tcPr>
            <w:tcW w:type="dxa" w:w="4608"/>
            <w:tcMar>
              <w:top w:w="80" w:type="dxa"/>
              <w:start w:w="90" w:type="dxa"/>
              <w:bottom w:w="80" w:type="dxa"/>
              <w:end w:w="90" w:type="dxa"/>
            </w:tcMar>
            <w:vAlign w:val="top"/>
            <w:shd w:fill="F7FAFC"/>
          </w:tcPr>
          <w:p>
            <w:r>
              <w:rPr>
                <w:rFonts w:ascii="Aptos" w:hAnsi="Aptos"/>
                <w:b w:val="0"/>
                <w:sz w:val="16"/>
              </w:rPr>
              <w:t>Historical threshold applied outside valid transition</w:t>
            </w:r>
          </w:p>
        </w:tc>
        <w:tc>
          <w:tcPr>
            <w:tcW w:type="dxa" w:w="5760"/>
            <w:tcMar>
              <w:top w:w="80" w:type="dxa"/>
              <w:start w:w="90" w:type="dxa"/>
              <w:bottom w:w="80" w:type="dxa"/>
              <w:end w:w="90" w:type="dxa"/>
            </w:tcMar>
            <w:vAlign w:val="top"/>
            <w:shd w:fill="F7FAFC"/>
          </w:tcPr>
          <w:p>
            <w:r>
              <w:rPr>
                <w:rFonts w:ascii="Aptos" w:hAnsi="Aptos"/>
                <w:b w:val="0"/>
                <w:sz w:val="16"/>
              </w:rPr>
              <w:t>Zero tolerance once confirmed as rule misapplication</w:t>
            </w:r>
          </w:p>
        </w:tc>
      </w:tr>
      <w:tr>
        <w:tc>
          <w:tcPr>
            <w:tcW w:type="dxa" w:w="4608"/>
            <w:tcMar>
              <w:top w:w="80" w:type="dxa"/>
              <w:start w:w="90" w:type="dxa"/>
              <w:bottom w:w="80" w:type="dxa"/>
              <w:end w:w="90" w:type="dxa"/>
            </w:tcMar>
            <w:vAlign w:val="top"/>
          </w:tcPr>
          <w:p>
            <w:r>
              <w:rPr>
                <w:rFonts w:ascii="Aptos" w:hAnsi="Aptos"/>
                <w:b w:val="0"/>
                <w:sz w:val="16"/>
              </w:rPr>
              <w:t>Manual underwriting required by product procedure</w:t>
            </w:r>
          </w:p>
        </w:tc>
        <w:tc>
          <w:tcPr>
            <w:tcW w:type="dxa" w:w="5760"/>
            <w:tcMar>
              <w:top w:w="80" w:type="dxa"/>
              <w:start w:w="90" w:type="dxa"/>
              <w:bottom w:w="80" w:type="dxa"/>
              <w:end w:w="90" w:type="dxa"/>
            </w:tcMar>
            <w:vAlign w:val="top"/>
          </w:tcPr>
          <w:p>
            <w:r>
              <w:rPr>
                <w:rFonts w:ascii="Aptos" w:hAnsi="Aptos"/>
                <w:b w:val="0"/>
                <w:sz w:val="16"/>
              </w:rPr>
              <w:t>Permitted; not an exception when procedure defines the manual band</w:t>
            </w:r>
          </w:p>
        </w:tc>
      </w:tr>
    </w:tbl>
    <w:p/>
    <w:p>
      <w:pPr>
        <w:pStyle w:val="Heading1"/>
        <w:keepNext/>
      </w:pPr>
      <w:r>
        <w:t>5. Financial-Crime and KYC Appetite</w:t>
      </w:r>
    </w:p>
    <w:p>
      <w:r>
        <w:t>Northstar accepts customers with varying AML risk where risk is understood, approved and controlled. It has no appetite for unresolved sanctions restrictions, deliberate concealment of beneficial ownership, or knowingly incomplete mandatory identity controls.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4032"/>
            <w:shd w:fill="17365D"/>
            <w:vAlign w:val="center"/>
            <w:tcMar>
              <w:top w:w="80" w:type="dxa"/>
              <w:start w:w="90" w:type="dxa"/>
              <w:bottom w:w="80" w:type="dxa"/>
              <w:end w:w="90" w:type="dxa"/>
            </w:tcMar>
          </w:tcPr>
          <w:p>
            <w:r>
              <w:rPr>
                <w:rFonts w:ascii="Aptos" w:hAnsi="Aptos"/>
                <w:b/>
                <w:color w:val="FFFFFF"/>
                <w:sz w:val="16"/>
              </w:rPr>
              <w:t>Metric / Position</w:t>
            </w:r>
          </w:p>
        </w:tc>
        <w:tc>
          <w:tcPr>
            <w:tcW w:type="dxa" w:w="2160"/>
            <w:shd w:fill="17365D"/>
            <w:vAlign w:val="center"/>
            <w:tcMar>
              <w:top w:w="80" w:type="dxa"/>
              <w:start w:w="90" w:type="dxa"/>
              <w:bottom w:w="80" w:type="dxa"/>
              <w:end w:w="90" w:type="dxa"/>
            </w:tcMar>
          </w:tcPr>
          <w:p>
            <w:r>
              <w:rPr>
                <w:rFonts w:ascii="Aptos" w:hAnsi="Aptos"/>
                <w:b/>
                <w:color w:val="FFFFFF"/>
                <w:sz w:val="16"/>
              </w:rPr>
              <w:t>Appetite</w:t>
            </w:r>
          </w:p>
        </w:tc>
        <w:tc>
          <w:tcPr>
            <w:tcW w:type="dxa" w:w="2304"/>
            <w:shd w:fill="17365D"/>
            <w:vAlign w:val="center"/>
            <w:tcMar>
              <w:top w:w="80" w:type="dxa"/>
              <w:start w:w="90" w:type="dxa"/>
              <w:bottom w:w="80" w:type="dxa"/>
              <w:end w:w="90" w:type="dxa"/>
            </w:tcMar>
          </w:tcPr>
          <w:p>
            <w:r>
              <w:rPr>
                <w:rFonts w:ascii="Aptos" w:hAnsi="Aptos"/>
                <w:b/>
                <w:color w:val="FFFFFF"/>
                <w:sz w:val="16"/>
              </w:rPr>
              <w:t>Early Warning</w:t>
            </w:r>
          </w:p>
        </w:tc>
        <w:tc>
          <w:tcPr>
            <w:tcW w:type="dxa" w:w="2592"/>
            <w:shd w:fill="17365D"/>
            <w:vAlign w:val="center"/>
            <w:tcMar>
              <w:top w:w="80" w:type="dxa"/>
              <w:start w:w="90" w:type="dxa"/>
              <w:bottom w:w="80" w:type="dxa"/>
              <w:end w:w="90" w:type="dxa"/>
            </w:tcMar>
          </w:tcPr>
          <w:p>
            <w:r>
              <w:rPr>
                <w:rFonts w:ascii="Aptos" w:hAnsi="Aptos"/>
                <w:b/>
                <w:color w:val="FFFFFF"/>
                <w:sz w:val="16"/>
              </w:rPr>
              <w:t>Breach / Escalation</w:t>
            </w:r>
          </w:p>
        </w:tc>
      </w:tr>
      <w:tr>
        <w:tc>
          <w:tcPr>
            <w:tcW w:type="dxa" w:w="4032"/>
            <w:tcMar>
              <w:top w:w="80" w:type="dxa"/>
              <w:start w:w="90" w:type="dxa"/>
              <w:bottom w:w="80" w:type="dxa"/>
              <w:end w:w="90" w:type="dxa"/>
            </w:tcMar>
            <w:vAlign w:val="top"/>
          </w:tcPr>
          <w:p>
            <w:r>
              <w:rPr>
                <w:rFonts w:ascii="Aptos" w:hAnsi="Aptos"/>
                <w:b w:val="0"/>
                <w:sz w:val="16"/>
              </w:rPr>
              <w:t>High-risk CDD reviews &gt;30 days overdue</w:t>
            </w:r>
          </w:p>
        </w:tc>
        <w:tc>
          <w:tcPr>
            <w:tcW w:type="dxa" w:w="2160"/>
            <w:tcMar>
              <w:top w:w="80" w:type="dxa"/>
              <w:start w:w="90" w:type="dxa"/>
              <w:bottom w:w="80" w:type="dxa"/>
              <w:end w:w="90" w:type="dxa"/>
            </w:tcMar>
            <w:vAlign w:val="top"/>
          </w:tcPr>
          <w:p>
            <w:r>
              <w:rPr>
                <w:rFonts w:ascii="Aptos" w:hAnsi="Aptos"/>
                <w:b w:val="0"/>
                <w:sz w:val="16"/>
              </w:rPr>
              <w:t>≤2.0% of High-risk population</w:t>
            </w:r>
          </w:p>
        </w:tc>
        <w:tc>
          <w:tcPr>
            <w:tcW w:type="dxa" w:w="2304"/>
            <w:tcMar>
              <w:top w:w="80" w:type="dxa"/>
              <w:start w:w="90" w:type="dxa"/>
              <w:bottom w:w="80" w:type="dxa"/>
              <w:end w:w="90" w:type="dxa"/>
            </w:tcMar>
            <w:vAlign w:val="top"/>
          </w:tcPr>
          <w:p>
            <w:r>
              <w:rPr>
                <w:rFonts w:ascii="Aptos" w:hAnsi="Aptos"/>
                <w:b w:val="0"/>
                <w:sz w:val="16"/>
              </w:rPr>
              <w:t>&gt;1.0%</w:t>
            </w:r>
          </w:p>
        </w:tc>
        <w:tc>
          <w:tcPr>
            <w:tcW w:type="dxa" w:w="2592"/>
            <w:tcMar>
              <w:top w:w="80" w:type="dxa"/>
              <w:start w:w="90" w:type="dxa"/>
              <w:bottom w:w="80" w:type="dxa"/>
              <w:end w:w="90" w:type="dxa"/>
            </w:tcMar>
            <w:vAlign w:val="top"/>
          </w:tcPr>
          <w:p>
            <w:r>
              <w:rPr>
                <w:rFonts w:ascii="Aptos" w:hAnsi="Aptos"/>
                <w:b w:val="0"/>
                <w:sz w:val="16"/>
              </w:rPr>
              <w:t>&gt;2.0%</w:t>
            </w:r>
          </w:p>
        </w:tc>
      </w:tr>
      <w:tr>
        <w:tc>
          <w:tcPr>
            <w:tcW w:type="dxa" w:w="4032"/>
            <w:tcMar>
              <w:top w:w="80" w:type="dxa"/>
              <w:start w:w="90" w:type="dxa"/>
              <w:bottom w:w="80" w:type="dxa"/>
              <w:end w:w="90" w:type="dxa"/>
            </w:tcMar>
            <w:vAlign w:val="top"/>
            <w:shd w:fill="F7FAFC"/>
          </w:tcPr>
          <w:p>
            <w:r>
              <w:rPr>
                <w:rFonts w:ascii="Aptos" w:hAnsi="Aptos"/>
                <w:b w:val="0"/>
                <w:sz w:val="16"/>
              </w:rPr>
              <w:t>Medium/Low CDD reviews &gt;60 days overdue</w:t>
            </w:r>
          </w:p>
        </w:tc>
        <w:tc>
          <w:tcPr>
            <w:tcW w:type="dxa" w:w="2160"/>
            <w:tcMar>
              <w:top w:w="80" w:type="dxa"/>
              <w:start w:w="90" w:type="dxa"/>
              <w:bottom w:w="80" w:type="dxa"/>
              <w:end w:w="90" w:type="dxa"/>
            </w:tcMar>
            <w:vAlign w:val="top"/>
            <w:shd w:fill="F7FAFC"/>
          </w:tcPr>
          <w:p>
            <w:r>
              <w:rPr>
                <w:rFonts w:ascii="Aptos" w:hAnsi="Aptos"/>
                <w:b w:val="0"/>
                <w:sz w:val="16"/>
              </w:rPr>
              <w:t>≤4.0% of due population</w:t>
            </w:r>
          </w:p>
        </w:tc>
        <w:tc>
          <w:tcPr>
            <w:tcW w:type="dxa" w:w="2304"/>
            <w:tcMar>
              <w:top w:w="80" w:type="dxa"/>
              <w:start w:w="90" w:type="dxa"/>
              <w:bottom w:w="80" w:type="dxa"/>
              <w:end w:w="90" w:type="dxa"/>
            </w:tcMar>
            <w:vAlign w:val="top"/>
            <w:shd w:fill="F7FAFC"/>
          </w:tcPr>
          <w:p>
            <w:r>
              <w:rPr>
                <w:rFonts w:ascii="Aptos" w:hAnsi="Aptos"/>
                <w:b w:val="0"/>
                <w:sz w:val="16"/>
              </w:rPr>
              <w:t>&gt;3.0%</w:t>
            </w:r>
          </w:p>
        </w:tc>
        <w:tc>
          <w:tcPr>
            <w:tcW w:type="dxa" w:w="2592"/>
            <w:tcMar>
              <w:top w:w="80" w:type="dxa"/>
              <w:start w:w="90" w:type="dxa"/>
              <w:bottom w:w="80" w:type="dxa"/>
              <w:end w:w="90" w:type="dxa"/>
            </w:tcMar>
            <w:vAlign w:val="top"/>
            <w:shd w:fill="F7FAFC"/>
          </w:tcPr>
          <w:p>
            <w:r>
              <w:rPr>
                <w:rFonts w:ascii="Aptos" w:hAnsi="Aptos"/>
                <w:b w:val="0"/>
                <w:sz w:val="16"/>
              </w:rPr>
              <w:t>&gt;4.0%</w:t>
            </w:r>
          </w:p>
        </w:tc>
      </w:tr>
      <w:tr>
        <w:tc>
          <w:tcPr>
            <w:tcW w:type="dxa" w:w="4032"/>
            <w:tcMar>
              <w:top w:w="80" w:type="dxa"/>
              <w:start w:w="90" w:type="dxa"/>
              <w:bottom w:w="80" w:type="dxa"/>
              <w:end w:w="90" w:type="dxa"/>
            </w:tcMar>
            <w:vAlign w:val="top"/>
          </w:tcPr>
          <w:p>
            <w:r>
              <w:rPr>
                <w:rFonts w:ascii="Aptos" w:hAnsi="Aptos"/>
                <w:b w:val="0"/>
                <w:sz w:val="16"/>
              </w:rPr>
              <w:t>Unresolved sanctions potential matches beyond specialist SLA</w:t>
            </w:r>
          </w:p>
        </w:tc>
        <w:tc>
          <w:tcPr>
            <w:tcW w:type="dxa" w:w="2160"/>
            <w:tcMar>
              <w:top w:w="80" w:type="dxa"/>
              <w:start w:w="90" w:type="dxa"/>
              <w:bottom w:w="80" w:type="dxa"/>
              <w:end w:w="90" w:type="dxa"/>
            </w:tcMar>
            <w:vAlign w:val="top"/>
          </w:tcPr>
          <w:p>
            <w:r>
              <w:rPr>
                <w:rFonts w:ascii="Aptos" w:hAnsi="Aptos"/>
                <w:b w:val="0"/>
                <w:sz w:val="16"/>
              </w:rPr>
              <w:t>0 material cases</w:t>
            </w:r>
          </w:p>
        </w:tc>
        <w:tc>
          <w:tcPr>
            <w:tcW w:type="dxa" w:w="2304"/>
            <w:tcMar>
              <w:top w:w="80" w:type="dxa"/>
              <w:start w:w="90" w:type="dxa"/>
              <w:bottom w:w="80" w:type="dxa"/>
              <w:end w:w="90" w:type="dxa"/>
            </w:tcMar>
            <w:vAlign w:val="top"/>
          </w:tcPr>
          <w:p>
            <w:r>
              <w:rPr>
                <w:rFonts w:ascii="Aptos" w:hAnsi="Aptos"/>
                <w:b w:val="0"/>
                <w:sz w:val="16"/>
              </w:rPr>
              <w:t>Any ageing material case</w:t>
            </w:r>
          </w:p>
        </w:tc>
        <w:tc>
          <w:tcPr>
            <w:tcW w:type="dxa" w:w="2592"/>
            <w:tcMar>
              <w:top w:w="80" w:type="dxa"/>
              <w:start w:w="90" w:type="dxa"/>
              <w:bottom w:w="80" w:type="dxa"/>
              <w:end w:w="90" w:type="dxa"/>
            </w:tcMar>
            <w:vAlign w:val="top"/>
          </w:tcPr>
          <w:p>
            <w:r>
              <w:rPr>
                <w:rFonts w:ascii="Aptos" w:hAnsi="Aptos"/>
                <w:b w:val="0"/>
                <w:sz w:val="16"/>
              </w:rPr>
              <w:t>Immediate escalation</w:t>
            </w:r>
          </w:p>
        </w:tc>
      </w:tr>
      <w:tr>
        <w:tc>
          <w:tcPr>
            <w:tcW w:type="dxa" w:w="4032"/>
            <w:tcMar>
              <w:top w:w="80" w:type="dxa"/>
              <w:start w:w="90" w:type="dxa"/>
              <w:bottom w:w="80" w:type="dxa"/>
              <w:end w:w="90" w:type="dxa"/>
            </w:tcMar>
            <w:vAlign w:val="top"/>
            <w:shd w:fill="F7FAFC"/>
          </w:tcPr>
          <w:p>
            <w:r>
              <w:rPr>
                <w:rFonts w:ascii="Aptos" w:hAnsi="Aptos"/>
                <w:b w:val="0"/>
                <w:sz w:val="16"/>
              </w:rPr>
              <w:t>AML transaction-monitoring alerts &gt;30 days open</w:t>
            </w:r>
          </w:p>
        </w:tc>
        <w:tc>
          <w:tcPr>
            <w:tcW w:type="dxa" w:w="2160"/>
            <w:tcMar>
              <w:top w:w="80" w:type="dxa"/>
              <w:start w:w="90" w:type="dxa"/>
              <w:bottom w:w="80" w:type="dxa"/>
              <w:end w:w="90" w:type="dxa"/>
            </w:tcMar>
            <w:vAlign w:val="top"/>
            <w:shd w:fill="F7FAFC"/>
          </w:tcPr>
          <w:p>
            <w:r>
              <w:rPr>
                <w:rFonts w:ascii="Aptos" w:hAnsi="Aptos"/>
                <w:b w:val="0"/>
                <w:sz w:val="16"/>
              </w:rPr>
              <w:t>≤5.0% of open alerts</w:t>
            </w:r>
          </w:p>
        </w:tc>
        <w:tc>
          <w:tcPr>
            <w:tcW w:type="dxa" w:w="2304"/>
            <w:tcMar>
              <w:top w:w="80" w:type="dxa"/>
              <w:start w:w="90" w:type="dxa"/>
              <w:bottom w:w="80" w:type="dxa"/>
              <w:end w:w="90" w:type="dxa"/>
            </w:tcMar>
            <w:vAlign w:val="top"/>
            <w:shd w:fill="F7FAFC"/>
          </w:tcPr>
          <w:p>
            <w:r>
              <w:rPr>
                <w:rFonts w:ascii="Aptos" w:hAnsi="Aptos"/>
                <w:b w:val="0"/>
                <w:sz w:val="16"/>
              </w:rPr>
              <w:t>&gt;3.5%</w:t>
            </w:r>
          </w:p>
        </w:tc>
        <w:tc>
          <w:tcPr>
            <w:tcW w:type="dxa" w:w="2592"/>
            <w:tcMar>
              <w:top w:w="80" w:type="dxa"/>
              <w:start w:w="90" w:type="dxa"/>
              <w:bottom w:w="80" w:type="dxa"/>
              <w:end w:w="90" w:type="dxa"/>
            </w:tcMar>
            <w:vAlign w:val="top"/>
            <w:shd w:fill="F7FAFC"/>
          </w:tcPr>
          <w:p>
            <w:r>
              <w:rPr>
                <w:rFonts w:ascii="Aptos" w:hAnsi="Aptos"/>
                <w:b w:val="0"/>
                <w:sz w:val="16"/>
              </w:rPr>
              <w:t>&gt;5.0%</w:t>
            </w:r>
          </w:p>
        </w:tc>
      </w:tr>
      <w:tr>
        <w:tc>
          <w:tcPr>
            <w:tcW w:type="dxa" w:w="4032"/>
            <w:tcMar>
              <w:top w:w="80" w:type="dxa"/>
              <w:start w:w="90" w:type="dxa"/>
              <w:bottom w:w="80" w:type="dxa"/>
              <w:end w:w="90" w:type="dxa"/>
            </w:tcMar>
            <w:vAlign w:val="top"/>
          </w:tcPr>
          <w:p>
            <w:r>
              <w:rPr>
                <w:rFonts w:ascii="Aptos" w:hAnsi="Aptos"/>
                <w:b w:val="0"/>
                <w:sz w:val="16"/>
              </w:rPr>
              <w:t>EDD cases &gt;20 business days without approved extension</w:t>
            </w:r>
          </w:p>
        </w:tc>
        <w:tc>
          <w:tcPr>
            <w:tcW w:type="dxa" w:w="2160"/>
            <w:tcMar>
              <w:top w:w="80" w:type="dxa"/>
              <w:start w:w="90" w:type="dxa"/>
              <w:bottom w:w="80" w:type="dxa"/>
              <w:end w:w="90" w:type="dxa"/>
            </w:tcMar>
            <w:vAlign w:val="top"/>
          </w:tcPr>
          <w:p>
            <w:r>
              <w:rPr>
                <w:rFonts w:ascii="Aptos" w:hAnsi="Aptos"/>
                <w:b w:val="0"/>
                <w:sz w:val="16"/>
              </w:rPr>
              <w:t>≤5.0%</w:t>
            </w:r>
          </w:p>
        </w:tc>
        <w:tc>
          <w:tcPr>
            <w:tcW w:type="dxa" w:w="2304"/>
            <w:tcMar>
              <w:top w:w="80" w:type="dxa"/>
              <w:start w:w="90" w:type="dxa"/>
              <w:bottom w:w="80" w:type="dxa"/>
              <w:end w:w="90" w:type="dxa"/>
            </w:tcMar>
            <w:vAlign w:val="top"/>
          </w:tcPr>
          <w:p>
            <w:r>
              <w:rPr>
                <w:rFonts w:ascii="Aptos" w:hAnsi="Aptos"/>
                <w:b w:val="0"/>
                <w:sz w:val="16"/>
              </w:rPr>
              <w:t>&gt;3.0%</w:t>
            </w:r>
          </w:p>
        </w:tc>
        <w:tc>
          <w:tcPr>
            <w:tcW w:type="dxa" w:w="2592"/>
            <w:tcMar>
              <w:top w:w="80" w:type="dxa"/>
              <w:start w:w="90" w:type="dxa"/>
              <w:bottom w:w="80" w:type="dxa"/>
              <w:end w:w="90" w:type="dxa"/>
            </w:tcMar>
            <w:vAlign w:val="top"/>
          </w:tcPr>
          <w:p>
            <w:r>
              <w:rPr>
                <w:rFonts w:ascii="Aptos" w:hAnsi="Aptos"/>
                <w:b w:val="0"/>
                <w:sz w:val="16"/>
              </w:rPr>
              <w:t>&gt;5.0%</w:t>
            </w:r>
          </w:p>
        </w:tc>
      </w:tr>
      <w:tr>
        <w:tc>
          <w:tcPr>
            <w:tcW w:type="dxa" w:w="4032"/>
            <w:tcMar>
              <w:top w:w="80" w:type="dxa"/>
              <w:start w:w="90" w:type="dxa"/>
              <w:bottom w:w="80" w:type="dxa"/>
              <w:end w:w="90" w:type="dxa"/>
            </w:tcMar>
            <w:vAlign w:val="top"/>
            <w:shd w:fill="F7FAFC"/>
          </w:tcPr>
          <w:p>
            <w:r>
              <w:rPr>
                <w:rFonts w:ascii="Aptos" w:hAnsi="Aptos"/>
                <w:b w:val="0"/>
                <w:sz w:val="16"/>
              </w:rPr>
              <w:t>Confirmed PEP accepted without required senior approval</w:t>
            </w:r>
          </w:p>
        </w:tc>
        <w:tc>
          <w:tcPr>
            <w:tcW w:type="dxa" w:w="2160"/>
            <w:tcMar>
              <w:top w:w="80" w:type="dxa"/>
              <w:start w:w="90" w:type="dxa"/>
              <w:bottom w:w="80" w:type="dxa"/>
              <w:end w:w="90" w:type="dxa"/>
            </w:tcMar>
            <w:vAlign w:val="top"/>
            <w:shd w:fill="F7FAFC"/>
          </w:tcPr>
          <w:p>
            <w:r>
              <w:rPr>
                <w:rFonts w:ascii="Aptos" w:hAnsi="Aptos"/>
                <w:b w:val="0"/>
                <w:sz w:val="16"/>
              </w:rPr>
              <w:t>0</w:t>
            </w:r>
          </w:p>
        </w:tc>
        <w:tc>
          <w:tcPr>
            <w:tcW w:type="dxa" w:w="2304"/>
            <w:tcMar>
              <w:top w:w="80" w:type="dxa"/>
              <w:start w:w="90" w:type="dxa"/>
              <w:bottom w:w="80" w:type="dxa"/>
              <w:end w:w="90" w:type="dxa"/>
            </w:tcMar>
            <w:vAlign w:val="top"/>
            <w:shd w:fill="F7FAFC"/>
          </w:tcPr>
          <w:p>
            <w:r>
              <w:rPr>
                <w:rFonts w:ascii="Aptos" w:hAnsi="Aptos"/>
                <w:b w:val="0"/>
                <w:sz w:val="16"/>
              </w:rPr>
              <w:t>N/A</w:t>
            </w:r>
          </w:p>
        </w:tc>
        <w:tc>
          <w:tcPr>
            <w:tcW w:type="dxa" w:w="2592"/>
            <w:tcMar>
              <w:top w:w="80" w:type="dxa"/>
              <w:start w:w="90" w:type="dxa"/>
              <w:bottom w:w="80" w:type="dxa"/>
              <w:end w:w="90" w:type="dxa"/>
            </w:tcMar>
            <w:vAlign w:val="top"/>
            <w:shd w:fill="F7FAFC"/>
          </w:tcPr>
          <w:p>
            <w:r>
              <w:rPr>
                <w:rFonts w:ascii="Aptos" w:hAnsi="Aptos"/>
                <w:b w:val="0"/>
                <w:sz w:val="16"/>
              </w:rPr>
              <w:t>Immediate breach</w:t>
            </w:r>
          </w:p>
        </w:tc>
      </w:tr>
      <w:tr>
        <w:tc>
          <w:tcPr>
            <w:tcW w:type="dxa" w:w="4032"/>
            <w:tcMar>
              <w:top w:w="80" w:type="dxa"/>
              <w:start w:w="90" w:type="dxa"/>
              <w:bottom w:w="80" w:type="dxa"/>
              <w:end w:w="90" w:type="dxa"/>
            </w:tcMar>
            <w:vAlign w:val="top"/>
          </w:tcPr>
          <w:p>
            <w:r>
              <w:rPr>
                <w:rFonts w:ascii="Aptos" w:hAnsi="Aptos"/>
                <w:b w:val="0"/>
                <w:sz w:val="16"/>
              </w:rPr>
              <w:t>Material beneficial ownership unresolved at unrestricted activation</w:t>
            </w:r>
          </w:p>
        </w:tc>
        <w:tc>
          <w:tcPr>
            <w:tcW w:type="dxa" w:w="2160"/>
            <w:tcMar>
              <w:top w:w="80" w:type="dxa"/>
              <w:start w:w="90" w:type="dxa"/>
              <w:bottom w:w="80" w:type="dxa"/>
              <w:end w:w="90" w:type="dxa"/>
            </w:tcMar>
            <w:vAlign w:val="top"/>
          </w:tcPr>
          <w:p>
            <w:r>
              <w:rPr>
                <w:rFonts w:ascii="Aptos" w:hAnsi="Aptos"/>
                <w:b w:val="0"/>
                <w:sz w:val="16"/>
              </w:rPr>
              <w:t>0</w:t>
            </w:r>
          </w:p>
        </w:tc>
        <w:tc>
          <w:tcPr>
            <w:tcW w:type="dxa" w:w="2304"/>
            <w:tcMar>
              <w:top w:w="80" w:type="dxa"/>
              <w:start w:w="90" w:type="dxa"/>
              <w:bottom w:w="80" w:type="dxa"/>
              <w:end w:w="90" w:type="dxa"/>
            </w:tcMar>
            <w:vAlign w:val="top"/>
          </w:tcPr>
          <w:p>
            <w:r>
              <w:rPr>
                <w:rFonts w:ascii="Aptos" w:hAnsi="Aptos"/>
                <w:b w:val="0"/>
                <w:sz w:val="16"/>
              </w:rPr>
              <w:t>N/A</w:t>
            </w:r>
          </w:p>
        </w:tc>
        <w:tc>
          <w:tcPr>
            <w:tcW w:type="dxa" w:w="2592"/>
            <w:tcMar>
              <w:top w:w="80" w:type="dxa"/>
              <w:start w:w="90" w:type="dxa"/>
              <w:bottom w:w="80" w:type="dxa"/>
              <w:end w:w="90" w:type="dxa"/>
            </w:tcMar>
            <w:vAlign w:val="top"/>
          </w:tcPr>
          <w:p>
            <w:r>
              <w:rPr>
                <w:rFonts w:ascii="Aptos" w:hAnsi="Aptos"/>
                <w:b w:val="0"/>
                <w:sz w:val="16"/>
              </w:rPr>
              <w:t>Immediate restriction/breach assessment</w:t>
            </w:r>
          </w:p>
        </w:tc>
      </w:tr>
    </w:tbl>
    <w:p/>
    <w:p>
      <w:pPr>
        <w:pStyle w:val="Heading1"/>
        <w:keepNext/>
      </w:pPr>
      <w:r>
        <w:t>6. Operational Risk Appetite</w:t>
      </w:r>
    </w:p>
    <w:p>
      <w:r>
        <w:t>Northstar has moderate appetite for normal processing variability and low-impact incidents where controls detect and correct them promptly. Appetite is low for repeated control failures, payment errors, unauthorized activity and unresolved high-severity incidents.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4032"/>
            <w:shd w:fill="17365D"/>
            <w:vAlign w:val="center"/>
            <w:tcMar>
              <w:top w:w="80" w:type="dxa"/>
              <w:start w:w="90" w:type="dxa"/>
              <w:bottom w:w="80" w:type="dxa"/>
              <w:end w:w="90" w:type="dxa"/>
            </w:tcMar>
          </w:tcPr>
          <w:p>
            <w:r>
              <w:rPr>
                <w:rFonts w:ascii="Aptos" w:hAnsi="Aptos"/>
                <w:b/>
                <w:color w:val="FFFFFF"/>
                <w:sz w:val="16"/>
              </w:rPr>
              <w:t>Metric</w:t>
            </w:r>
          </w:p>
        </w:tc>
        <w:tc>
          <w:tcPr>
            <w:tcW w:type="dxa" w:w="2016"/>
            <w:shd w:fill="17365D"/>
            <w:vAlign w:val="center"/>
            <w:tcMar>
              <w:top w:w="80" w:type="dxa"/>
              <w:start w:w="90" w:type="dxa"/>
              <w:bottom w:w="80" w:type="dxa"/>
              <w:end w:w="90" w:type="dxa"/>
            </w:tcMar>
          </w:tcPr>
          <w:p>
            <w:r>
              <w:rPr>
                <w:rFonts w:ascii="Aptos" w:hAnsi="Aptos"/>
                <w:b/>
                <w:color w:val="FFFFFF"/>
                <w:sz w:val="16"/>
              </w:rPr>
              <w:t>Appetite</w:t>
            </w:r>
          </w:p>
        </w:tc>
        <w:tc>
          <w:tcPr>
            <w:tcW w:type="dxa" w:w="2016"/>
            <w:shd w:fill="17365D"/>
            <w:vAlign w:val="center"/>
            <w:tcMar>
              <w:top w:w="80" w:type="dxa"/>
              <w:start w:w="90" w:type="dxa"/>
              <w:bottom w:w="80" w:type="dxa"/>
              <w:end w:w="90" w:type="dxa"/>
            </w:tcMar>
          </w:tcPr>
          <w:p>
            <w:r>
              <w:rPr>
                <w:rFonts w:ascii="Aptos" w:hAnsi="Aptos"/>
                <w:b/>
                <w:color w:val="FFFFFF"/>
                <w:sz w:val="16"/>
              </w:rPr>
              <w:t>Early Warning</w:t>
            </w:r>
          </w:p>
        </w:tc>
        <w:tc>
          <w:tcPr>
            <w:tcW w:type="dxa" w:w="2304"/>
            <w:shd w:fill="17365D"/>
            <w:vAlign w:val="center"/>
            <w:tcMar>
              <w:top w:w="80" w:type="dxa"/>
              <w:start w:w="90" w:type="dxa"/>
              <w:bottom w:w="80" w:type="dxa"/>
              <w:end w:w="90" w:type="dxa"/>
            </w:tcMar>
          </w:tcPr>
          <w:p>
            <w:r>
              <w:rPr>
                <w:rFonts w:ascii="Aptos" w:hAnsi="Aptos"/>
                <w:b/>
                <w:color w:val="FFFFFF"/>
                <w:sz w:val="16"/>
              </w:rPr>
              <w:t>Breach</w:t>
            </w:r>
          </w:p>
        </w:tc>
      </w:tr>
      <w:tr>
        <w:tc>
          <w:tcPr>
            <w:tcW w:type="dxa" w:w="4032"/>
            <w:tcMar>
              <w:top w:w="80" w:type="dxa"/>
              <w:start w:w="90" w:type="dxa"/>
              <w:bottom w:w="80" w:type="dxa"/>
              <w:end w:w="90" w:type="dxa"/>
            </w:tcMar>
            <w:vAlign w:val="top"/>
          </w:tcPr>
          <w:p>
            <w:r>
              <w:rPr>
                <w:rFonts w:ascii="Aptos" w:hAnsi="Aptos"/>
                <w:b w:val="0"/>
                <w:sz w:val="16"/>
              </w:rPr>
              <w:t>Annual gross operational loss / operating income</w:t>
            </w:r>
          </w:p>
        </w:tc>
        <w:tc>
          <w:tcPr>
            <w:tcW w:type="dxa" w:w="2016"/>
            <w:tcMar>
              <w:top w:w="80" w:type="dxa"/>
              <w:start w:w="90" w:type="dxa"/>
              <w:bottom w:w="80" w:type="dxa"/>
              <w:end w:w="90" w:type="dxa"/>
            </w:tcMar>
            <w:vAlign w:val="top"/>
          </w:tcPr>
          <w:p>
            <w:r>
              <w:rPr>
                <w:rFonts w:ascii="Aptos" w:hAnsi="Aptos"/>
                <w:b w:val="0"/>
                <w:sz w:val="16"/>
              </w:rPr>
              <w:t>≤0.75%</w:t>
            </w:r>
          </w:p>
        </w:tc>
        <w:tc>
          <w:tcPr>
            <w:tcW w:type="dxa" w:w="2016"/>
            <w:tcMar>
              <w:top w:w="80" w:type="dxa"/>
              <w:start w:w="90" w:type="dxa"/>
              <w:bottom w:w="80" w:type="dxa"/>
              <w:end w:w="90" w:type="dxa"/>
            </w:tcMar>
            <w:vAlign w:val="top"/>
          </w:tcPr>
          <w:p>
            <w:r>
              <w:rPr>
                <w:rFonts w:ascii="Aptos" w:hAnsi="Aptos"/>
                <w:b w:val="0"/>
                <w:sz w:val="16"/>
              </w:rPr>
              <w:t>&gt;0.60%</w:t>
            </w:r>
          </w:p>
        </w:tc>
        <w:tc>
          <w:tcPr>
            <w:tcW w:type="dxa" w:w="2304"/>
            <w:tcMar>
              <w:top w:w="80" w:type="dxa"/>
              <w:start w:w="90" w:type="dxa"/>
              <w:bottom w:w="80" w:type="dxa"/>
              <w:end w:w="90" w:type="dxa"/>
            </w:tcMar>
            <w:vAlign w:val="top"/>
          </w:tcPr>
          <w:p>
            <w:r>
              <w:rPr>
                <w:rFonts w:ascii="Aptos" w:hAnsi="Aptos"/>
                <w:b w:val="0"/>
                <w:sz w:val="16"/>
              </w:rPr>
              <w:t>&gt;0.75%</w:t>
            </w:r>
          </w:p>
        </w:tc>
      </w:tr>
      <w:tr>
        <w:tc>
          <w:tcPr>
            <w:tcW w:type="dxa" w:w="4032"/>
            <w:tcMar>
              <w:top w:w="80" w:type="dxa"/>
              <w:start w:w="90" w:type="dxa"/>
              <w:bottom w:w="80" w:type="dxa"/>
              <w:end w:w="90" w:type="dxa"/>
            </w:tcMar>
            <w:vAlign w:val="top"/>
            <w:shd w:fill="F7FAFC"/>
          </w:tcPr>
          <w:p>
            <w:r>
              <w:rPr>
                <w:rFonts w:ascii="Aptos" w:hAnsi="Aptos"/>
                <w:b w:val="0"/>
                <w:sz w:val="16"/>
              </w:rPr>
              <w:t>High-severity operational incidents open &gt;30 days</w:t>
            </w:r>
          </w:p>
        </w:tc>
        <w:tc>
          <w:tcPr>
            <w:tcW w:type="dxa" w:w="2016"/>
            <w:tcMar>
              <w:top w:w="80" w:type="dxa"/>
              <w:start w:w="90" w:type="dxa"/>
              <w:bottom w:w="80" w:type="dxa"/>
              <w:end w:w="90" w:type="dxa"/>
            </w:tcMar>
            <w:vAlign w:val="top"/>
            <w:shd w:fill="F7FAFC"/>
          </w:tcPr>
          <w:p>
            <w:r>
              <w:rPr>
                <w:rFonts w:ascii="Aptos" w:hAnsi="Aptos"/>
                <w:b w:val="0"/>
                <w:sz w:val="16"/>
              </w:rPr>
              <w:t>≤3</w:t>
            </w:r>
          </w:p>
        </w:tc>
        <w:tc>
          <w:tcPr>
            <w:tcW w:type="dxa" w:w="2016"/>
            <w:tcMar>
              <w:top w:w="80" w:type="dxa"/>
              <w:start w:w="90" w:type="dxa"/>
              <w:bottom w:w="80" w:type="dxa"/>
              <w:end w:w="90" w:type="dxa"/>
            </w:tcMar>
            <w:vAlign w:val="top"/>
            <w:shd w:fill="F7FAFC"/>
          </w:tcPr>
          <w:p>
            <w:r>
              <w:rPr>
                <w:rFonts w:ascii="Aptos" w:hAnsi="Aptos"/>
                <w:b w:val="0"/>
                <w:sz w:val="16"/>
              </w:rPr>
              <w:t>2–3</w:t>
            </w:r>
          </w:p>
        </w:tc>
        <w:tc>
          <w:tcPr>
            <w:tcW w:type="dxa" w:w="2304"/>
            <w:tcMar>
              <w:top w:w="80" w:type="dxa"/>
              <w:start w:w="90" w:type="dxa"/>
              <w:bottom w:w="80" w:type="dxa"/>
              <w:end w:w="90" w:type="dxa"/>
            </w:tcMar>
            <w:vAlign w:val="top"/>
            <w:shd w:fill="F7FAFC"/>
          </w:tcPr>
          <w:p>
            <w:r>
              <w:rPr>
                <w:rFonts w:ascii="Aptos" w:hAnsi="Aptos"/>
                <w:b w:val="0"/>
                <w:sz w:val="16"/>
              </w:rPr>
              <w:t>&gt;3</w:t>
            </w:r>
          </w:p>
        </w:tc>
      </w:tr>
      <w:tr>
        <w:tc>
          <w:tcPr>
            <w:tcW w:type="dxa" w:w="4032"/>
            <w:tcMar>
              <w:top w:w="80" w:type="dxa"/>
              <w:start w:w="90" w:type="dxa"/>
              <w:bottom w:w="80" w:type="dxa"/>
              <w:end w:w="90" w:type="dxa"/>
            </w:tcMar>
            <w:vAlign w:val="top"/>
          </w:tcPr>
          <w:p>
            <w:r>
              <w:rPr>
                <w:rFonts w:ascii="Aptos" w:hAnsi="Aptos"/>
                <w:b w:val="0"/>
                <w:sz w:val="16"/>
              </w:rPr>
              <w:t>Critical maker-checker failures in payment/disbursement</w:t>
            </w:r>
          </w:p>
        </w:tc>
        <w:tc>
          <w:tcPr>
            <w:tcW w:type="dxa" w:w="2016"/>
            <w:tcMar>
              <w:top w:w="80" w:type="dxa"/>
              <w:start w:w="90" w:type="dxa"/>
              <w:bottom w:w="80" w:type="dxa"/>
              <w:end w:w="90" w:type="dxa"/>
            </w:tcMar>
            <w:vAlign w:val="top"/>
          </w:tcPr>
          <w:p>
            <w:r>
              <w:rPr>
                <w:rFonts w:ascii="Aptos" w:hAnsi="Aptos"/>
                <w:b w:val="0"/>
                <w:sz w:val="16"/>
              </w:rPr>
              <w:t>0 unresolved</w:t>
            </w:r>
          </w:p>
        </w:tc>
        <w:tc>
          <w:tcPr>
            <w:tcW w:type="dxa" w:w="2016"/>
            <w:tcMar>
              <w:top w:w="80" w:type="dxa"/>
              <w:start w:w="90" w:type="dxa"/>
              <w:bottom w:w="80" w:type="dxa"/>
              <w:end w:w="90" w:type="dxa"/>
            </w:tcMar>
            <w:vAlign w:val="top"/>
          </w:tcPr>
          <w:p>
            <w:r>
              <w:rPr>
                <w:rFonts w:ascii="Aptos" w:hAnsi="Aptos"/>
                <w:b w:val="0"/>
                <w:sz w:val="16"/>
              </w:rPr>
              <w:t>Any confirmed event</w:t>
            </w:r>
          </w:p>
        </w:tc>
        <w:tc>
          <w:tcPr>
            <w:tcW w:type="dxa" w:w="2304"/>
            <w:tcMar>
              <w:top w:w="80" w:type="dxa"/>
              <w:start w:w="90" w:type="dxa"/>
              <w:bottom w:w="80" w:type="dxa"/>
              <w:end w:w="90" w:type="dxa"/>
            </w:tcMar>
            <w:vAlign w:val="top"/>
          </w:tcPr>
          <w:p>
            <w:r>
              <w:rPr>
                <w:rFonts w:ascii="Aptos" w:hAnsi="Aptos"/>
                <w:b w:val="0"/>
                <w:sz w:val="16"/>
              </w:rPr>
              <w:t>Immediate escalation</w:t>
            </w:r>
          </w:p>
        </w:tc>
      </w:tr>
      <w:tr>
        <w:tc>
          <w:tcPr>
            <w:tcW w:type="dxa" w:w="4032"/>
            <w:tcMar>
              <w:top w:w="80" w:type="dxa"/>
              <w:start w:w="90" w:type="dxa"/>
              <w:bottom w:w="80" w:type="dxa"/>
              <w:end w:w="90" w:type="dxa"/>
            </w:tcMar>
            <w:vAlign w:val="top"/>
            <w:shd w:fill="F7FAFC"/>
          </w:tcPr>
          <w:p>
            <w:r>
              <w:rPr>
                <w:rFonts w:ascii="Aptos" w:hAnsi="Aptos"/>
                <w:b w:val="0"/>
                <w:sz w:val="16"/>
              </w:rPr>
              <w:t>Repeat incident rate (same root cause within 90 days)</w:t>
            </w:r>
          </w:p>
        </w:tc>
        <w:tc>
          <w:tcPr>
            <w:tcW w:type="dxa" w:w="2016"/>
            <w:tcMar>
              <w:top w:w="80" w:type="dxa"/>
              <w:start w:w="90" w:type="dxa"/>
              <w:bottom w:w="80" w:type="dxa"/>
              <w:end w:w="90" w:type="dxa"/>
            </w:tcMar>
            <w:vAlign w:val="top"/>
            <w:shd w:fill="F7FAFC"/>
          </w:tcPr>
          <w:p>
            <w:r>
              <w:rPr>
                <w:rFonts w:ascii="Aptos" w:hAnsi="Aptos"/>
                <w:b w:val="0"/>
                <w:sz w:val="16"/>
              </w:rPr>
              <w:t>≤10%</w:t>
            </w:r>
          </w:p>
        </w:tc>
        <w:tc>
          <w:tcPr>
            <w:tcW w:type="dxa" w:w="2016"/>
            <w:tcMar>
              <w:top w:w="80" w:type="dxa"/>
              <w:start w:w="90" w:type="dxa"/>
              <w:bottom w:w="80" w:type="dxa"/>
              <w:end w:w="90" w:type="dxa"/>
            </w:tcMar>
            <w:vAlign w:val="top"/>
            <w:shd w:fill="F7FAFC"/>
          </w:tcPr>
          <w:p>
            <w:r>
              <w:rPr>
                <w:rFonts w:ascii="Aptos" w:hAnsi="Aptos"/>
                <w:b w:val="0"/>
                <w:sz w:val="16"/>
              </w:rPr>
              <w:t>&gt;8%</w:t>
            </w:r>
          </w:p>
        </w:tc>
        <w:tc>
          <w:tcPr>
            <w:tcW w:type="dxa" w:w="2304"/>
            <w:tcMar>
              <w:top w:w="80" w:type="dxa"/>
              <w:start w:w="90" w:type="dxa"/>
              <w:bottom w:w="80" w:type="dxa"/>
              <w:end w:w="90" w:type="dxa"/>
            </w:tcMar>
            <w:vAlign w:val="top"/>
            <w:shd w:fill="F7FAFC"/>
          </w:tcPr>
          <w:p>
            <w:r>
              <w:rPr>
                <w:rFonts w:ascii="Aptos" w:hAnsi="Aptos"/>
                <w:b w:val="0"/>
                <w:sz w:val="16"/>
              </w:rPr>
              <w:t>&gt;10%</w:t>
            </w:r>
          </w:p>
        </w:tc>
      </w:tr>
      <w:tr>
        <w:tc>
          <w:tcPr>
            <w:tcW w:type="dxa" w:w="4032"/>
            <w:tcMar>
              <w:top w:w="80" w:type="dxa"/>
              <w:start w:w="90" w:type="dxa"/>
              <w:bottom w:w="80" w:type="dxa"/>
              <w:end w:w="90" w:type="dxa"/>
            </w:tcMar>
            <w:vAlign w:val="top"/>
          </w:tcPr>
          <w:p>
            <w:r>
              <w:rPr>
                <w:rFonts w:ascii="Aptos" w:hAnsi="Aptos"/>
                <w:b w:val="0"/>
                <w:sz w:val="16"/>
              </w:rPr>
              <w:t>Critical vendor service outage beyond recovery target</w:t>
            </w:r>
          </w:p>
        </w:tc>
        <w:tc>
          <w:tcPr>
            <w:tcW w:type="dxa" w:w="2016"/>
            <w:tcMar>
              <w:top w:w="80" w:type="dxa"/>
              <w:start w:w="90" w:type="dxa"/>
              <w:bottom w:w="80" w:type="dxa"/>
              <w:end w:w="90" w:type="dxa"/>
            </w:tcMar>
            <w:vAlign w:val="top"/>
          </w:tcPr>
          <w:p>
            <w:r>
              <w:rPr>
                <w:rFonts w:ascii="Aptos" w:hAnsi="Aptos"/>
                <w:b w:val="0"/>
                <w:sz w:val="16"/>
              </w:rPr>
              <w:t>0</w:t>
            </w:r>
          </w:p>
        </w:tc>
        <w:tc>
          <w:tcPr>
            <w:tcW w:type="dxa" w:w="2016"/>
            <w:tcMar>
              <w:top w:w="80" w:type="dxa"/>
              <w:start w:w="90" w:type="dxa"/>
              <w:bottom w:w="80" w:type="dxa"/>
              <w:end w:w="90" w:type="dxa"/>
            </w:tcMar>
            <w:vAlign w:val="top"/>
          </w:tcPr>
          <w:p>
            <w:r>
              <w:rPr>
                <w:rFonts w:ascii="Aptos" w:hAnsi="Aptos"/>
                <w:b w:val="0"/>
                <w:sz w:val="16"/>
              </w:rPr>
              <w:t>Any material miss</w:t>
            </w:r>
          </w:p>
        </w:tc>
        <w:tc>
          <w:tcPr>
            <w:tcW w:type="dxa" w:w="2304"/>
            <w:tcMar>
              <w:top w:w="80" w:type="dxa"/>
              <w:start w:w="90" w:type="dxa"/>
              <w:bottom w:w="80" w:type="dxa"/>
              <w:end w:w="90" w:type="dxa"/>
            </w:tcMar>
            <w:vAlign w:val="top"/>
          </w:tcPr>
          <w:p>
            <w:r>
              <w:rPr>
                <w:rFonts w:ascii="Aptos" w:hAnsi="Aptos"/>
                <w:b w:val="0"/>
                <w:sz w:val="16"/>
              </w:rPr>
              <w:t>Immediate executive escalation</w:t>
            </w:r>
          </w:p>
        </w:tc>
      </w:tr>
    </w:tbl>
    <w:p/>
    <w:p>
      <w:pPr>
        <w:pStyle w:val="Heading1"/>
        <w:keepNext/>
      </w:pPr>
      <w:r>
        <w:t>7. Liquidity Risk Appetite</w:t>
      </w:r>
    </w:p>
    <w:p>
      <w:r>
        <w:t>Northstar maintains a conservative liquidity posture with sufficient internal buffers to withstand plausible short-term stress. Detailed treasury limits may be more restrictive than the enterprise appetite.</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vAlign w:val="center"/>
            <w:tcMar>
              <w:top w:w="80" w:type="dxa"/>
              <w:start w:w="90" w:type="dxa"/>
              <w:bottom w:w="80" w:type="dxa"/>
              <w:end w:w="90" w:type="dxa"/>
            </w:tcMar>
          </w:tcPr>
          <w:p>
            <w:r>
              <w:rPr>
                <w:rFonts w:ascii="Aptos" w:hAnsi="Aptos"/>
                <w:b/>
                <w:color w:val="FFFFFF"/>
                <w:sz w:val="16"/>
              </w:rPr>
              <w:t>Metric</w:t>
            </w:r>
          </w:p>
        </w:tc>
        <w:tc>
          <w:tcPr>
            <w:tcW w:type="dxa" w:w="5184"/>
            <w:shd w:fill="17365D"/>
            <w:vAlign w:val="center"/>
            <w:tcMar>
              <w:top w:w="80" w:type="dxa"/>
              <w:start w:w="90" w:type="dxa"/>
              <w:bottom w:w="80" w:type="dxa"/>
              <w:end w:w="90" w:type="dxa"/>
            </w:tcMar>
          </w:tcPr>
          <w:p>
            <w:r>
              <w:rPr>
                <w:rFonts w:ascii="Aptos" w:hAnsi="Aptos"/>
                <w:b/>
                <w:color w:val="FFFFFF"/>
                <w:sz w:val="16"/>
              </w:rPr>
              <w:t>Appetite Position</w:t>
            </w:r>
          </w:p>
        </w:tc>
      </w:tr>
      <w:tr>
        <w:tc>
          <w:tcPr>
            <w:tcW w:type="dxa" w:w="5184"/>
            <w:tcMar>
              <w:top w:w="80" w:type="dxa"/>
              <w:start w:w="90" w:type="dxa"/>
              <w:bottom w:w="80" w:type="dxa"/>
              <w:end w:w="90" w:type="dxa"/>
            </w:tcMar>
            <w:vAlign w:val="top"/>
          </w:tcPr>
          <w:p>
            <w:r>
              <w:rPr>
                <w:rFonts w:ascii="Aptos" w:hAnsi="Aptos"/>
                <w:b w:val="0"/>
                <w:sz w:val="16"/>
              </w:rPr>
              <w:t>Minimum internal liquidity coverage buffer</w:t>
            </w:r>
          </w:p>
        </w:tc>
        <w:tc>
          <w:tcPr>
            <w:tcW w:type="dxa" w:w="5184"/>
            <w:tcMar>
              <w:top w:w="80" w:type="dxa"/>
              <w:start w:w="90" w:type="dxa"/>
              <w:bottom w:w="80" w:type="dxa"/>
              <w:end w:w="90" w:type="dxa"/>
            </w:tcMar>
            <w:vAlign w:val="top"/>
          </w:tcPr>
          <w:p>
            <w:r>
              <w:rPr>
                <w:rFonts w:ascii="Aptos" w:hAnsi="Aptos"/>
                <w:b w:val="0"/>
                <w:sz w:val="16"/>
              </w:rPr>
              <w:t>Maintain ≥115% against Northstar internal stressed 30-day outflow measure</w:t>
            </w:r>
          </w:p>
        </w:tc>
      </w:tr>
      <w:tr>
        <w:tc>
          <w:tcPr>
            <w:tcW w:type="dxa" w:w="5184"/>
            <w:tcMar>
              <w:top w:w="80" w:type="dxa"/>
              <w:start w:w="90" w:type="dxa"/>
              <w:bottom w:w="80" w:type="dxa"/>
              <w:end w:w="90" w:type="dxa"/>
            </w:tcMar>
            <w:vAlign w:val="top"/>
            <w:shd w:fill="F7FAFC"/>
          </w:tcPr>
          <w:p>
            <w:r>
              <w:rPr>
                <w:rFonts w:ascii="Aptos" w:hAnsi="Aptos"/>
                <w:b w:val="0"/>
                <w:sz w:val="16"/>
              </w:rPr>
              <w:t>Top-5 funding source concentration</w:t>
            </w:r>
          </w:p>
        </w:tc>
        <w:tc>
          <w:tcPr>
            <w:tcW w:type="dxa" w:w="5184"/>
            <w:tcMar>
              <w:top w:w="80" w:type="dxa"/>
              <w:start w:w="90" w:type="dxa"/>
              <w:bottom w:w="80" w:type="dxa"/>
              <w:end w:w="90" w:type="dxa"/>
            </w:tcMar>
            <w:vAlign w:val="top"/>
            <w:shd w:fill="F7FAFC"/>
          </w:tcPr>
          <w:p>
            <w:r>
              <w:rPr>
                <w:rFonts w:ascii="Aptos" w:hAnsi="Aptos"/>
                <w:b w:val="0"/>
                <w:sz w:val="16"/>
              </w:rPr>
              <w:t>Manage to ≤35% of wholesale/large funding base</w:t>
            </w:r>
          </w:p>
        </w:tc>
      </w:tr>
      <w:tr>
        <w:tc>
          <w:tcPr>
            <w:tcW w:type="dxa" w:w="5184"/>
            <w:tcMar>
              <w:top w:w="80" w:type="dxa"/>
              <w:start w:w="90" w:type="dxa"/>
              <w:bottom w:w="80" w:type="dxa"/>
              <w:end w:w="90" w:type="dxa"/>
            </w:tcMar>
            <w:vAlign w:val="top"/>
          </w:tcPr>
          <w:p>
            <w:r>
              <w:rPr>
                <w:rFonts w:ascii="Aptos" w:hAnsi="Aptos"/>
                <w:b w:val="0"/>
                <w:sz w:val="16"/>
              </w:rPr>
              <w:t>Unencumbered liquid asset buffer</w:t>
            </w:r>
          </w:p>
        </w:tc>
        <w:tc>
          <w:tcPr>
            <w:tcW w:type="dxa" w:w="5184"/>
            <w:tcMar>
              <w:top w:w="80" w:type="dxa"/>
              <w:start w:w="90" w:type="dxa"/>
              <w:bottom w:w="80" w:type="dxa"/>
              <w:end w:w="90" w:type="dxa"/>
            </w:tcMar>
            <w:vAlign w:val="top"/>
          </w:tcPr>
          <w:p>
            <w:r>
              <w:rPr>
                <w:rFonts w:ascii="Aptos" w:hAnsi="Aptos"/>
                <w:b w:val="0"/>
                <w:sz w:val="16"/>
              </w:rPr>
              <w:t>Maintain sufficient assets for internal contingency horizon</w:t>
            </w:r>
          </w:p>
        </w:tc>
      </w:tr>
      <w:tr>
        <w:tc>
          <w:tcPr>
            <w:tcW w:type="dxa" w:w="5184"/>
            <w:tcMar>
              <w:top w:w="80" w:type="dxa"/>
              <w:start w:w="90" w:type="dxa"/>
              <w:bottom w:w="80" w:type="dxa"/>
              <w:end w:w="90" w:type="dxa"/>
            </w:tcMar>
            <w:vAlign w:val="top"/>
            <w:shd w:fill="F7FAFC"/>
          </w:tcPr>
          <w:p>
            <w:r>
              <w:rPr>
                <w:rFonts w:ascii="Aptos" w:hAnsi="Aptos"/>
                <w:b w:val="0"/>
                <w:sz w:val="16"/>
              </w:rPr>
              <w:t>Contingency funding action readiness</w:t>
            </w:r>
          </w:p>
        </w:tc>
        <w:tc>
          <w:tcPr>
            <w:tcW w:type="dxa" w:w="5184"/>
            <w:tcMar>
              <w:top w:w="80" w:type="dxa"/>
              <w:start w:w="90" w:type="dxa"/>
              <w:bottom w:w="80" w:type="dxa"/>
              <w:end w:w="90" w:type="dxa"/>
            </w:tcMar>
            <w:vAlign w:val="top"/>
            <w:shd w:fill="F7FAFC"/>
          </w:tcPr>
          <w:p>
            <w:r>
              <w:rPr>
                <w:rFonts w:ascii="Aptos" w:hAnsi="Aptos"/>
                <w:b w:val="0"/>
                <w:sz w:val="16"/>
              </w:rPr>
              <w:t>No appetite for untested critical actions or unclear authority</w:t>
            </w:r>
          </w:p>
        </w:tc>
      </w:tr>
    </w:tbl>
    <w:p/>
    <w:p>
      <w:pPr>
        <w:pStyle w:val="Heading1"/>
        <w:keepNext/>
      </w:pPr>
      <w:r>
        <w:t>8. Market and Investment Risk Appetite</w:t>
      </w:r>
    </w:p>
    <w:p>
      <w:r>
        <w:t>Northstar has low-to-moderate appetite for market risk arising from liquidity management and approved investment activities. Proprietary speculative positions outside approved mandates are not permitted.</w:t>
      </w:r>
    </w:p>
    <w:p>
      <w:pPr>
        <w:pStyle w:val="ControlBullet"/>
      </w:pPr>
      <w:r>
        <w:rPr>
          <w:b/>
        </w:rPr>
        <w:t xml:space="preserve">• </w:t>
      </w:r>
      <w:r>
        <w:t>Investment concentration, duration, issuer and counterparty limits will be set in Batch 4 Investment Policy and schedules.</w:t>
      </w:r>
    </w:p>
    <w:p>
      <w:pPr>
        <w:pStyle w:val="ControlBullet"/>
      </w:pPr>
      <w:r>
        <w:rPr>
          <w:b/>
        </w:rPr>
        <w:t xml:space="preserve">• </w:t>
      </w:r>
      <w:r>
        <w:t>Valuation uncertainty and illiquidity shall be treated as risk factors, not offset solely by yield.</w:t>
      </w:r>
    </w:p>
    <w:p>
      <w:pPr>
        <w:pStyle w:val="ControlBullet"/>
      </w:pPr>
      <w:r>
        <w:rPr>
          <w:b/>
        </w:rPr>
        <w:t xml:space="preserve">• </w:t>
      </w:r>
      <w:r>
        <w:t>Market-risk exceptions require appropriate Treasury/Investment and independent risk approval.</w:t>
      </w:r>
    </w:p>
    <w:p>
      <w:pPr>
        <w:pStyle w:val="ControlBullet"/>
      </w:pPr>
      <w:r>
        <w:rPr>
          <w:b/>
        </w:rPr>
        <w:t xml:space="preserve">• </w:t>
      </w:r>
      <w:r>
        <w:t>A more restrictive investment schedule shall prevail over this high-level statement.</w:t>
      </w:r>
    </w:p>
    <w:p>
      <w:pPr>
        <w:pStyle w:val="Heading1"/>
        <w:keepNext/>
      </w:pPr>
      <w:r>
        <w:t>9. Cyber and Information Security Appetite</w:t>
      </w:r>
    </w:p>
    <w:p>
      <w:r>
        <w:t>Northstar has very low appetite for unauthorized access to customer information, compromise of privileged accounts, loss of critical data integrity or prolonged unavailability of critical services. Detailed technical thresholds will be set in Batch 5.</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vAlign w:val="center"/>
            <w:tcMar>
              <w:top w:w="80" w:type="dxa"/>
              <w:start w:w="90" w:type="dxa"/>
              <w:bottom w:w="80" w:type="dxa"/>
              <w:end w:w="90" w:type="dxa"/>
            </w:tcMar>
          </w:tcPr>
          <w:p>
            <w:r>
              <w:rPr>
                <w:rFonts w:ascii="Aptos" w:hAnsi="Aptos"/>
                <w:b/>
                <w:color w:val="FFFFFF"/>
                <w:sz w:val="16"/>
              </w:rPr>
              <w:t>Position</w:t>
            </w:r>
          </w:p>
        </w:tc>
        <w:tc>
          <w:tcPr>
            <w:tcW w:type="dxa" w:w="5184"/>
            <w:shd w:fill="17365D"/>
            <w:vAlign w:val="center"/>
            <w:tcMar>
              <w:top w:w="80" w:type="dxa"/>
              <w:start w:w="90" w:type="dxa"/>
              <w:bottom w:w="80" w:type="dxa"/>
              <w:end w:w="90" w:type="dxa"/>
            </w:tcMar>
          </w:tcPr>
          <w:p>
            <w:r>
              <w:rPr>
                <w:rFonts w:ascii="Aptos" w:hAnsi="Aptos"/>
                <w:b/>
                <w:color w:val="FFFFFF"/>
                <w:sz w:val="16"/>
              </w:rPr>
              <w:t>Appetite</w:t>
            </w:r>
          </w:p>
        </w:tc>
      </w:tr>
      <w:tr>
        <w:tc>
          <w:tcPr>
            <w:tcW w:type="dxa" w:w="5184"/>
            <w:tcMar>
              <w:top w:w="80" w:type="dxa"/>
              <w:start w:w="90" w:type="dxa"/>
              <w:bottom w:w="80" w:type="dxa"/>
              <w:end w:w="90" w:type="dxa"/>
            </w:tcMar>
            <w:vAlign w:val="top"/>
          </w:tcPr>
          <w:p>
            <w:r>
              <w:rPr>
                <w:rFonts w:ascii="Aptos" w:hAnsi="Aptos"/>
                <w:b w:val="0"/>
                <w:sz w:val="16"/>
              </w:rPr>
              <w:t>Confirmed unauthorized privileged access</w:t>
            </w:r>
          </w:p>
        </w:tc>
        <w:tc>
          <w:tcPr>
            <w:tcW w:type="dxa" w:w="5184"/>
            <w:tcMar>
              <w:top w:w="80" w:type="dxa"/>
              <w:start w:w="90" w:type="dxa"/>
              <w:bottom w:w="80" w:type="dxa"/>
              <w:end w:w="90" w:type="dxa"/>
            </w:tcMar>
            <w:vAlign w:val="top"/>
          </w:tcPr>
          <w:p>
            <w:r>
              <w:rPr>
                <w:rFonts w:ascii="Aptos" w:hAnsi="Aptos"/>
                <w:b w:val="0"/>
                <w:sz w:val="16"/>
              </w:rPr>
              <w:t>Zero tolerance; immediate containment and executive escalation</w:t>
            </w:r>
          </w:p>
        </w:tc>
      </w:tr>
      <w:tr>
        <w:tc>
          <w:tcPr>
            <w:tcW w:type="dxa" w:w="5184"/>
            <w:tcMar>
              <w:top w:w="80" w:type="dxa"/>
              <w:start w:w="90" w:type="dxa"/>
              <w:bottom w:w="80" w:type="dxa"/>
              <w:end w:w="90" w:type="dxa"/>
            </w:tcMar>
            <w:vAlign w:val="top"/>
            <w:shd w:fill="F7FAFC"/>
          </w:tcPr>
          <w:p>
            <w:r>
              <w:rPr>
                <w:rFonts w:ascii="Aptos" w:hAnsi="Aptos"/>
                <w:b w:val="0"/>
                <w:sz w:val="16"/>
              </w:rPr>
              <w:t>Critical vulnerability beyond approved remediation window</w:t>
            </w:r>
          </w:p>
        </w:tc>
        <w:tc>
          <w:tcPr>
            <w:tcW w:type="dxa" w:w="5184"/>
            <w:tcMar>
              <w:top w:w="80" w:type="dxa"/>
              <w:start w:w="90" w:type="dxa"/>
              <w:bottom w:w="80" w:type="dxa"/>
              <w:end w:w="90" w:type="dxa"/>
            </w:tcMar>
            <w:vAlign w:val="top"/>
            <w:shd w:fill="F7FAFC"/>
          </w:tcPr>
          <w:p>
            <w:r>
              <w:rPr>
                <w:rFonts w:ascii="Aptos" w:hAnsi="Aptos"/>
                <w:b w:val="0"/>
                <w:sz w:val="16"/>
              </w:rPr>
              <w:t>Zero tolerance without explicit temporary risk acceptance</w:t>
            </w:r>
          </w:p>
        </w:tc>
      </w:tr>
      <w:tr>
        <w:tc>
          <w:tcPr>
            <w:tcW w:type="dxa" w:w="5184"/>
            <w:tcMar>
              <w:top w:w="80" w:type="dxa"/>
              <w:start w:w="90" w:type="dxa"/>
              <w:bottom w:w="80" w:type="dxa"/>
              <w:end w:w="90" w:type="dxa"/>
            </w:tcMar>
            <w:vAlign w:val="top"/>
          </w:tcPr>
          <w:p>
            <w:r>
              <w:rPr>
                <w:rFonts w:ascii="Aptos" w:hAnsi="Aptos"/>
                <w:b w:val="0"/>
                <w:sz w:val="16"/>
              </w:rPr>
              <w:t>Material customer-data exposure</w:t>
            </w:r>
          </w:p>
        </w:tc>
        <w:tc>
          <w:tcPr>
            <w:tcW w:type="dxa" w:w="5184"/>
            <w:tcMar>
              <w:top w:w="80" w:type="dxa"/>
              <w:start w:w="90" w:type="dxa"/>
              <w:bottom w:w="80" w:type="dxa"/>
              <w:end w:w="90" w:type="dxa"/>
            </w:tcMar>
            <w:vAlign w:val="top"/>
          </w:tcPr>
          <w:p>
            <w:r>
              <w:rPr>
                <w:rFonts w:ascii="Aptos" w:hAnsi="Aptos"/>
                <w:b w:val="0"/>
                <w:sz w:val="16"/>
              </w:rPr>
              <w:t>Zero tolerance for uncontained exposure; incident governance required</w:t>
            </w:r>
          </w:p>
        </w:tc>
      </w:tr>
      <w:tr>
        <w:tc>
          <w:tcPr>
            <w:tcW w:type="dxa" w:w="5184"/>
            <w:tcMar>
              <w:top w:w="80" w:type="dxa"/>
              <w:start w:w="90" w:type="dxa"/>
              <w:bottom w:w="80" w:type="dxa"/>
              <w:end w:w="90" w:type="dxa"/>
            </w:tcMar>
            <w:vAlign w:val="top"/>
            <w:shd w:fill="F7FAFC"/>
          </w:tcPr>
          <w:p>
            <w:r>
              <w:rPr>
                <w:rFonts w:ascii="Aptos" w:hAnsi="Aptos"/>
                <w:b w:val="0"/>
                <w:sz w:val="16"/>
              </w:rPr>
              <w:t>Non-production security incident</w:t>
            </w:r>
          </w:p>
        </w:tc>
        <w:tc>
          <w:tcPr>
            <w:tcW w:type="dxa" w:w="5184"/>
            <w:tcMar>
              <w:top w:w="80" w:type="dxa"/>
              <w:start w:w="90" w:type="dxa"/>
              <w:bottom w:w="80" w:type="dxa"/>
              <w:end w:w="90" w:type="dxa"/>
            </w:tcMar>
            <w:vAlign w:val="top"/>
            <w:shd w:fill="F7FAFC"/>
          </w:tcPr>
          <w:p>
            <w:r>
              <w:rPr>
                <w:rFonts w:ascii="Aptos" w:hAnsi="Aptos"/>
                <w:b w:val="0"/>
                <w:sz w:val="16"/>
              </w:rPr>
              <w:t>Risk-based; severity determined by data/access/connectivity, not environment label alone</w:t>
            </w:r>
          </w:p>
        </w:tc>
      </w:tr>
    </w:tbl>
    <w:p/>
    <w:p>
      <w:pPr>
        <w:pStyle w:val="Heading1"/>
        <w:keepNext/>
      </w:pPr>
      <w:r>
        <w:t>10. Compliance and Conduct Appetite</w:t>
      </w:r>
    </w:p>
    <w:p>
      <w:r>
        <w:t>Northstar has no appetite for deliberate customer harm, intentional misreporting, retaliation against whistleblowers, concealment of material compliance breaches or systematic circumvention of policy. Minor procedural errors may occur but must be detected, corrected and learned from.</w:t>
      </w:r>
    </w:p>
    <w:p>
      <w:pPr>
        <w:pStyle w:val="ControlBullet"/>
      </w:pPr>
      <w:r>
        <w:rPr>
          <w:b/>
        </w:rPr>
        <w:t xml:space="preserve">• </w:t>
      </w:r>
      <w:r>
        <w:t>Customer complaints and remediation trends shall inform conduct risk even when individual cases are resolved.</w:t>
      </w:r>
    </w:p>
    <w:p>
      <w:pPr>
        <w:pStyle w:val="ControlBullet"/>
      </w:pPr>
      <w:r>
        <w:rPr>
          <w:b/>
        </w:rPr>
        <w:t xml:space="preserve">• </w:t>
      </w:r>
      <w:r>
        <w:t>A controlled policy exception is not automatically a compliance breach; unauthorized deviations may be.</w:t>
      </w:r>
    </w:p>
    <w:p>
      <w:pPr>
        <w:pStyle w:val="ControlBullet"/>
      </w:pPr>
      <w:r>
        <w:rPr>
          <w:b/>
        </w:rPr>
        <w:t xml:space="preserve">• </w:t>
      </w:r>
      <w:r>
        <w:t>Material regulatory-change commitments shall have accountable owners and tracked implementation.</w:t>
      </w:r>
    </w:p>
    <w:p>
      <w:pPr>
        <w:pStyle w:val="ControlBullet"/>
      </w:pPr>
      <w:r>
        <w:rPr>
          <w:b/>
        </w:rPr>
        <w:t xml:space="preserve">• </w:t>
      </w:r>
      <w:r>
        <w:t>Known high-risk issues shall not remain open indefinitely through repeated extensions.</w:t>
      </w:r>
    </w:p>
    <w:p>
      <w:pPr>
        <w:pStyle w:val="Heading1"/>
        <w:keepNext/>
      </w:pPr>
      <w:r>
        <w:t>11. Model Risk Appetite</w:t>
      </w:r>
    </w:p>
    <w:p>
      <w:r>
        <w:t>Northstar accepts model risk where models are appropriately governed, validated or independently reviewed as applicable, monitored and subject to accountable human oversight. There is low appetite for opaque parameter changes, unmonitored overrides or reliance on stale data.</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5040"/>
            <w:shd w:fill="17365D"/>
            <w:vAlign w:val="center"/>
            <w:tcMar>
              <w:top w:w="80" w:type="dxa"/>
              <w:start w:w="90" w:type="dxa"/>
              <w:bottom w:w="80" w:type="dxa"/>
              <w:end w:w="90" w:type="dxa"/>
            </w:tcMar>
          </w:tcPr>
          <w:p>
            <w:r>
              <w:rPr>
                <w:rFonts w:ascii="Aptos" w:hAnsi="Aptos"/>
                <w:b/>
                <w:color w:val="FFFFFF"/>
                <w:sz w:val="16"/>
              </w:rPr>
              <w:t>Indicator</w:t>
            </w:r>
          </w:p>
        </w:tc>
        <w:tc>
          <w:tcPr>
            <w:tcW w:type="dxa" w:w="5328"/>
            <w:shd w:fill="17365D"/>
            <w:vAlign w:val="center"/>
            <w:tcMar>
              <w:top w:w="80" w:type="dxa"/>
              <w:start w:w="90" w:type="dxa"/>
              <w:bottom w:w="80" w:type="dxa"/>
              <w:end w:w="90" w:type="dxa"/>
            </w:tcMar>
          </w:tcPr>
          <w:p>
            <w:r>
              <w:rPr>
                <w:rFonts w:ascii="Aptos" w:hAnsi="Aptos"/>
                <w:b/>
                <w:color w:val="FFFFFF"/>
                <w:sz w:val="16"/>
              </w:rPr>
              <w:t>Appetite Position</w:t>
            </w:r>
          </w:p>
        </w:tc>
      </w:tr>
      <w:tr>
        <w:tc>
          <w:tcPr>
            <w:tcW w:type="dxa" w:w="5040"/>
            <w:tcMar>
              <w:top w:w="80" w:type="dxa"/>
              <w:start w:w="90" w:type="dxa"/>
              <w:bottom w:w="80" w:type="dxa"/>
              <w:end w:w="90" w:type="dxa"/>
            </w:tcMar>
            <w:vAlign w:val="top"/>
          </w:tcPr>
          <w:p>
            <w:r>
              <w:rPr>
                <w:rFonts w:ascii="Aptos" w:hAnsi="Aptos"/>
                <w:b w:val="0"/>
                <w:sz w:val="16"/>
              </w:rPr>
              <w:t>Unapproved material model/parameter change</w:t>
            </w:r>
          </w:p>
        </w:tc>
        <w:tc>
          <w:tcPr>
            <w:tcW w:type="dxa" w:w="5328"/>
            <w:tcMar>
              <w:top w:w="80" w:type="dxa"/>
              <w:start w:w="90" w:type="dxa"/>
              <w:bottom w:w="80" w:type="dxa"/>
              <w:end w:w="90" w:type="dxa"/>
            </w:tcMar>
            <w:vAlign w:val="top"/>
          </w:tcPr>
          <w:p>
            <w:r>
              <w:rPr>
                <w:rFonts w:ascii="Aptos" w:hAnsi="Aptos"/>
                <w:b w:val="0"/>
                <w:sz w:val="16"/>
              </w:rPr>
              <w:t>Zero tolerance</w:t>
            </w:r>
          </w:p>
        </w:tc>
      </w:tr>
      <w:tr>
        <w:tc>
          <w:tcPr>
            <w:tcW w:type="dxa" w:w="5040"/>
            <w:tcMar>
              <w:top w:w="80" w:type="dxa"/>
              <w:start w:w="90" w:type="dxa"/>
              <w:bottom w:w="80" w:type="dxa"/>
              <w:end w:w="90" w:type="dxa"/>
            </w:tcMar>
            <w:vAlign w:val="top"/>
            <w:shd w:fill="F7FAFC"/>
          </w:tcPr>
          <w:p>
            <w:r>
              <w:rPr>
                <w:rFonts w:ascii="Aptos" w:hAnsi="Aptos"/>
                <w:b w:val="0"/>
                <w:sz w:val="16"/>
              </w:rPr>
              <w:t>Customer risk / credit model override rate</w:t>
            </w:r>
          </w:p>
        </w:tc>
        <w:tc>
          <w:tcPr>
            <w:tcW w:type="dxa" w:w="5328"/>
            <w:tcMar>
              <w:top w:w="80" w:type="dxa"/>
              <w:start w:w="90" w:type="dxa"/>
              <w:bottom w:w="80" w:type="dxa"/>
              <w:end w:w="90" w:type="dxa"/>
            </w:tcMar>
            <w:vAlign w:val="top"/>
            <w:shd w:fill="F7FAFC"/>
          </w:tcPr>
          <w:p>
            <w:r>
              <w:rPr>
                <w:rFonts w:ascii="Aptos" w:hAnsi="Aptos"/>
                <w:b w:val="0"/>
                <w:sz w:val="16"/>
              </w:rPr>
              <w:t>Monitor by model; &gt;10% sustained requires review unless designed manual band</w:t>
            </w:r>
          </w:p>
        </w:tc>
      </w:tr>
      <w:tr>
        <w:tc>
          <w:tcPr>
            <w:tcW w:type="dxa" w:w="5040"/>
            <w:tcMar>
              <w:top w:w="80" w:type="dxa"/>
              <w:start w:w="90" w:type="dxa"/>
              <w:bottom w:w="80" w:type="dxa"/>
              <w:end w:w="90" w:type="dxa"/>
            </w:tcMar>
            <w:vAlign w:val="top"/>
          </w:tcPr>
          <w:p>
            <w:r>
              <w:rPr>
                <w:rFonts w:ascii="Aptos" w:hAnsi="Aptos"/>
                <w:b w:val="0"/>
                <w:sz w:val="16"/>
              </w:rPr>
              <w:t>Material data-quality issue affecting decisions</w:t>
            </w:r>
          </w:p>
        </w:tc>
        <w:tc>
          <w:tcPr>
            <w:tcW w:type="dxa" w:w="5328"/>
            <w:tcMar>
              <w:top w:w="80" w:type="dxa"/>
              <w:start w:w="90" w:type="dxa"/>
              <w:bottom w:w="80" w:type="dxa"/>
              <w:end w:w="90" w:type="dxa"/>
            </w:tcMar>
            <w:vAlign w:val="top"/>
          </w:tcPr>
          <w:p>
            <w:r>
              <w:rPr>
                <w:rFonts w:ascii="Aptos" w:hAnsi="Aptos"/>
                <w:b w:val="0"/>
                <w:sz w:val="16"/>
              </w:rPr>
              <w:t>Prompt containment and impact assessment</w:t>
            </w:r>
          </w:p>
        </w:tc>
      </w:tr>
      <w:tr>
        <w:tc>
          <w:tcPr>
            <w:tcW w:type="dxa" w:w="5040"/>
            <w:tcMar>
              <w:top w:w="80" w:type="dxa"/>
              <w:start w:w="90" w:type="dxa"/>
              <w:bottom w:w="80" w:type="dxa"/>
              <w:end w:w="90" w:type="dxa"/>
            </w:tcMar>
            <w:vAlign w:val="top"/>
            <w:shd w:fill="F7FAFC"/>
          </w:tcPr>
          <w:p>
            <w:r>
              <w:rPr>
                <w:rFonts w:ascii="Aptos" w:hAnsi="Aptos"/>
                <w:b w:val="0"/>
                <w:sz w:val="16"/>
              </w:rPr>
              <w:t>Historical decisions after model change</w:t>
            </w:r>
          </w:p>
        </w:tc>
        <w:tc>
          <w:tcPr>
            <w:tcW w:type="dxa" w:w="5328"/>
            <w:tcMar>
              <w:top w:w="80" w:type="dxa"/>
              <w:start w:w="90" w:type="dxa"/>
              <w:bottom w:w="80" w:type="dxa"/>
              <w:end w:w="90" w:type="dxa"/>
            </w:tcMar>
            <w:vAlign w:val="top"/>
            <w:shd w:fill="F7FAFC"/>
          </w:tcPr>
          <w:p>
            <w:r>
              <w:rPr>
                <w:rFonts w:ascii="Aptos" w:hAnsi="Aptos"/>
                <w:b w:val="0"/>
                <w:sz w:val="16"/>
              </w:rPr>
              <w:t>Retain original version; do not silently restate</w:t>
            </w:r>
          </w:p>
        </w:tc>
      </w:tr>
    </w:tbl>
    <w:p/>
    <w:p>
      <w:pPr>
        <w:pStyle w:val="Heading1"/>
        <w:keepNext/>
      </w:pPr>
      <w:r>
        <w:t>12. Reputational and Strategic Appetite</w:t>
      </w:r>
    </w:p>
    <w:p>
      <w:r>
        <w:t>Northstar accepts strategic execution risk inherent in growth, new products and technology change, provided downside scenarios, customer impacts and control capacity are considered. There is low appetite for growth that depends on repeated policy exceptions or unresolved control weaknesses.</w:t>
      </w:r>
    </w:p>
    <w:p>
      <w:pPr>
        <w:pStyle w:val="ControlBullet"/>
      </w:pPr>
      <w:r>
        <w:rPr>
          <w:b/>
        </w:rPr>
        <w:t xml:space="preserve">• </w:t>
      </w:r>
      <w:r>
        <w:t>Growth concentration by sourcing partner, geography or product shall be monitored alongside credit quality and operational capacity.</w:t>
      </w:r>
    </w:p>
    <w:p>
      <w:pPr>
        <w:pStyle w:val="ControlBullet"/>
      </w:pPr>
      <w:r>
        <w:rPr>
          <w:b/>
        </w:rPr>
        <w:t xml:space="preserve">• </w:t>
      </w:r>
      <w:r>
        <w:t>Major change initiatives shall include risk gates and post-launch monitoring.</w:t>
      </w:r>
    </w:p>
    <w:p>
      <w:pPr>
        <w:pStyle w:val="ControlBullet"/>
      </w:pPr>
      <w:r>
        <w:rPr>
          <w:b/>
        </w:rPr>
        <w:t xml:space="preserve">• </w:t>
      </w:r>
      <w:r>
        <w:t>Strategic decisions may temporarily increase a risk metric only through explicit governance and time-bound action.</w:t>
      </w:r>
    </w:p>
    <w:p>
      <w:pPr>
        <w:pStyle w:val="ControlBullet"/>
      </w:pPr>
      <w:r>
        <w:rPr>
          <w:b/>
        </w:rPr>
        <w:t xml:space="preserve">• </w:t>
      </w:r>
      <w:r>
        <w:t>Reputation effects should be linked to underlying causes rather than used as a vague standalone justification.</w:t>
      </w:r>
    </w:p>
    <w:p>
      <w:pPr>
        <w:pStyle w:val="Heading1"/>
        <w:keepNext/>
      </w:pPr>
      <w:r>
        <w:t>13. Risk Appetite Breach Management</w:t>
      </w:r>
    </w:p>
    <w:p>
      <w:r>
        <w:t>Metric owners shall escalate breaches promptly with cause, impact, immediate containment, remediation and expected return-to-appetite date. A breach remains open until the approving authority accepts closure or a temporary accepted excess is formally granted.</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600"/>
            <w:shd w:fill="17365D"/>
            <w:vAlign w:val="center"/>
            <w:tcMar>
              <w:top w:w="80" w:type="dxa"/>
              <w:start w:w="90" w:type="dxa"/>
              <w:bottom w:w="80" w:type="dxa"/>
              <w:end w:w="90" w:type="dxa"/>
            </w:tcMar>
          </w:tcPr>
          <w:p>
            <w:r>
              <w:rPr>
                <w:rFonts w:ascii="Aptos" w:hAnsi="Aptos"/>
                <w:b/>
                <w:color w:val="FFFFFF"/>
                <w:sz w:val="16"/>
              </w:rPr>
              <w:t>Breach Severity</w:t>
            </w:r>
          </w:p>
        </w:tc>
        <w:tc>
          <w:tcPr>
            <w:tcW w:type="dxa" w:w="6768"/>
            <w:shd w:fill="17365D"/>
            <w:vAlign w:val="center"/>
            <w:tcMar>
              <w:top w:w="80" w:type="dxa"/>
              <w:start w:w="90" w:type="dxa"/>
              <w:bottom w:w="80" w:type="dxa"/>
              <w:end w:w="90" w:type="dxa"/>
            </w:tcMar>
          </w:tcPr>
          <w:p>
            <w:r>
              <w:rPr>
                <w:rFonts w:ascii="Aptos" w:hAnsi="Aptos"/>
                <w:b/>
                <w:color w:val="FFFFFF"/>
                <w:sz w:val="16"/>
              </w:rPr>
              <w:t>Escalation</w:t>
            </w:r>
          </w:p>
        </w:tc>
      </w:tr>
      <w:tr>
        <w:tc>
          <w:tcPr>
            <w:tcW w:type="dxa" w:w="3600"/>
            <w:tcMar>
              <w:top w:w="80" w:type="dxa"/>
              <w:start w:w="90" w:type="dxa"/>
              <w:bottom w:w="80" w:type="dxa"/>
              <w:end w:w="90" w:type="dxa"/>
            </w:tcMar>
            <w:vAlign w:val="top"/>
          </w:tcPr>
          <w:p>
            <w:r>
              <w:rPr>
                <w:rFonts w:ascii="Aptos" w:hAnsi="Aptos"/>
                <w:b w:val="0"/>
                <w:sz w:val="16"/>
              </w:rPr>
              <w:t>Local / immaterial</w:t>
            </w:r>
          </w:p>
        </w:tc>
        <w:tc>
          <w:tcPr>
            <w:tcW w:type="dxa" w:w="6768"/>
            <w:tcMar>
              <w:top w:w="80" w:type="dxa"/>
              <w:start w:w="90" w:type="dxa"/>
              <w:bottom w:w="80" w:type="dxa"/>
              <w:end w:w="90" w:type="dxa"/>
            </w:tcMar>
            <w:vAlign w:val="top"/>
          </w:tcPr>
          <w:p>
            <w:r>
              <w:rPr>
                <w:rFonts w:ascii="Aptos" w:hAnsi="Aptos"/>
                <w:b w:val="0"/>
                <w:sz w:val="16"/>
              </w:rPr>
              <w:t>Function head and relevant second line; include in routine reporting</w:t>
            </w:r>
          </w:p>
        </w:tc>
      </w:tr>
      <w:tr>
        <w:tc>
          <w:tcPr>
            <w:tcW w:type="dxa" w:w="3600"/>
            <w:tcMar>
              <w:top w:w="80" w:type="dxa"/>
              <w:start w:w="90" w:type="dxa"/>
              <w:bottom w:w="80" w:type="dxa"/>
              <w:end w:w="90" w:type="dxa"/>
            </w:tcMar>
            <w:vAlign w:val="top"/>
            <w:shd w:fill="F7FAFC"/>
          </w:tcPr>
          <w:p>
            <w:r>
              <w:rPr>
                <w:rFonts w:ascii="Aptos" w:hAnsi="Aptos"/>
                <w:b w:val="0"/>
                <w:sz w:val="16"/>
              </w:rPr>
              <w:t>Material single metric</w:t>
            </w:r>
          </w:p>
        </w:tc>
        <w:tc>
          <w:tcPr>
            <w:tcW w:type="dxa" w:w="6768"/>
            <w:tcMar>
              <w:top w:w="80" w:type="dxa"/>
              <w:start w:w="90" w:type="dxa"/>
              <w:bottom w:w="80" w:type="dxa"/>
              <w:end w:w="90" w:type="dxa"/>
            </w:tcMar>
            <w:vAlign w:val="top"/>
            <w:shd w:fill="F7FAFC"/>
          </w:tcPr>
          <w:p>
            <w:r>
              <w:rPr>
                <w:rFonts w:ascii="Aptos" w:hAnsi="Aptos"/>
                <w:b w:val="0"/>
                <w:sz w:val="16"/>
              </w:rPr>
              <w:t>CRO + accountable executive + specialist committee</w:t>
            </w:r>
          </w:p>
        </w:tc>
      </w:tr>
      <w:tr>
        <w:tc>
          <w:tcPr>
            <w:tcW w:type="dxa" w:w="3600"/>
            <w:tcMar>
              <w:top w:w="80" w:type="dxa"/>
              <w:start w:w="90" w:type="dxa"/>
              <w:bottom w:w="80" w:type="dxa"/>
              <w:end w:w="90" w:type="dxa"/>
            </w:tcMar>
            <w:vAlign w:val="top"/>
          </w:tcPr>
          <w:p>
            <w:r>
              <w:rPr>
                <w:rFonts w:ascii="Aptos" w:hAnsi="Aptos"/>
                <w:b w:val="0"/>
                <w:sz w:val="16"/>
              </w:rPr>
              <w:t>Multiple correlated breaches</w:t>
            </w:r>
          </w:p>
        </w:tc>
        <w:tc>
          <w:tcPr>
            <w:tcW w:type="dxa" w:w="6768"/>
            <w:tcMar>
              <w:top w:w="80" w:type="dxa"/>
              <w:start w:w="90" w:type="dxa"/>
              <w:bottom w:w="80" w:type="dxa"/>
              <w:end w:w="90" w:type="dxa"/>
            </w:tcMar>
            <w:vAlign w:val="top"/>
          </w:tcPr>
          <w:p>
            <w:r>
              <w:rPr>
                <w:rFonts w:ascii="Aptos" w:hAnsi="Aptos"/>
                <w:b w:val="0"/>
                <w:sz w:val="16"/>
              </w:rPr>
              <w:t>Executive Risk Committee; consider enterprise stress response</w:t>
            </w:r>
          </w:p>
        </w:tc>
      </w:tr>
      <w:tr>
        <w:tc>
          <w:tcPr>
            <w:tcW w:type="dxa" w:w="3600"/>
            <w:tcMar>
              <w:top w:w="80" w:type="dxa"/>
              <w:start w:w="90" w:type="dxa"/>
              <w:bottom w:w="80" w:type="dxa"/>
              <w:end w:w="90" w:type="dxa"/>
            </w:tcMar>
            <w:vAlign w:val="top"/>
            <w:shd w:fill="F7FAFC"/>
          </w:tcPr>
          <w:p>
            <w:r>
              <w:rPr>
                <w:rFonts w:ascii="Aptos" w:hAnsi="Aptos"/>
                <w:b w:val="0"/>
                <w:sz w:val="16"/>
              </w:rPr>
              <w:t>Severe / zero-tolerance breach</w:t>
            </w:r>
          </w:p>
        </w:tc>
        <w:tc>
          <w:tcPr>
            <w:tcW w:type="dxa" w:w="6768"/>
            <w:tcMar>
              <w:top w:w="80" w:type="dxa"/>
              <w:start w:w="90" w:type="dxa"/>
              <w:bottom w:w="80" w:type="dxa"/>
              <w:end w:w="90" w:type="dxa"/>
            </w:tcMar>
            <w:vAlign w:val="top"/>
            <w:shd w:fill="F7FAFC"/>
          </w:tcPr>
          <w:p>
            <w:r>
              <w:rPr>
                <w:rFonts w:ascii="Aptos" w:hAnsi="Aptos"/>
                <w:b w:val="0"/>
                <w:sz w:val="16"/>
              </w:rPr>
              <w:t>CEO/CRO and Board/committee escalation as appropriate</w:t>
            </w:r>
          </w:p>
        </w:tc>
      </w:tr>
    </w:tbl>
    <w:p/>
    <w:p>
      <w:pPr>
        <w:pStyle w:val="Heading1"/>
        <w:keepNext/>
      </w:pPr>
      <w:r>
        <w:t>14. Temporary Accepted Excess</w:t>
      </w:r>
    </w:p>
    <w:p>
      <w:r>
        <w:t>A temporary accepted excess may be used where immediate return to appetite is impracticable and the residual risk is understood and controlled. It is not available for sanctions restrictions, deliberate fraud, knowingly false reporting or other zero-tolerance positions.</w:t>
      </w:r>
    </w:p>
    <w:p>
      <w:pPr>
        <w:pStyle w:val="ControlBullet"/>
      </w:pPr>
      <w:r>
        <w:rPr>
          <w:b/>
        </w:rPr>
        <w:t xml:space="preserve">• </w:t>
      </w:r>
      <w:r>
        <w:t>Specify metric, current value, cause, compensating controls, action plan and expiry date.</w:t>
      </w:r>
    </w:p>
    <w:p>
      <w:pPr>
        <w:pStyle w:val="ControlBullet"/>
      </w:pPr>
      <w:r>
        <w:rPr>
          <w:b/>
        </w:rPr>
        <w:t xml:space="preserve">• </w:t>
      </w:r>
      <w:r>
        <w:t>Set authority at least one level above the normal metric owner for material breaches.</w:t>
      </w:r>
    </w:p>
    <w:p>
      <w:pPr>
        <w:pStyle w:val="ControlBullet"/>
      </w:pPr>
      <w:r>
        <w:rPr>
          <w:b/>
        </w:rPr>
        <w:t xml:space="preserve">• </w:t>
      </w:r>
      <w:r>
        <w:t>Extensions require fresh evidence and shall not be routine.</w:t>
      </w:r>
    </w:p>
    <w:p>
      <w:pPr>
        <w:pStyle w:val="ControlBullet"/>
      </w:pPr>
      <w:r>
        <w:rPr>
          <w:b/>
        </w:rPr>
        <w:t xml:space="preserve">• </w:t>
      </w:r>
      <w:r>
        <w:t>Repeated temporary excess may indicate the appetite metric or operating model requires formal review.</w:t>
      </w:r>
    </w:p>
    <w:p>
      <w:pPr>
        <w:pStyle w:val="Heading1"/>
        <w:keepNext/>
      </w:pPr>
      <w:r>
        <w:t>15. Monitoring, Reporting and Review</w:t>
      </w:r>
    </w:p>
    <w:p>
      <w:r>
        <w:t>Enterprise Risk shall maintain the risk-appetite dashboard, challenge data quality and report changes in status. Metric owners remain accountable for source data and management action.</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168"/>
            <w:shd w:fill="17365D"/>
            <w:vAlign w:val="center"/>
            <w:tcMar>
              <w:top w:w="80" w:type="dxa"/>
              <w:start w:w="90" w:type="dxa"/>
              <w:bottom w:w="80" w:type="dxa"/>
              <w:end w:w="90" w:type="dxa"/>
            </w:tcMar>
          </w:tcPr>
          <w:p>
            <w:r>
              <w:rPr>
                <w:rFonts w:ascii="Aptos" w:hAnsi="Aptos"/>
                <w:b/>
                <w:color w:val="FFFFFF"/>
                <w:sz w:val="16"/>
              </w:rPr>
              <w:t>Reporting Layer</w:t>
            </w:r>
          </w:p>
        </w:tc>
        <w:tc>
          <w:tcPr>
            <w:tcW w:type="dxa" w:w="2160"/>
            <w:shd w:fill="17365D"/>
            <w:vAlign w:val="center"/>
            <w:tcMar>
              <w:top w:w="80" w:type="dxa"/>
              <w:start w:w="90" w:type="dxa"/>
              <w:bottom w:w="80" w:type="dxa"/>
              <w:end w:w="90" w:type="dxa"/>
            </w:tcMar>
          </w:tcPr>
          <w:p>
            <w:r>
              <w:rPr>
                <w:rFonts w:ascii="Aptos" w:hAnsi="Aptos"/>
                <w:b/>
                <w:color w:val="FFFFFF"/>
                <w:sz w:val="16"/>
              </w:rPr>
              <w:t>Frequency</w:t>
            </w:r>
          </w:p>
        </w:tc>
        <w:tc>
          <w:tcPr>
            <w:tcW w:type="dxa" w:w="5040"/>
            <w:shd w:fill="17365D"/>
            <w:vAlign w:val="center"/>
            <w:tcMar>
              <w:top w:w="80" w:type="dxa"/>
              <w:start w:w="90" w:type="dxa"/>
              <w:bottom w:w="80" w:type="dxa"/>
              <w:end w:w="90" w:type="dxa"/>
            </w:tcMar>
          </w:tcPr>
          <w:p>
            <w:r>
              <w:rPr>
                <w:rFonts w:ascii="Aptos" w:hAnsi="Aptos"/>
                <w:b/>
                <w:color w:val="FFFFFF"/>
                <w:sz w:val="16"/>
              </w:rPr>
              <w:t>Content</w:t>
            </w:r>
          </w:p>
        </w:tc>
      </w:tr>
      <w:tr>
        <w:tc>
          <w:tcPr>
            <w:tcW w:type="dxa" w:w="3168"/>
            <w:tcMar>
              <w:top w:w="80" w:type="dxa"/>
              <w:start w:w="90" w:type="dxa"/>
              <w:bottom w:w="80" w:type="dxa"/>
              <w:end w:w="90" w:type="dxa"/>
            </w:tcMar>
            <w:vAlign w:val="top"/>
          </w:tcPr>
          <w:p>
            <w:r>
              <w:rPr>
                <w:rFonts w:ascii="Aptos" w:hAnsi="Aptos"/>
                <w:b w:val="0"/>
                <w:sz w:val="16"/>
              </w:rPr>
              <w:t>Business / metric owner</w:t>
            </w:r>
          </w:p>
        </w:tc>
        <w:tc>
          <w:tcPr>
            <w:tcW w:type="dxa" w:w="2160"/>
            <w:tcMar>
              <w:top w:w="80" w:type="dxa"/>
              <w:start w:w="90" w:type="dxa"/>
              <w:bottom w:w="80" w:type="dxa"/>
              <w:end w:w="90" w:type="dxa"/>
            </w:tcMar>
            <w:vAlign w:val="top"/>
          </w:tcPr>
          <w:p>
            <w:r>
              <w:rPr>
                <w:rFonts w:ascii="Aptos" w:hAnsi="Aptos"/>
                <w:b w:val="0"/>
                <w:sz w:val="16"/>
              </w:rPr>
              <w:t>Monthly or more frequent</w:t>
            </w:r>
          </w:p>
        </w:tc>
        <w:tc>
          <w:tcPr>
            <w:tcW w:type="dxa" w:w="5040"/>
            <w:tcMar>
              <w:top w:w="80" w:type="dxa"/>
              <w:start w:w="90" w:type="dxa"/>
              <w:bottom w:w="80" w:type="dxa"/>
              <w:end w:w="90" w:type="dxa"/>
            </w:tcMar>
            <w:vAlign w:val="top"/>
          </w:tcPr>
          <w:p>
            <w:r>
              <w:rPr>
                <w:rFonts w:ascii="Aptos" w:hAnsi="Aptos"/>
                <w:b w:val="0"/>
                <w:sz w:val="16"/>
              </w:rPr>
              <w:t>Current value, trend, drivers and action</w:t>
            </w:r>
          </w:p>
        </w:tc>
      </w:tr>
      <w:tr>
        <w:tc>
          <w:tcPr>
            <w:tcW w:type="dxa" w:w="3168"/>
            <w:tcMar>
              <w:top w:w="80" w:type="dxa"/>
              <w:start w:w="90" w:type="dxa"/>
              <w:bottom w:w="80" w:type="dxa"/>
              <w:end w:w="90" w:type="dxa"/>
            </w:tcMar>
            <w:vAlign w:val="top"/>
            <w:shd w:fill="F7FAFC"/>
          </w:tcPr>
          <w:p>
            <w:r>
              <w:rPr>
                <w:rFonts w:ascii="Aptos" w:hAnsi="Aptos"/>
                <w:b w:val="0"/>
                <w:sz w:val="16"/>
              </w:rPr>
              <w:t>Executive Risk Committee</w:t>
            </w:r>
          </w:p>
        </w:tc>
        <w:tc>
          <w:tcPr>
            <w:tcW w:type="dxa" w:w="2160"/>
            <w:tcMar>
              <w:top w:w="80" w:type="dxa"/>
              <w:start w:w="90" w:type="dxa"/>
              <w:bottom w:w="80" w:type="dxa"/>
              <w:end w:w="90" w:type="dxa"/>
            </w:tcMar>
            <w:vAlign w:val="top"/>
            <w:shd w:fill="F7FAFC"/>
          </w:tcPr>
          <w:p>
            <w:r>
              <w:rPr>
                <w:rFonts w:ascii="Aptos" w:hAnsi="Aptos"/>
                <w:b w:val="0"/>
                <w:sz w:val="16"/>
              </w:rPr>
              <w:t>Monthly</w:t>
            </w:r>
          </w:p>
        </w:tc>
        <w:tc>
          <w:tcPr>
            <w:tcW w:type="dxa" w:w="5040"/>
            <w:tcMar>
              <w:top w:w="80" w:type="dxa"/>
              <w:start w:w="90" w:type="dxa"/>
              <w:bottom w:w="80" w:type="dxa"/>
              <w:end w:w="90" w:type="dxa"/>
            </w:tcMar>
            <w:vAlign w:val="top"/>
            <w:shd w:fill="F7FAFC"/>
          </w:tcPr>
          <w:p>
            <w:r>
              <w:rPr>
                <w:rFonts w:ascii="Aptos" w:hAnsi="Aptos"/>
                <w:b w:val="0"/>
                <w:sz w:val="16"/>
              </w:rPr>
              <w:t>Early warnings, breaches, accepted excesses and emerging risks</w:t>
            </w:r>
          </w:p>
        </w:tc>
      </w:tr>
      <w:tr>
        <w:tc>
          <w:tcPr>
            <w:tcW w:type="dxa" w:w="3168"/>
            <w:tcMar>
              <w:top w:w="80" w:type="dxa"/>
              <w:start w:w="90" w:type="dxa"/>
              <w:bottom w:w="80" w:type="dxa"/>
              <w:end w:w="90" w:type="dxa"/>
            </w:tcMar>
            <w:vAlign w:val="top"/>
          </w:tcPr>
          <w:p>
            <w:r>
              <w:rPr>
                <w:rFonts w:ascii="Aptos" w:hAnsi="Aptos"/>
                <w:b w:val="0"/>
                <w:sz w:val="16"/>
              </w:rPr>
              <w:t>Board Risk Committee</w:t>
            </w:r>
          </w:p>
        </w:tc>
        <w:tc>
          <w:tcPr>
            <w:tcW w:type="dxa" w:w="2160"/>
            <w:tcMar>
              <w:top w:w="80" w:type="dxa"/>
              <w:start w:w="90" w:type="dxa"/>
              <w:bottom w:w="80" w:type="dxa"/>
              <w:end w:w="90" w:type="dxa"/>
            </w:tcMar>
            <w:vAlign w:val="top"/>
          </w:tcPr>
          <w:p>
            <w:r>
              <w:rPr>
                <w:rFonts w:ascii="Aptos" w:hAnsi="Aptos"/>
                <w:b w:val="0"/>
                <w:sz w:val="16"/>
              </w:rPr>
              <w:t>Quarterly / event-driven</w:t>
            </w:r>
          </w:p>
        </w:tc>
        <w:tc>
          <w:tcPr>
            <w:tcW w:type="dxa" w:w="5040"/>
            <w:tcMar>
              <w:top w:w="80" w:type="dxa"/>
              <w:start w:w="90" w:type="dxa"/>
              <w:bottom w:w="80" w:type="dxa"/>
              <w:end w:w="90" w:type="dxa"/>
            </w:tcMar>
            <w:vAlign w:val="top"/>
          </w:tcPr>
          <w:p>
            <w:r>
              <w:rPr>
                <w:rFonts w:ascii="Aptos" w:hAnsi="Aptos"/>
                <w:b w:val="0"/>
                <w:sz w:val="16"/>
              </w:rPr>
              <w:t>Enterprise appetite status, material breaches, stress results and approvals</w:t>
            </w:r>
          </w:p>
        </w:tc>
      </w:tr>
      <w:tr>
        <w:tc>
          <w:tcPr>
            <w:tcW w:type="dxa" w:w="3168"/>
            <w:tcMar>
              <w:top w:w="80" w:type="dxa"/>
              <w:start w:w="90" w:type="dxa"/>
              <w:bottom w:w="80" w:type="dxa"/>
              <w:end w:w="90" w:type="dxa"/>
            </w:tcMar>
            <w:vAlign w:val="top"/>
            <w:shd w:fill="F7FAFC"/>
          </w:tcPr>
          <w:p>
            <w:r>
              <w:rPr>
                <w:rFonts w:ascii="Aptos" w:hAnsi="Aptos"/>
                <w:b w:val="0"/>
                <w:sz w:val="16"/>
              </w:rPr>
              <w:t>Annual review</w:t>
            </w:r>
          </w:p>
        </w:tc>
        <w:tc>
          <w:tcPr>
            <w:tcW w:type="dxa" w:w="2160"/>
            <w:tcMar>
              <w:top w:w="80" w:type="dxa"/>
              <w:start w:w="90" w:type="dxa"/>
              <w:bottom w:w="80" w:type="dxa"/>
              <w:end w:w="90" w:type="dxa"/>
            </w:tcMar>
            <w:vAlign w:val="top"/>
            <w:shd w:fill="F7FAFC"/>
          </w:tcPr>
          <w:p>
            <w:r>
              <w:rPr>
                <w:rFonts w:ascii="Aptos" w:hAnsi="Aptos"/>
                <w:b w:val="0"/>
                <w:sz w:val="16"/>
              </w:rPr>
              <w:t>At least annually</w:t>
            </w:r>
          </w:p>
        </w:tc>
        <w:tc>
          <w:tcPr>
            <w:tcW w:type="dxa" w:w="5040"/>
            <w:tcMar>
              <w:top w:w="80" w:type="dxa"/>
              <w:start w:w="90" w:type="dxa"/>
              <w:bottom w:w="80" w:type="dxa"/>
              <w:end w:w="90" w:type="dxa"/>
            </w:tcMar>
            <w:vAlign w:val="top"/>
            <w:shd w:fill="F7FAFC"/>
          </w:tcPr>
          <w:p>
            <w:r>
              <w:rPr>
                <w:rFonts w:ascii="Aptos" w:hAnsi="Aptos"/>
                <w:b w:val="0"/>
                <w:sz w:val="16"/>
              </w:rPr>
              <w:t>Metric relevance, thresholds, data quality and strategy alignment</w:t>
            </w:r>
          </w:p>
        </w:tc>
      </w:tr>
    </w:tbl>
    <w:p/>
    <w:p>
      <w:pPr>
        <w:pStyle w:val="Heading1"/>
        <w:keepNext/>
      </w:pPr>
      <w:r>
        <w:t>16. Effective-Date and Historical Treatment</w:t>
      </w:r>
    </w:p>
    <w:p>
      <w:r>
        <w:t>This Statement becomes effective on 1 December 2025. It does not retrospectively convert prior management triggers into Board appetite limits. Historical decisions and reports retain the thresholds and classifications applicable at the time.</w:t>
      </w:r>
    </w:p>
    <w:p>
      <w:pPr>
        <w:pStyle w:val="ControlBullet"/>
      </w:pPr>
      <w:r>
        <w:rPr>
          <w:b/>
        </w:rPr>
        <w:t xml:space="preserve">• </w:t>
      </w:r>
      <w:r>
        <w:t>CRP-001 portfolio triggers that pre-date this Statement remain valid management triggers even where no formal appetite breach existed.</w:t>
      </w:r>
    </w:p>
    <w:p>
      <w:pPr>
        <w:pStyle w:val="ControlBullet"/>
      </w:pPr>
      <w:r>
        <w:rPr>
          <w:b/>
        </w:rPr>
        <w:t xml:space="preserve">• </w:t>
      </w:r>
      <w:r>
        <w:t>Customer-risk ratings before CRR-033 v1.0 retain the interim methodology version.</w:t>
      </w:r>
    </w:p>
    <w:p>
      <w:pPr>
        <w:pStyle w:val="ControlBullet"/>
      </w:pPr>
      <w:r>
        <w:rPr>
          <w:b/>
        </w:rPr>
        <w:t xml:space="preserve">• </w:t>
      </w:r>
      <w:r>
        <w:t>AML alerts generated before ATM-031 v1.3 retain generation-time scenario parameters unless formally back-tested.</w:t>
      </w:r>
    </w:p>
    <w:p>
      <w:pPr>
        <w:pStyle w:val="ControlBullet"/>
      </w:pPr>
      <w:r>
        <w:rPr>
          <w:b/>
        </w:rPr>
        <w:t xml:space="preserve">• </w:t>
      </w:r>
      <w:r>
        <w:t>Future investment, compliance and information-security documents may introduce more restrictive operating limits without changing this Statement until the next formal review.</w:t>
      </w:r>
    </w:p>
    <w:p>
      <w:r>
        <w:br w:type="page"/>
      </w:r>
    </w:p>
    <w:p>
      <w:pPr>
        <w:pStyle w:val="Heading1"/>
      </w:pPr>
      <w:r>
        <w:t>Appendix A — Enterprise Appetite Dashboard Template</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2016"/>
            <w:shd w:fill="17365D"/>
            <w:vAlign w:val="center"/>
            <w:tcMar>
              <w:top w:w="80" w:type="dxa"/>
              <w:start w:w="90" w:type="dxa"/>
              <w:bottom w:w="80" w:type="dxa"/>
              <w:end w:w="90" w:type="dxa"/>
            </w:tcMar>
          </w:tcPr>
          <w:p>
            <w:r>
              <w:rPr>
                <w:rFonts w:ascii="Aptos" w:hAnsi="Aptos"/>
                <w:b/>
                <w:color w:val="FFFFFF"/>
                <w:sz w:val="16"/>
              </w:rPr>
              <w:t>Risk</w:t>
            </w:r>
          </w:p>
        </w:tc>
        <w:tc>
          <w:tcPr>
            <w:tcW w:type="dxa" w:w="3888"/>
            <w:shd w:fill="17365D"/>
            <w:vAlign w:val="center"/>
            <w:tcMar>
              <w:top w:w="80" w:type="dxa"/>
              <w:start w:w="90" w:type="dxa"/>
              <w:bottom w:w="80" w:type="dxa"/>
              <w:end w:w="90" w:type="dxa"/>
            </w:tcMar>
          </w:tcPr>
          <w:p>
            <w:r>
              <w:rPr>
                <w:rFonts w:ascii="Aptos" w:hAnsi="Aptos"/>
                <w:b/>
                <w:color w:val="FFFFFF"/>
                <w:sz w:val="16"/>
              </w:rPr>
              <w:t>Metric</w:t>
            </w:r>
          </w:p>
        </w:tc>
        <w:tc>
          <w:tcPr>
            <w:tcW w:type="dxa" w:w="1440"/>
            <w:shd w:fill="17365D"/>
            <w:vAlign w:val="center"/>
            <w:tcMar>
              <w:top w:w="80" w:type="dxa"/>
              <w:start w:w="90" w:type="dxa"/>
              <w:bottom w:w="80" w:type="dxa"/>
              <w:end w:w="90" w:type="dxa"/>
            </w:tcMar>
          </w:tcPr>
          <w:p>
            <w:r>
              <w:rPr>
                <w:rFonts w:ascii="Aptos" w:hAnsi="Aptos"/>
                <w:b/>
                <w:color w:val="FFFFFF"/>
                <w:sz w:val="16"/>
              </w:rPr>
              <w:t>Current</w:t>
            </w:r>
          </w:p>
        </w:tc>
        <w:tc>
          <w:tcPr>
            <w:tcW w:type="dxa" w:w="1440"/>
            <w:shd w:fill="17365D"/>
            <w:vAlign w:val="center"/>
            <w:tcMar>
              <w:top w:w="80" w:type="dxa"/>
              <w:start w:w="90" w:type="dxa"/>
              <w:bottom w:w="80" w:type="dxa"/>
              <w:end w:w="90" w:type="dxa"/>
            </w:tcMar>
          </w:tcPr>
          <w:p>
            <w:r>
              <w:rPr>
                <w:rFonts w:ascii="Aptos" w:hAnsi="Aptos"/>
                <w:b/>
                <w:color w:val="FFFFFF"/>
                <w:sz w:val="16"/>
              </w:rPr>
              <w:t>Status</w:t>
            </w:r>
          </w:p>
        </w:tc>
        <w:tc>
          <w:tcPr>
            <w:tcW w:type="dxa" w:w="1440"/>
            <w:shd w:fill="17365D"/>
            <w:vAlign w:val="center"/>
            <w:tcMar>
              <w:top w:w="80" w:type="dxa"/>
              <w:start w:w="90" w:type="dxa"/>
              <w:bottom w:w="80" w:type="dxa"/>
              <w:end w:w="90" w:type="dxa"/>
            </w:tcMar>
          </w:tcPr>
          <w:p>
            <w:r>
              <w:rPr>
                <w:rFonts w:ascii="Aptos" w:hAnsi="Aptos"/>
                <w:b/>
                <w:color w:val="FFFFFF"/>
                <w:sz w:val="16"/>
              </w:rPr>
              <w:t>Trend</w:t>
            </w:r>
          </w:p>
        </w:tc>
        <w:tc>
          <w:tcPr>
            <w:tcW w:type="dxa" w:w="2880"/>
            <w:shd w:fill="17365D"/>
            <w:vAlign w:val="center"/>
            <w:tcMar>
              <w:top w:w="80" w:type="dxa"/>
              <w:start w:w="90" w:type="dxa"/>
              <w:bottom w:w="80" w:type="dxa"/>
              <w:end w:w="90" w:type="dxa"/>
            </w:tcMar>
          </w:tcPr>
          <w:p>
            <w:r>
              <w:rPr>
                <w:rFonts w:ascii="Aptos" w:hAnsi="Aptos"/>
                <w:b/>
                <w:color w:val="FFFFFF"/>
                <w:sz w:val="16"/>
              </w:rPr>
              <w:t>Owner / Action</w:t>
            </w:r>
          </w:p>
        </w:tc>
      </w:tr>
      <w:tr>
        <w:tc>
          <w:tcPr>
            <w:tcW w:type="dxa" w:w="2016"/>
            <w:tcMar>
              <w:top w:w="80" w:type="dxa"/>
              <w:start w:w="90" w:type="dxa"/>
              <w:bottom w:w="80" w:type="dxa"/>
              <w:end w:w="90" w:type="dxa"/>
            </w:tcMar>
            <w:vAlign w:val="top"/>
          </w:tcPr>
          <w:p>
            <w:r>
              <w:rPr>
                <w:rFonts w:ascii="Aptos" w:hAnsi="Aptos"/>
                <w:b w:val="0"/>
                <w:sz w:val="16"/>
              </w:rPr>
              <w:t>Credit</w:t>
            </w:r>
          </w:p>
        </w:tc>
        <w:tc>
          <w:tcPr>
            <w:tcW w:type="dxa" w:w="3888"/>
            <w:tcMar>
              <w:top w:w="80" w:type="dxa"/>
              <w:start w:w="90" w:type="dxa"/>
              <w:bottom w:w="80" w:type="dxa"/>
              <w:end w:w="90" w:type="dxa"/>
            </w:tcMar>
            <w:vAlign w:val="top"/>
          </w:tcPr>
          <w:p>
            <w:r>
              <w:rPr>
                <w:rFonts w:ascii="Aptos" w:hAnsi="Aptos"/>
                <w:b w:val="0"/>
                <w:sz w:val="16"/>
              </w:rPr>
              <w:t>PL approved DTI exceptions %</w:t>
            </w:r>
          </w:p>
        </w:tc>
        <w:tc>
          <w:tcPr>
            <w:tcW w:type="dxa" w:w="1440"/>
            <w:tcMar>
              <w:top w:w="80" w:type="dxa"/>
              <w:start w:w="90" w:type="dxa"/>
              <w:bottom w:w="80" w:type="dxa"/>
              <w:end w:w="90" w:type="dxa"/>
            </w:tcMar>
            <w:vAlign w:val="top"/>
          </w:tcPr>
          <w:p>
            <w:r>
              <w:rPr>
                <w:rFonts w:ascii="Aptos" w:hAnsi="Aptos"/>
                <w:b w:val="0"/>
                <w:sz w:val="16"/>
              </w:rPr>
              <w:t>—</w:t>
            </w:r>
          </w:p>
        </w:tc>
        <w:tc>
          <w:tcPr>
            <w:tcW w:type="dxa" w:w="1440"/>
            <w:tcMar>
              <w:top w:w="80" w:type="dxa"/>
              <w:start w:w="90" w:type="dxa"/>
              <w:bottom w:w="80" w:type="dxa"/>
              <w:end w:w="90" w:type="dxa"/>
            </w:tcMar>
            <w:vAlign w:val="top"/>
          </w:tcPr>
          <w:p>
            <w:r>
              <w:rPr>
                <w:rFonts w:ascii="Aptos" w:hAnsi="Aptos"/>
                <w:b w:val="0"/>
                <w:sz w:val="16"/>
              </w:rPr>
              <w:t>—</w:t>
            </w:r>
          </w:p>
        </w:tc>
        <w:tc>
          <w:tcPr>
            <w:tcW w:type="dxa" w:w="1440"/>
            <w:tcMar>
              <w:top w:w="80" w:type="dxa"/>
              <w:start w:w="90" w:type="dxa"/>
              <w:bottom w:w="80" w:type="dxa"/>
              <w:end w:w="90" w:type="dxa"/>
            </w:tcMar>
            <w:vAlign w:val="top"/>
          </w:tcPr>
          <w:p>
            <w:r>
              <w:rPr>
                <w:rFonts w:ascii="Aptos" w:hAnsi="Aptos"/>
                <w:b w:val="0"/>
                <w:sz w:val="16"/>
              </w:rPr>
              <w:t>—</w:t>
            </w:r>
          </w:p>
        </w:tc>
        <w:tc>
          <w:tcPr>
            <w:tcW w:type="dxa" w:w="2880"/>
            <w:tcMar>
              <w:top w:w="80" w:type="dxa"/>
              <w:start w:w="90" w:type="dxa"/>
              <w:bottom w:w="80" w:type="dxa"/>
              <w:end w:w="90" w:type="dxa"/>
            </w:tcMar>
            <w:vAlign w:val="top"/>
          </w:tcPr>
          <w:p>
            <w:r>
              <w:rPr>
                <w:rFonts w:ascii="Aptos" w:hAnsi="Aptos"/>
                <w:b w:val="0"/>
                <w:sz w:val="16"/>
              </w:rPr>
              <w:t>Head Credit Risk</w:t>
            </w:r>
          </w:p>
        </w:tc>
      </w:tr>
      <w:tr>
        <w:tc>
          <w:tcPr>
            <w:tcW w:type="dxa" w:w="2016"/>
            <w:tcMar>
              <w:top w:w="80" w:type="dxa"/>
              <w:start w:w="90" w:type="dxa"/>
              <w:bottom w:w="80" w:type="dxa"/>
              <w:end w:w="90" w:type="dxa"/>
            </w:tcMar>
            <w:vAlign w:val="top"/>
            <w:shd w:fill="F7FAFC"/>
          </w:tcPr>
          <w:p>
            <w:r>
              <w:rPr>
                <w:rFonts w:ascii="Aptos" w:hAnsi="Aptos"/>
                <w:b w:val="0"/>
                <w:sz w:val="16"/>
              </w:rPr>
              <w:t>Credit</w:t>
            </w:r>
          </w:p>
        </w:tc>
        <w:tc>
          <w:tcPr>
            <w:tcW w:type="dxa" w:w="3888"/>
            <w:tcMar>
              <w:top w:w="80" w:type="dxa"/>
              <w:start w:w="90" w:type="dxa"/>
              <w:bottom w:w="80" w:type="dxa"/>
              <w:end w:w="90" w:type="dxa"/>
            </w:tcMar>
            <w:vAlign w:val="top"/>
            <w:shd w:fill="F7FAFC"/>
          </w:tcPr>
          <w:p>
            <w:r>
              <w:rPr>
                <w:rFonts w:ascii="Aptos" w:hAnsi="Aptos"/>
                <w:b w:val="0"/>
                <w:sz w:val="16"/>
              </w:rPr>
              <w:t>Gross internal NPA ratio</w:t>
            </w:r>
          </w:p>
        </w:tc>
        <w:tc>
          <w:tcPr>
            <w:tcW w:type="dxa" w:w="1440"/>
            <w:tcMar>
              <w:top w:w="80" w:type="dxa"/>
              <w:start w:w="90" w:type="dxa"/>
              <w:bottom w:w="80" w:type="dxa"/>
              <w:end w:w="90" w:type="dxa"/>
            </w:tcMar>
            <w:vAlign w:val="top"/>
            <w:shd w:fill="F7FAFC"/>
          </w:tcPr>
          <w:p>
            <w:r>
              <w:rPr>
                <w:rFonts w:ascii="Aptos" w:hAnsi="Aptos"/>
                <w:b w:val="0"/>
                <w:sz w:val="16"/>
              </w:rPr>
              <w:t>—</w:t>
            </w:r>
          </w:p>
        </w:tc>
        <w:tc>
          <w:tcPr>
            <w:tcW w:type="dxa" w:w="1440"/>
            <w:tcMar>
              <w:top w:w="80" w:type="dxa"/>
              <w:start w:w="90" w:type="dxa"/>
              <w:bottom w:w="80" w:type="dxa"/>
              <w:end w:w="90" w:type="dxa"/>
            </w:tcMar>
            <w:vAlign w:val="top"/>
            <w:shd w:fill="F7FAFC"/>
          </w:tcPr>
          <w:p>
            <w:r>
              <w:rPr>
                <w:rFonts w:ascii="Aptos" w:hAnsi="Aptos"/>
                <w:b w:val="0"/>
                <w:sz w:val="16"/>
              </w:rPr>
              <w:t>—</w:t>
            </w:r>
          </w:p>
        </w:tc>
        <w:tc>
          <w:tcPr>
            <w:tcW w:type="dxa" w:w="1440"/>
            <w:tcMar>
              <w:top w:w="80" w:type="dxa"/>
              <w:start w:w="90" w:type="dxa"/>
              <w:bottom w:w="80" w:type="dxa"/>
              <w:end w:w="90" w:type="dxa"/>
            </w:tcMar>
            <w:vAlign w:val="top"/>
            <w:shd w:fill="F7FAFC"/>
          </w:tcPr>
          <w:p>
            <w:r>
              <w:rPr>
                <w:rFonts w:ascii="Aptos" w:hAnsi="Aptos"/>
                <w:b w:val="0"/>
                <w:sz w:val="16"/>
              </w:rPr>
              <w:t>—</w:t>
            </w:r>
          </w:p>
        </w:tc>
        <w:tc>
          <w:tcPr>
            <w:tcW w:type="dxa" w:w="2880"/>
            <w:tcMar>
              <w:top w:w="80" w:type="dxa"/>
              <w:start w:w="90" w:type="dxa"/>
              <w:bottom w:w="80" w:type="dxa"/>
              <w:end w:w="90" w:type="dxa"/>
            </w:tcMar>
            <w:vAlign w:val="top"/>
            <w:shd w:fill="F7FAFC"/>
          </w:tcPr>
          <w:p>
            <w:r>
              <w:rPr>
                <w:rFonts w:ascii="Aptos" w:hAnsi="Aptos"/>
                <w:b w:val="0"/>
                <w:sz w:val="16"/>
              </w:rPr>
              <w:t>Credit Risk</w:t>
            </w:r>
          </w:p>
        </w:tc>
      </w:tr>
      <w:tr>
        <w:tc>
          <w:tcPr>
            <w:tcW w:type="dxa" w:w="2016"/>
            <w:tcMar>
              <w:top w:w="80" w:type="dxa"/>
              <w:start w:w="90" w:type="dxa"/>
              <w:bottom w:w="80" w:type="dxa"/>
              <w:end w:w="90" w:type="dxa"/>
            </w:tcMar>
            <w:vAlign w:val="top"/>
          </w:tcPr>
          <w:p>
            <w:r>
              <w:rPr>
                <w:rFonts w:ascii="Aptos" w:hAnsi="Aptos"/>
                <w:b w:val="0"/>
                <w:sz w:val="16"/>
              </w:rPr>
              <w:t>KYC/AML</w:t>
            </w:r>
          </w:p>
        </w:tc>
        <w:tc>
          <w:tcPr>
            <w:tcW w:type="dxa" w:w="3888"/>
            <w:tcMar>
              <w:top w:w="80" w:type="dxa"/>
              <w:start w:w="90" w:type="dxa"/>
              <w:bottom w:w="80" w:type="dxa"/>
              <w:end w:w="90" w:type="dxa"/>
            </w:tcMar>
            <w:vAlign w:val="top"/>
          </w:tcPr>
          <w:p>
            <w:r>
              <w:rPr>
                <w:rFonts w:ascii="Aptos" w:hAnsi="Aptos"/>
                <w:b w:val="0"/>
                <w:sz w:val="16"/>
              </w:rPr>
              <w:t>High-risk reviews &gt;30 days overdue</w:t>
            </w:r>
          </w:p>
        </w:tc>
        <w:tc>
          <w:tcPr>
            <w:tcW w:type="dxa" w:w="1440"/>
            <w:tcMar>
              <w:top w:w="80" w:type="dxa"/>
              <w:start w:w="90" w:type="dxa"/>
              <w:bottom w:w="80" w:type="dxa"/>
              <w:end w:w="90" w:type="dxa"/>
            </w:tcMar>
            <w:vAlign w:val="top"/>
          </w:tcPr>
          <w:p>
            <w:r>
              <w:rPr>
                <w:rFonts w:ascii="Aptos" w:hAnsi="Aptos"/>
                <w:b w:val="0"/>
                <w:sz w:val="16"/>
              </w:rPr>
              <w:t>—</w:t>
            </w:r>
          </w:p>
        </w:tc>
        <w:tc>
          <w:tcPr>
            <w:tcW w:type="dxa" w:w="1440"/>
            <w:tcMar>
              <w:top w:w="80" w:type="dxa"/>
              <w:start w:w="90" w:type="dxa"/>
              <w:bottom w:w="80" w:type="dxa"/>
              <w:end w:w="90" w:type="dxa"/>
            </w:tcMar>
            <w:vAlign w:val="top"/>
          </w:tcPr>
          <w:p>
            <w:r>
              <w:rPr>
                <w:rFonts w:ascii="Aptos" w:hAnsi="Aptos"/>
                <w:b w:val="0"/>
                <w:sz w:val="16"/>
              </w:rPr>
              <w:t>—</w:t>
            </w:r>
          </w:p>
        </w:tc>
        <w:tc>
          <w:tcPr>
            <w:tcW w:type="dxa" w:w="1440"/>
            <w:tcMar>
              <w:top w:w="80" w:type="dxa"/>
              <w:start w:w="90" w:type="dxa"/>
              <w:bottom w:w="80" w:type="dxa"/>
              <w:end w:w="90" w:type="dxa"/>
            </w:tcMar>
            <w:vAlign w:val="top"/>
          </w:tcPr>
          <w:p>
            <w:r>
              <w:rPr>
                <w:rFonts w:ascii="Aptos" w:hAnsi="Aptos"/>
                <w:b w:val="0"/>
                <w:sz w:val="16"/>
              </w:rPr>
              <w:t>—</w:t>
            </w:r>
          </w:p>
        </w:tc>
        <w:tc>
          <w:tcPr>
            <w:tcW w:type="dxa" w:w="2880"/>
            <w:tcMar>
              <w:top w:w="80" w:type="dxa"/>
              <w:start w:w="90" w:type="dxa"/>
              <w:bottom w:w="80" w:type="dxa"/>
              <w:end w:w="90" w:type="dxa"/>
            </w:tcMar>
            <w:vAlign w:val="top"/>
          </w:tcPr>
          <w:p>
            <w:r>
              <w:rPr>
                <w:rFonts w:ascii="Aptos" w:hAnsi="Aptos"/>
                <w:b w:val="0"/>
                <w:sz w:val="16"/>
              </w:rPr>
              <w:t>Head KYC Operations</w:t>
            </w:r>
          </w:p>
        </w:tc>
      </w:tr>
      <w:tr>
        <w:tc>
          <w:tcPr>
            <w:tcW w:type="dxa" w:w="2016"/>
            <w:tcMar>
              <w:top w:w="80" w:type="dxa"/>
              <w:start w:w="90" w:type="dxa"/>
              <w:bottom w:w="80" w:type="dxa"/>
              <w:end w:w="90" w:type="dxa"/>
            </w:tcMar>
            <w:vAlign w:val="top"/>
            <w:shd w:fill="F7FAFC"/>
          </w:tcPr>
          <w:p>
            <w:r>
              <w:rPr>
                <w:rFonts w:ascii="Aptos" w:hAnsi="Aptos"/>
                <w:b w:val="0"/>
                <w:sz w:val="16"/>
              </w:rPr>
              <w:t>AML</w:t>
            </w:r>
          </w:p>
        </w:tc>
        <w:tc>
          <w:tcPr>
            <w:tcW w:type="dxa" w:w="3888"/>
            <w:tcMar>
              <w:top w:w="80" w:type="dxa"/>
              <w:start w:w="90" w:type="dxa"/>
              <w:bottom w:w="80" w:type="dxa"/>
              <w:end w:w="90" w:type="dxa"/>
            </w:tcMar>
            <w:vAlign w:val="top"/>
            <w:shd w:fill="F7FAFC"/>
          </w:tcPr>
          <w:p>
            <w:r>
              <w:rPr>
                <w:rFonts w:ascii="Aptos" w:hAnsi="Aptos"/>
                <w:b w:val="0"/>
                <w:sz w:val="16"/>
              </w:rPr>
              <w:t>Alerts &gt;30 days open</w:t>
            </w:r>
          </w:p>
        </w:tc>
        <w:tc>
          <w:tcPr>
            <w:tcW w:type="dxa" w:w="1440"/>
            <w:tcMar>
              <w:top w:w="80" w:type="dxa"/>
              <w:start w:w="90" w:type="dxa"/>
              <w:bottom w:w="80" w:type="dxa"/>
              <w:end w:w="90" w:type="dxa"/>
            </w:tcMar>
            <w:vAlign w:val="top"/>
            <w:shd w:fill="F7FAFC"/>
          </w:tcPr>
          <w:p>
            <w:r>
              <w:rPr>
                <w:rFonts w:ascii="Aptos" w:hAnsi="Aptos"/>
                <w:b w:val="0"/>
                <w:sz w:val="16"/>
              </w:rPr>
              <w:t>—</w:t>
            </w:r>
          </w:p>
        </w:tc>
        <w:tc>
          <w:tcPr>
            <w:tcW w:type="dxa" w:w="1440"/>
            <w:tcMar>
              <w:top w:w="80" w:type="dxa"/>
              <w:start w:w="90" w:type="dxa"/>
              <w:bottom w:w="80" w:type="dxa"/>
              <w:end w:w="90" w:type="dxa"/>
            </w:tcMar>
            <w:vAlign w:val="top"/>
            <w:shd w:fill="F7FAFC"/>
          </w:tcPr>
          <w:p>
            <w:r>
              <w:rPr>
                <w:rFonts w:ascii="Aptos" w:hAnsi="Aptos"/>
                <w:b w:val="0"/>
                <w:sz w:val="16"/>
              </w:rPr>
              <w:t>—</w:t>
            </w:r>
          </w:p>
        </w:tc>
        <w:tc>
          <w:tcPr>
            <w:tcW w:type="dxa" w:w="1440"/>
            <w:tcMar>
              <w:top w:w="80" w:type="dxa"/>
              <w:start w:w="90" w:type="dxa"/>
              <w:bottom w:w="80" w:type="dxa"/>
              <w:end w:w="90" w:type="dxa"/>
            </w:tcMar>
            <w:vAlign w:val="top"/>
            <w:shd w:fill="F7FAFC"/>
          </w:tcPr>
          <w:p>
            <w:r>
              <w:rPr>
                <w:rFonts w:ascii="Aptos" w:hAnsi="Aptos"/>
                <w:b w:val="0"/>
                <w:sz w:val="16"/>
              </w:rPr>
              <w:t>—</w:t>
            </w:r>
          </w:p>
        </w:tc>
        <w:tc>
          <w:tcPr>
            <w:tcW w:type="dxa" w:w="2880"/>
            <w:tcMar>
              <w:top w:w="80" w:type="dxa"/>
              <w:start w:w="90" w:type="dxa"/>
              <w:bottom w:w="80" w:type="dxa"/>
              <w:end w:w="90" w:type="dxa"/>
            </w:tcMar>
            <w:vAlign w:val="top"/>
            <w:shd w:fill="F7FAFC"/>
          </w:tcPr>
          <w:p>
            <w:r>
              <w:rPr>
                <w:rFonts w:ascii="Aptos" w:hAnsi="Aptos"/>
                <w:b w:val="0"/>
                <w:sz w:val="16"/>
              </w:rPr>
              <w:t>Head AML Monitoring</w:t>
            </w:r>
          </w:p>
        </w:tc>
      </w:tr>
      <w:tr>
        <w:tc>
          <w:tcPr>
            <w:tcW w:type="dxa" w:w="2016"/>
            <w:tcMar>
              <w:top w:w="80" w:type="dxa"/>
              <w:start w:w="90" w:type="dxa"/>
              <w:bottom w:w="80" w:type="dxa"/>
              <w:end w:w="90" w:type="dxa"/>
            </w:tcMar>
            <w:vAlign w:val="top"/>
          </w:tcPr>
          <w:p>
            <w:r>
              <w:rPr>
                <w:rFonts w:ascii="Aptos" w:hAnsi="Aptos"/>
                <w:b w:val="0"/>
                <w:sz w:val="16"/>
              </w:rPr>
              <w:t>Operational</w:t>
            </w:r>
          </w:p>
        </w:tc>
        <w:tc>
          <w:tcPr>
            <w:tcW w:type="dxa" w:w="3888"/>
            <w:tcMar>
              <w:top w:w="80" w:type="dxa"/>
              <w:start w:w="90" w:type="dxa"/>
              <w:bottom w:w="80" w:type="dxa"/>
              <w:end w:w="90" w:type="dxa"/>
            </w:tcMar>
            <w:vAlign w:val="top"/>
          </w:tcPr>
          <w:p>
            <w:r>
              <w:rPr>
                <w:rFonts w:ascii="Aptos" w:hAnsi="Aptos"/>
                <w:b w:val="0"/>
                <w:sz w:val="16"/>
              </w:rPr>
              <w:t>High-severity incidents &gt;30 days</w:t>
            </w:r>
          </w:p>
        </w:tc>
        <w:tc>
          <w:tcPr>
            <w:tcW w:type="dxa" w:w="1440"/>
            <w:tcMar>
              <w:top w:w="80" w:type="dxa"/>
              <w:start w:w="90" w:type="dxa"/>
              <w:bottom w:w="80" w:type="dxa"/>
              <w:end w:w="90" w:type="dxa"/>
            </w:tcMar>
            <w:vAlign w:val="top"/>
          </w:tcPr>
          <w:p>
            <w:r>
              <w:rPr>
                <w:rFonts w:ascii="Aptos" w:hAnsi="Aptos"/>
                <w:b w:val="0"/>
                <w:sz w:val="16"/>
              </w:rPr>
              <w:t>—</w:t>
            </w:r>
          </w:p>
        </w:tc>
        <w:tc>
          <w:tcPr>
            <w:tcW w:type="dxa" w:w="1440"/>
            <w:tcMar>
              <w:top w:w="80" w:type="dxa"/>
              <w:start w:w="90" w:type="dxa"/>
              <w:bottom w:w="80" w:type="dxa"/>
              <w:end w:w="90" w:type="dxa"/>
            </w:tcMar>
            <w:vAlign w:val="top"/>
          </w:tcPr>
          <w:p>
            <w:r>
              <w:rPr>
                <w:rFonts w:ascii="Aptos" w:hAnsi="Aptos"/>
                <w:b w:val="0"/>
                <w:sz w:val="16"/>
              </w:rPr>
              <w:t>—</w:t>
            </w:r>
          </w:p>
        </w:tc>
        <w:tc>
          <w:tcPr>
            <w:tcW w:type="dxa" w:w="1440"/>
            <w:tcMar>
              <w:top w:w="80" w:type="dxa"/>
              <w:start w:w="90" w:type="dxa"/>
              <w:bottom w:w="80" w:type="dxa"/>
              <w:end w:w="90" w:type="dxa"/>
            </w:tcMar>
            <w:vAlign w:val="top"/>
          </w:tcPr>
          <w:p>
            <w:r>
              <w:rPr>
                <w:rFonts w:ascii="Aptos" w:hAnsi="Aptos"/>
                <w:b w:val="0"/>
                <w:sz w:val="16"/>
              </w:rPr>
              <w:t>—</w:t>
            </w:r>
          </w:p>
        </w:tc>
        <w:tc>
          <w:tcPr>
            <w:tcW w:type="dxa" w:w="2880"/>
            <w:tcMar>
              <w:top w:w="80" w:type="dxa"/>
              <w:start w:w="90" w:type="dxa"/>
              <w:bottom w:w="80" w:type="dxa"/>
              <w:end w:w="90" w:type="dxa"/>
            </w:tcMar>
            <w:vAlign w:val="top"/>
          </w:tcPr>
          <w:p>
            <w:r>
              <w:rPr>
                <w:rFonts w:ascii="Aptos" w:hAnsi="Aptos"/>
                <w:b w:val="0"/>
                <w:sz w:val="16"/>
              </w:rPr>
              <w:t>COO / Operational Risk</w:t>
            </w:r>
          </w:p>
        </w:tc>
      </w:tr>
      <w:tr>
        <w:tc>
          <w:tcPr>
            <w:tcW w:type="dxa" w:w="2016"/>
            <w:tcMar>
              <w:top w:w="80" w:type="dxa"/>
              <w:start w:w="90" w:type="dxa"/>
              <w:bottom w:w="80" w:type="dxa"/>
              <w:end w:w="90" w:type="dxa"/>
            </w:tcMar>
            <w:vAlign w:val="top"/>
            <w:shd w:fill="F7FAFC"/>
          </w:tcPr>
          <w:p>
            <w:r>
              <w:rPr>
                <w:rFonts w:ascii="Aptos" w:hAnsi="Aptos"/>
                <w:b w:val="0"/>
                <w:sz w:val="16"/>
              </w:rPr>
              <w:t>Liquidity</w:t>
            </w:r>
          </w:p>
        </w:tc>
        <w:tc>
          <w:tcPr>
            <w:tcW w:type="dxa" w:w="3888"/>
            <w:tcMar>
              <w:top w:w="80" w:type="dxa"/>
              <w:start w:w="90" w:type="dxa"/>
              <w:bottom w:w="80" w:type="dxa"/>
              <w:end w:w="90" w:type="dxa"/>
            </w:tcMar>
            <w:vAlign w:val="top"/>
            <w:shd w:fill="F7FAFC"/>
          </w:tcPr>
          <w:p>
            <w:r>
              <w:rPr>
                <w:rFonts w:ascii="Aptos" w:hAnsi="Aptos"/>
                <w:b w:val="0"/>
                <w:sz w:val="16"/>
              </w:rPr>
              <w:t>Internal stressed coverage</w:t>
            </w:r>
          </w:p>
        </w:tc>
        <w:tc>
          <w:tcPr>
            <w:tcW w:type="dxa" w:w="1440"/>
            <w:tcMar>
              <w:top w:w="80" w:type="dxa"/>
              <w:start w:w="90" w:type="dxa"/>
              <w:bottom w:w="80" w:type="dxa"/>
              <w:end w:w="90" w:type="dxa"/>
            </w:tcMar>
            <w:vAlign w:val="top"/>
            <w:shd w:fill="F7FAFC"/>
          </w:tcPr>
          <w:p>
            <w:r>
              <w:rPr>
                <w:rFonts w:ascii="Aptos" w:hAnsi="Aptos"/>
                <w:b w:val="0"/>
                <w:sz w:val="16"/>
              </w:rPr>
              <w:t>—</w:t>
            </w:r>
          </w:p>
        </w:tc>
        <w:tc>
          <w:tcPr>
            <w:tcW w:type="dxa" w:w="1440"/>
            <w:tcMar>
              <w:top w:w="80" w:type="dxa"/>
              <w:start w:w="90" w:type="dxa"/>
              <w:bottom w:w="80" w:type="dxa"/>
              <w:end w:w="90" w:type="dxa"/>
            </w:tcMar>
            <w:vAlign w:val="top"/>
            <w:shd w:fill="F7FAFC"/>
          </w:tcPr>
          <w:p>
            <w:r>
              <w:rPr>
                <w:rFonts w:ascii="Aptos" w:hAnsi="Aptos"/>
                <w:b w:val="0"/>
                <w:sz w:val="16"/>
              </w:rPr>
              <w:t>—</w:t>
            </w:r>
          </w:p>
        </w:tc>
        <w:tc>
          <w:tcPr>
            <w:tcW w:type="dxa" w:w="1440"/>
            <w:tcMar>
              <w:top w:w="80" w:type="dxa"/>
              <w:start w:w="90" w:type="dxa"/>
              <w:bottom w:w="80" w:type="dxa"/>
              <w:end w:w="90" w:type="dxa"/>
            </w:tcMar>
            <w:vAlign w:val="top"/>
            <w:shd w:fill="F7FAFC"/>
          </w:tcPr>
          <w:p>
            <w:r>
              <w:rPr>
                <w:rFonts w:ascii="Aptos" w:hAnsi="Aptos"/>
                <w:b w:val="0"/>
                <w:sz w:val="16"/>
              </w:rPr>
              <w:t>—</w:t>
            </w:r>
          </w:p>
        </w:tc>
        <w:tc>
          <w:tcPr>
            <w:tcW w:type="dxa" w:w="2880"/>
            <w:tcMar>
              <w:top w:w="80" w:type="dxa"/>
              <w:start w:w="90" w:type="dxa"/>
              <w:bottom w:w="80" w:type="dxa"/>
              <w:end w:w="90" w:type="dxa"/>
            </w:tcMar>
            <w:vAlign w:val="top"/>
            <w:shd w:fill="F7FAFC"/>
          </w:tcPr>
          <w:p>
            <w:r>
              <w:rPr>
                <w:rFonts w:ascii="Aptos" w:hAnsi="Aptos"/>
                <w:b w:val="0"/>
                <w:sz w:val="16"/>
              </w:rPr>
              <w:t>Treasury</w:t>
            </w:r>
          </w:p>
        </w:tc>
      </w:tr>
      <w:tr>
        <w:tc>
          <w:tcPr>
            <w:tcW w:type="dxa" w:w="2016"/>
            <w:tcMar>
              <w:top w:w="80" w:type="dxa"/>
              <w:start w:w="90" w:type="dxa"/>
              <w:bottom w:w="80" w:type="dxa"/>
              <w:end w:w="90" w:type="dxa"/>
            </w:tcMar>
            <w:vAlign w:val="top"/>
          </w:tcPr>
          <w:p>
            <w:r>
              <w:rPr>
                <w:rFonts w:ascii="Aptos" w:hAnsi="Aptos"/>
                <w:b w:val="0"/>
                <w:sz w:val="16"/>
              </w:rPr>
              <w:t>Cyber</w:t>
            </w:r>
          </w:p>
        </w:tc>
        <w:tc>
          <w:tcPr>
            <w:tcW w:type="dxa" w:w="3888"/>
            <w:tcMar>
              <w:top w:w="80" w:type="dxa"/>
              <w:start w:w="90" w:type="dxa"/>
              <w:bottom w:w="80" w:type="dxa"/>
              <w:end w:w="90" w:type="dxa"/>
            </w:tcMar>
            <w:vAlign w:val="top"/>
          </w:tcPr>
          <w:p>
            <w:r>
              <w:rPr>
                <w:rFonts w:ascii="Aptos" w:hAnsi="Aptos"/>
                <w:b w:val="0"/>
                <w:sz w:val="16"/>
              </w:rPr>
              <w:t>Zero-tolerance critical issues</w:t>
            </w:r>
          </w:p>
        </w:tc>
        <w:tc>
          <w:tcPr>
            <w:tcW w:type="dxa" w:w="1440"/>
            <w:tcMar>
              <w:top w:w="80" w:type="dxa"/>
              <w:start w:w="90" w:type="dxa"/>
              <w:bottom w:w="80" w:type="dxa"/>
              <w:end w:w="90" w:type="dxa"/>
            </w:tcMar>
            <w:vAlign w:val="top"/>
          </w:tcPr>
          <w:p>
            <w:r>
              <w:rPr>
                <w:rFonts w:ascii="Aptos" w:hAnsi="Aptos"/>
                <w:b w:val="0"/>
                <w:sz w:val="16"/>
              </w:rPr>
              <w:t>—</w:t>
            </w:r>
          </w:p>
        </w:tc>
        <w:tc>
          <w:tcPr>
            <w:tcW w:type="dxa" w:w="1440"/>
            <w:tcMar>
              <w:top w:w="80" w:type="dxa"/>
              <w:start w:w="90" w:type="dxa"/>
              <w:bottom w:w="80" w:type="dxa"/>
              <w:end w:w="90" w:type="dxa"/>
            </w:tcMar>
            <w:vAlign w:val="top"/>
          </w:tcPr>
          <w:p>
            <w:r>
              <w:rPr>
                <w:rFonts w:ascii="Aptos" w:hAnsi="Aptos"/>
                <w:b w:val="0"/>
                <w:sz w:val="16"/>
              </w:rPr>
              <w:t>—</w:t>
            </w:r>
          </w:p>
        </w:tc>
        <w:tc>
          <w:tcPr>
            <w:tcW w:type="dxa" w:w="1440"/>
            <w:tcMar>
              <w:top w:w="80" w:type="dxa"/>
              <w:start w:w="90" w:type="dxa"/>
              <w:bottom w:w="80" w:type="dxa"/>
              <w:end w:w="90" w:type="dxa"/>
            </w:tcMar>
            <w:vAlign w:val="top"/>
          </w:tcPr>
          <w:p>
            <w:r>
              <w:rPr>
                <w:rFonts w:ascii="Aptos" w:hAnsi="Aptos"/>
                <w:b w:val="0"/>
                <w:sz w:val="16"/>
              </w:rPr>
              <w:t>—</w:t>
            </w:r>
          </w:p>
        </w:tc>
        <w:tc>
          <w:tcPr>
            <w:tcW w:type="dxa" w:w="2880"/>
            <w:tcMar>
              <w:top w:w="80" w:type="dxa"/>
              <w:start w:w="90" w:type="dxa"/>
              <w:bottom w:w="80" w:type="dxa"/>
              <w:end w:w="90" w:type="dxa"/>
            </w:tcMar>
            <w:vAlign w:val="top"/>
          </w:tcPr>
          <w:p>
            <w:r>
              <w:rPr>
                <w:rFonts w:ascii="Aptos" w:hAnsi="Aptos"/>
                <w:b w:val="0"/>
                <w:sz w:val="16"/>
              </w:rPr>
              <w:t>CISO</w:t>
            </w:r>
          </w:p>
        </w:tc>
      </w:tr>
    </w:tbl>
    <w:p/>
    <w:p>
      <w:r>
        <w:br w:type="page"/>
      </w:r>
    </w:p>
    <w:p>
      <w:pPr>
        <w:pStyle w:val="Heading1"/>
      </w:pPr>
      <w:r>
        <w:t>Appendix B — Appetite vs Policy Threshold Interpretation</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4032"/>
            <w:shd w:fill="17365D"/>
            <w:vAlign w:val="center"/>
            <w:tcMar>
              <w:top w:w="80" w:type="dxa"/>
              <w:start w:w="90" w:type="dxa"/>
              <w:bottom w:w="80" w:type="dxa"/>
              <w:end w:w="90" w:type="dxa"/>
            </w:tcMar>
          </w:tcPr>
          <w:p>
            <w:r>
              <w:rPr>
                <w:rFonts w:ascii="Aptos" w:hAnsi="Aptos"/>
                <w:b/>
                <w:color w:val="FFFFFF"/>
                <w:sz w:val="16"/>
              </w:rPr>
              <w:t>Example</w:t>
            </w:r>
          </w:p>
        </w:tc>
        <w:tc>
          <w:tcPr>
            <w:tcW w:type="dxa" w:w="3024"/>
            <w:shd w:fill="17365D"/>
            <w:vAlign w:val="center"/>
            <w:tcMar>
              <w:top w:w="80" w:type="dxa"/>
              <w:start w:w="90" w:type="dxa"/>
              <w:bottom w:w="80" w:type="dxa"/>
              <w:end w:w="90" w:type="dxa"/>
            </w:tcMar>
          </w:tcPr>
          <w:p>
            <w:r>
              <w:rPr>
                <w:rFonts w:ascii="Aptos" w:hAnsi="Aptos"/>
                <w:b/>
                <w:color w:val="FFFFFF"/>
                <w:sz w:val="16"/>
              </w:rPr>
              <w:t>Classification</w:t>
            </w:r>
          </w:p>
        </w:tc>
        <w:tc>
          <w:tcPr>
            <w:tcW w:type="dxa" w:w="3312"/>
            <w:shd w:fill="17365D"/>
            <w:vAlign w:val="center"/>
            <w:tcMar>
              <w:top w:w="80" w:type="dxa"/>
              <w:start w:w="90" w:type="dxa"/>
              <w:bottom w:w="80" w:type="dxa"/>
              <w:end w:w="90" w:type="dxa"/>
            </w:tcMar>
          </w:tcPr>
          <w:p>
            <w:r>
              <w:rPr>
                <w:rFonts w:ascii="Aptos" w:hAnsi="Aptos"/>
                <w:b/>
                <w:color w:val="FFFFFF"/>
                <w:sz w:val="16"/>
              </w:rPr>
              <w:t>How to Use</w:t>
            </w:r>
          </w:p>
        </w:tc>
      </w:tr>
      <w:tr>
        <w:tc>
          <w:tcPr>
            <w:tcW w:type="dxa" w:w="4032"/>
            <w:tcMar>
              <w:top w:w="80" w:type="dxa"/>
              <w:start w:w="90" w:type="dxa"/>
              <w:bottom w:w="80" w:type="dxa"/>
              <w:end w:w="90" w:type="dxa"/>
            </w:tcMar>
            <w:vAlign w:val="top"/>
          </w:tcPr>
          <w:p>
            <w:r>
              <w:rPr>
                <w:rFonts w:ascii="Aptos" w:hAnsi="Aptos"/>
                <w:b w:val="0"/>
                <w:sz w:val="16"/>
              </w:rPr>
              <w:t>PL DTI 45% standard</w:t>
            </w:r>
          </w:p>
        </w:tc>
        <w:tc>
          <w:tcPr>
            <w:tcW w:type="dxa" w:w="3024"/>
            <w:tcMar>
              <w:top w:w="80" w:type="dxa"/>
              <w:start w:w="90" w:type="dxa"/>
              <w:bottom w:w="80" w:type="dxa"/>
              <w:end w:w="90" w:type="dxa"/>
            </w:tcMar>
            <w:vAlign w:val="top"/>
          </w:tcPr>
          <w:p>
            <w:r>
              <w:rPr>
                <w:rFonts w:ascii="Aptos" w:hAnsi="Aptos"/>
                <w:b w:val="0"/>
                <w:sz w:val="16"/>
              </w:rPr>
              <w:t>Product/policy standard</w:t>
            </w:r>
          </w:p>
        </w:tc>
        <w:tc>
          <w:tcPr>
            <w:tcW w:type="dxa" w:w="3312"/>
            <w:tcMar>
              <w:top w:w="80" w:type="dxa"/>
              <w:start w:w="90" w:type="dxa"/>
              <w:bottom w:w="80" w:type="dxa"/>
              <w:end w:w="90" w:type="dxa"/>
            </w:tcMar>
            <w:vAlign w:val="top"/>
          </w:tcPr>
          <w:p>
            <w:r>
              <w:rPr>
                <w:rFonts w:ascii="Aptos" w:hAnsi="Aptos"/>
                <w:b w:val="0"/>
                <w:sz w:val="16"/>
              </w:rPr>
              <w:t>Individual cases above require controlled exception; not itself a portfolio appetite percentage</w:t>
            </w:r>
          </w:p>
        </w:tc>
      </w:tr>
      <w:tr>
        <w:tc>
          <w:tcPr>
            <w:tcW w:type="dxa" w:w="4032"/>
            <w:tcMar>
              <w:top w:w="80" w:type="dxa"/>
              <w:start w:w="90" w:type="dxa"/>
              <w:bottom w:w="80" w:type="dxa"/>
              <w:end w:w="90" w:type="dxa"/>
            </w:tcMar>
            <w:vAlign w:val="top"/>
            <w:shd w:fill="F7FAFC"/>
          </w:tcPr>
          <w:p>
            <w:r>
              <w:rPr>
                <w:rFonts w:ascii="Aptos" w:hAnsi="Aptos"/>
                <w:b w:val="0"/>
                <w:sz w:val="16"/>
              </w:rPr>
              <w:t>DTI exceptions &gt;3% quarterly</w:t>
            </w:r>
          </w:p>
        </w:tc>
        <w:tc>
          <w:tcPr>
            <w:tcW w:type="dxa" w:w="3024"/>
            <w:tcMar>
              <w:top w:w="80" w:type="dxa"/>
              <w:start w:w="90" w:type="dxa"/>
              <w:bottom w:w="80" w:type="dxa"/>
              <w:end w:w="90" w:type="dxa"/>
            </w:tcMar>
            <w:vAlign w:val="top"/>
            <w:shd w:fill="F7FAFC"/>
          </w:tcPr>
          <w:p>
            <w:r>
              <w:rPr>
                <w:rFonts w:ascii="Aptos" w:hAnsi="Aptos"/>
                <w:b w:val="0"/>
                <w:sz w:val="16"/>
              </w:rPr>
              <w:t>Enterprise appetite metric</w:t>
            </w:r>
          </w:p>
        </w:tc>
        <w:tc>
          <w:tcPr>
            <w:tcW w:type="dxa" w:w="3312"/>
            <w:tcMar>
              <w:top w:w="80" w:type="dxa"/>
              <w:start w:w="90" w:type="dxa"/>
              <w:bottom w:w="80" w:type="dxa"/>
              <w:end w:w="90" w:type="dxa"/>
            </w:tcMar>
            <w:vAlign w:val="top"/>
            <w:shd w:fill="F7FAFC"/>
          </w:tcPr>
          <w:p>
            <w:r>
              <w:rPr>
                <w:rFonts w:ascii="Aptos" w:hAnsi="Aptos"/>
                <w:b w:val="0"/>
                <w:sz w:val="16"/>
              </w:rPr>
              <w:t>Portfolio breach/escalation even if each case individually approved</w:t>
            </w:r>
          </w:p>
        </w:tc>
      </w:tr>
      <w:tr>
        <w:tc>
          <w:tcPr>
            <w:tcW w:type="dxa" w:w="4032"/>
            <w:tcMar>
              <w:top w:w="80" w:type="dxa"/>
              <w:start w:w="90" w:type="dxa"/>
              <w:bottom w:w="80" w:type="dxa"/>
              <w:end w:w="90" w:type="dxa"/>
            </w:tcMar>
            <w:vAlign w:val="top"/>
          </w:tcPr>
          <w:p>
            <w:r>
              <w:rPr>
                <w:rFonts w:ascii="Aptos" w:hAnsi="Aptos"/>
                <w:b w:val="0"/>
                <w:sz w:val="16"/>
              </w:rPr>
              <w:t>Sourcing partner &gt;15%</w:t>
            </w:r>
          </w:p>
        </w:tc>
        <w:tc>
          <w:tcPr>
            <w:tcW w:type="dxa" w:w="3024"/>
            <w:tcMar>
              <w:top w:w="80" w:type="dxa"/>
              <w:start w:w="90" w:type="dxa"/>
              <w:bottom w:w="80" w:type="dxa"/>
              <w:end w:w="90" w:type="dxa"/>
            </w:tcMar>
            <w:vAlign w:val="top"/>
          </w:tcPr>
          <w:p>
            <w:r>
              <w:rPr>
                <w:rFonts w:ascii="Aptos" w:hAnsi="Aptos"/>
                <w:b w:val="0"/>
                <w:sz w:val="16"/>
              </w:rPr>
              <w:t>Management concentration trigger / appetite-linked</w:t>
            </w:r>
          </w:p>
        </w:tc>
        <w:tc>
          <w:tcPr>
            <w:tcW w:type="dxa" w:w="3312"/>
            <w:tcMar>
              <w:top w:w="80" w:type="dxa"/>
              <w:start w:w="90" w:type="dxa"/>
              <w:bottom w:w="80" w:type="dxa"/>
              <w:end w:w="90" w:type="dxa"/>
            </w:tcMar>
            <w:vAlign w:val="top"/>
          </w:tcPr>
          <w:p>
            <w:r>
              <w:rPr>
                <w:rFonts w:ascii="Aptos" w:hAnsi="Aptos"/>
                <w:b w:val="0"/>
                <w:sz w:val="16"/>
              </w:rPr>
              <w:t>Requires review; may not automatically stop new business</w:t>
            </w:r>
          </w:p>
        </w:tc>
      </w:tr>
      <w:tr>
        <w:tc>
          <w:tcPr>
            <w:tcW w:type="dxa" w:w="4032"/>
            <w:tcMar>
              <w:top w:w="80" w:type="dxa"/>
              <w:start w:w="90" w:type="dxa"/>
              <w:bottom w:w="80" w:type="dxa"/>
              <w:end w:w="90" w:type="dxa"/>
            </w:tcMar>
            <w:vAlign w:val="top"/>
            <w:shd w:fill="F7FAFC"/>
          </w:tcPr>
          <w:p>
            <w:r>
              <w:rPr>
                <w:rFonts w:ascii="Aptos" w:hAnsi="Aptos"/>
                <w:b w:val="0"/>
                <w:sz w:val="16"/>
              </w:rPr>
              <w:t>AML high-value scenario ₹10L/₹5L</w:t>
            </w:r>
          </w:p>
        </w:tc>
        <w:tc>
          <w:tcPr>
            <w:tcW w:type="dxa" w:w="3024"/>
            <w:tcMar>
              <w:top w:w="80" w:type="dxa"/>
              <w:start w:w="90" w:type="dxa"/>
              <w:bottom w:w="80" w:type="dxa"/>
              <w:end w:w="90" w:type="dxa"/>
            </w:tcMar>
            <w:vAlign w:val="top"/>
            <w:shd w:fill="F7FAFC"/>
          </w:tcPr>
          <w:p>
            <w:r>
              <w:rPr>
                <w:rFonts w:ascii="Aptos" w:hAnsi="Aptos"/>
                <w:b w:val="0"/>
                <w:sz w:val="16"/>
              </w:rPr>
              <w:t>Monitoring parameter</w:t>
            </w:r>
          </w:p>
        </w:tc>
        <w:tc>
          <w:tcPr>
            <w:tcW w:type="dxa" w:w="3312"/>
            <w:tcMar>
              <w:top w:w="80" w:type="dxa"/>
              <w:start w:w="90" w:type="dxa"/>
              <w:bottom w:w="80" w:type="dxa"/>
              <w:end w:w="90" w:type="dxa"/>
            </w:tcMar>
            <w:vAlign w:val="top"/>
            <w:shd w:fill="F7FAFC"/>
          </w:tcPr>
          <w:p>
            <w:r>
              <w:rPr>
                <w:rFonts w:ascii="Aptos" w:hAnsi="Aptos"/>
                <w:b w:val="0"/>
                <w:sz w:val="16"/>
              </w:rPr>
              <w:t>Not a risk-appetite limit and not a suspicious-activity definition</w:t>
            </w:r>
          </w:p>
        </w:tc>
      </w:tr>
      <w:tr>
        <w:tc>
          <w:tcPr>
            <w:tcW w:type="dxa" w:w="4032"/>
            <w:tcMar>
              <w:top w:w="80" w:type="dxa"/>
              <w:start w:w="90" w:type="dxa"/>
              <w:bottom w:w="80" w:type="dxa"/>
              <w:end w:w="90" w:type="dxa"/>
            </w:tcMar>
            <w:vAlign w:val="top"/>
          </w:tcPr>
          <w:p>
            <w:r>
              <w:rPr>
                <w:rFonts w:ascii="Aptos" w:hAnsi="Aptos"/>
                <w:b w:val="0"/>
                <w:sz w:val="16"/>
              </w:rPr>
              <w:t>Unresolved sanctions restriction</w:t>
            </w:r>
          </w:p>
        </w:tc>
        <w:tc>
          <w:tcPr>
            <w:tcW w:type="dxa" w:w="3024"/>
            <w:tcMar>
              <w:top w:w="80" w:type="dxa"/>
              <w:start w:w="90" w:type="dxa"/>
              <w:bottom w:w="80" w:type="dxa"/>
              <w:end w:w="90" w:type="dxa"/>
            </w:tcMar>
            <w:vAlign w:val="top"/>
          </w:tcPr>
          <w:p>
            <w:r>
              <w:rPr>
                <w:rFonts w:ascii="Aptos" w:hAnsi="Aptos"/>
                <w:b w:val="0"/>
                <w:sz w:val="16"/>
              </w:rPr>
              <w:t>Zero-tolerance control position</w:t>
            </w:r>
          </w:p>
        </w:tc>
        <w:tc>
          <w:tcPr>
            <w:tcW w:type="dxa" w:w="3312"/>
            <w:tcMar>
              <w:top w:w="80" w:type="dxa"/>
              <w:start w:w="90" w:type="dxa"/>
              <w:bottom w:w="80" w:type="dxa"/>
              <w:end w:w="90" w:type="dxa"/>
            </w:tcMar>
            <w:vAlign w:val="top"/>
          </w:tcPr>
          <w:p>
            <w:r>
              <w:rPr>
                <w:rFonts w:ascii="Aptos" w:hAnsi="Aptos"/>
                <w:b w:val="0"/>
                <w:sz w:val="16"/>
              </w:rPr>
              <w:t>Immediate specialist decision/restriction; no business override</w:t>
            </w:r>
          </w:p>
        </w:tc>
      </w:tr>
    </w:tbl>
    <w:p/>
    <w:p>
      <w:r>
        <w:br w:type="page"/>
      </w:r>
    </w:p>
    <w:p>
      <w:pPr>
        <w:pStyle w:val="Heading1"/>
      </w:pPr>
      <w:r>
        <w:t>Appendix C — Risk Appetite Metric Definitions</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880"/>
            <w:shd w:fill="17365D"/>
            <w:tcMar>
              <w:top w:w="70" w:type="dxa"/>
              <w:start w:w="80" w:type="dxa"/>
              <w:bottom w:w="70" w:type="dxa"/>
              <w:end w:w="80" w:type="dxa"/>
            </w:tcMar>
          </w:tcPr>
          <w:p>
            <w:r>
              <w:rPr>
                <w:rFonts w:ascii="Aptos" w:hAnsi="Aptos"/>
                <w:b/>
                <w:color w:val="FFFFFF"/>
                <w:sz w:val="16"/>
              </w:rPr>
              <w:t>Metric</w:t>
            </w:r>
          </w:p>
        </w:tc>
        <w:tc>
          <w:tcPr>
            <w:tcW w:type="dxa" w:w="4320"/>
            <w:shd w:fill="17365D"/>
            <w:tcMar>
              <w:top w:w="70" w:type="dxa"/>
              <w:start w:w="80" w:type="dxa"/>
              <w:bottom w:w="70" w:type="dxa"/>
              <w:end w:w="80" w:type="dxa"/>
            </w:tcMar>
          </w:tcPr>
          <w:p>
            <w:r>
              <w:rPr>
                <w:rFonts w:ascii="Aptos" w:hAnsi="Aptos"/>
                <w:b/>
                <w:color w:val="FFFFFF"/>
                <w:sz w:val="16"/>
              </w:rPr>
              <w:t>Definition</w:t>
            </w:r>
          </w:p>
        </w:tc>
        <w:tc>
          <w:tcPr>
            <w:tcW w:type="dxa" w:w="2304"/>
            <w:shd w:fill="17365D"/>
            <w:tcMar>
              <w:top w:w="70" w:type="dxa"/>
              <w:start w:w="80" w:type="dxa"/>
              <w:bottom w:w="70" w:type="dxa"/>
              <w:end w:w="80" w:type="dxa"/>
            </w:tcMar>
          </w:tcPr>
          <w:p>
            <w:r>
              <w:rPr>
                <w:rFonts w:ascii="Aptos" w:hAnsi="Aptos"/>
                <w:b/>
                <w:color w:val="FFFFFF"/>
                <w:sz w:val="16"/>
              </w:rPr>
              <w:t>Primary Source</w:t>
            </w:r>
          </w:p>
        </w:tc>
        <w:tc>
          <w:tcPr>
            <w:tcW w:type="dxa" w:w="1584"/>
            <w:shd w:fill="17365D"/>
            <w:tcMar>
              <w:top w:w="70" w:type="dxa"/>
              <w:start w:w="80" w:type="dxa"/>
              <w:bottom w:w="70" w:type="dxa"/>
              <w:end w:w="80" w:type="dxa"/>
            </w:tcMar>
          </w:tcPr>
          <w:p>
            <w:r>
              <w:rPr>
                <w:rFonts w:ascii="Aptos" w:hAnsi="Aptos"/>
                <w:b/>
                <w:color w:val="FFFFFF"/>
                <w:sz w:val="16"/>
              </w:rPr>
              <w:t>Frequency</w:t>
            </w:r>
          </w:p>
        </w:tc>
        <w:tc>
          <w:tcPr>
            <w:tcW w:type="dxa" w:w="2016"/>
            <w:shd w:fill="17365D"/>
            <w:tcMar>
              <w:top w:w="70" w:type="dxa"/>
              <w:start w:w="80" w:type="dxa"/>
              <w:bottom w:w="70" w:type="dxa"/>
              <w:end w:w="80" w:type="dxa"/>
            </w:tcMar>
          </w:tcPr>
          <w:p>
            <w:r>
              <w:rPr>
                <w:rFonts w:ascii="Aptos" w:hAnsi="Aptos"/>
                <w:b/>
                <w:color w:val="FFFFFF"/>
                <w:sz w:val="16"/>
              </w:rPr>
              <w:t>Owner</w:t>
            </w:r>
          </w:p>
        </w:tc>
      </w:tr>
      <w:tr>
        <w:tc>
          <w:tcPr>
            <w:tcW w:type="dxa" w:w="2880"/>
            <w:tcMar>
              <w:top w:w="70" w:type="dxa"/>
              <w:start w:w="80" w:type="dxa"/>
              <w:bottom w:w="70" w:type="dxa"/>
              <w:end w:w="80" w:type="dxa"/>
            </w:tcMar>
            <w:vAlign w:val="top"/>
          </w:tcPr>
          <w:p>
            <w:r>
              <w:rPr>
                <w:rFonts w:ascii="Aptos" w:hAnsi="Aptos"/>
                <w:b w:val="0"/>
                <w:sz w:val="16"/>
              </w:rPr>
              <w:t>PL approved DTI exception rate</w:t>
            </w:r>
          </w:p>
        </w:tc>
        <w:tc>
          <w:tcPr>
            <w:tcW w:type="dxa" w:w="4320"/>
            <w:tcMar>
              <w:top w:w="70" w:type="dxa"/>
              <w:start w:w="80" w:type="dxa"/>
              <w:bottom w:w="70" w:type="dxa"/>
              <w:end w:w="80" w:type="dxa"/>
            </w:tcMar>
            <w:vAlign w:val="top"/>
          </w:tcPr>
          <w:p>
            <w:r>
              <w:rPr>
                <w:rFonts w:ascii="Aptos" w:hAnsi="Aptos"/>
                <w:b w:val="0"/>
                <w:sz w:val="16"/>
              </w:rPr>
              <w:t>Approved personal-loan cases with DTI &gt;45% and ≤48% divided by total approved PL cases in quarter</w:t>
            </w:r>
          </w:p>
        </w:tc>
        <w:tc>
          <w:tcPr>
            <w:tcW w:type="dxa" w:w="2304"/>
            <w:tcMar>
              <w:top w:w="70" w:type="dxa"/>
              <w:start w:w="80" w:type="dxa"/>
              <w:bottom w:w="70" w:type="dxa"/>
              <w:end w:w="80" w:type="dxa"/>
            </w:tcMar>
            <w:vAlign w:val="top"/>
          </w:tcPr>
          <w:p>
            <w:r>
              <w:rPr>
                <w:rFonts w:ascii="Aptos" w:hAnsi="Aptos"/>
                <w:b w:val="0"/>
                <w:sz w:val="16"/>
              </w:rPr>
              <w:t>Credit decision data + exception register</w:t>
            </w:r>
          </w:p>
        </w:tc>
        <w:tc>
          <w:tcPr>
            <w:tcW w:type="dxa" w:w="1584"/>
            <w:tcMar>
              <w:top w:w="70" w:type="dxa"/>
              <w:start w:w="80" w:type="dxa"/>
              <w:bottom w:w="70" w:type="dxa"/>
              <w:end w:w="80" w:type="dxa"/>
            </w:tcMar>
            <w:vAlign w:val="top"/>
          </w:tcPr>
          <w:p>
            <w:r>
              <w:rPr>
                <w:rFonts w:ascii="Aptos" w:hAnsi="Aptos"/>
                <w:b w:val="0"/>
                <w:sz w:val="16"/>
              </w:rPr>
              <w:t>Quarterly</w:t>
            </w:r>
          </w:p>
        </w:tc>
        <w:tc>
          <w:tcPr>
            <w:tcW w:type="dxa" w:w="2016"/>
            <w:tcMar>
              <w:top w:w="70" w:type="dxa"/>
              <w:start w:w="80" w:type="dxa"/>
              <w:bottom w:w="70" w:type="dxa"/>
              <w:end w:w="80" w:type="dxa"/>
            </w:tcMar>
            <w:vAlign w:val="top"/>
          </w:tcPr>
          <w:p>
            <w:r>
              <w:rPr>
                <w:rFonts w:ascii="Aptos" w:hAnsi="Aptos"/>
                <w:b w:val="0"/>
                <w:sz w:val="16"/>
              </w:rPr>
              <w:t>Credit Risk</w:t>
            </w:r>
          </w:p>
        </w:tc>
      </w:tr>
      <w:tr>
        <w:tc>
          <w:tcPr>
            <w:tcW w:type="dxa" w:w="2880"/>
            <w:tcMar>
              <w:top w:w="70" w:type="dxa"/>
              <w:start w:w="80" w:type="dxa"/>
              <w:bottom w:w="70" w:type="dxa"/>
              <w:end w:w="80" w:type="dxa"/>
            </w:tcMar>
            <w:vAlign w:val="top"/>
            <w:shd w:fill="F7FAFC"/>
          </w:tcPr>
          <w:p>
            <w:r>
              <w:rPr>
                <w:rFonts w:ascii="Aptos" w:hAnsi="Aptos"/>
                <w:b w:val="0"/>
                <w:sz w:val="16"/>
              </w:rPr>
              <w:t>30+ DPD ratio</w:t>
            </w:r>
          </w:p>
        </w:tc>
        <w:tc>
          <w:tcPr>
            <w:tcW w:type="dxa" w:w="4320"/>
            <w:tcMar>
              <w:top w:w="70" w:type="dxa"/>
              <w:start w:w="80" w:type="dxa"/>
              <w:bottom w:w="70" w:type="dxa"/>
              <w:end w:w="80" w:type="dxa"/>
            </w:tcMar>
            <w:vAlign w:val="top"/>
            <w:shd w:fill="F7FAFC"/>
          </w:tcPr>
          <w:p>
            <w:r>
              <w:rPr>
                <w:rFonts w:ascii="Aptos" w:hAnsi="Aptos"/>
                <w:b w:val="0"/>
                <w:sz w:val="16"/>
              </w:rPr>
              <w:t>Outstanding balance 30 or more days past due divided by relevant portfolio balance</w:t>
            </w:r>
          </w:p>
        </w:tc>
        <w:tc>
          <w:tcPr>
            <w:tcW w:type="dxa" w:w="2304"/>
            <w:tcMar>
              <w:top w:w="70" w:type="dxa"/>
              <w:start w:w="80" w:type="dxa"/>
              <w:bottom w:w="70" w:type="dxa"/>
              <w:end w:w="80" w:type="dxa"/>
            </w:tcMar>
            <w:vAlign w:val="top"/>
            <w:shd w:fill="F7FAFC"/>
          </w:tcPr>
          <w:p>
            <w:r>
              <w:rPr>
                <w:rFonts w:ascii="Aptos" w:hAnsi="Aptos"/>
                <w:b w:val="0"/>
                <w:sz w:val="16"/>
              </w:rPr>
              <w:t>Servicing system</w:t>
            </w:r>
          </w:p>
        </w:tc>
        <w:tc>
          <w:tcPr>
            <w:tcW w:type="dxa" w:w="1584"/>
            <w:tcMar>
              <w:top w:w="70" w:type="dxa"/>
              <w:start w:w="80" w:type="dxa"/>
              <w:bottom w:w="70" w:type="dxa"/>
              <w:end w:w="80" w:type="dxa"/>
            </w:tcMar>
            <w:vAlign w:val="top"/>
            <w:shd w:fill="F7FAFC"/>
          </w:tcPr>
          <w:p>
            <w:r>
              <w:rPr>
                <w:rFonts w:ascii="Aptos" w:hAnsi="Aptos"/>
                <w:b w:val="0"/>
                <w:sz w:val="16"/>
              </w:rPr>
              <w:t>Monthly</w:t>
            </w:r>
          </w:p>
        </w:tc>
        <w:tc>
          <w:tcPr>
            <w:tcW w:type="dxa" w:w="2016"/>
            <w:tcMar>
              <w:top w:w="70" w:type="dxa"/>
              <w:start w:w="80" w:type="dxa"/>
              <w:bottom w:w="70" w:type="dxa"/>
              <w:end w:w="80" w:type="dxa"/>
            </w:tcMar>
            <w:vAlign w:val="top"/>
            <w:shd w:fill="F7FAFC"/>
          </w:tcPr>
          <w:p>
            <w:r>
              <w:rPr>
                <w:rFonts w:ascii="Aptos" w:hAnsi="Aptos"/>
                <w:b w:val="0"/>
                <w:sz w:val="16"/>
              </w:rPr>
              <w:t>Credit Risk</w:t>
            </w:r>
          </w:p>
        </w:tc>
      </w:tr>
      <w:tr>
        <w:tc>
          <w:tcPr>
            <w:tcW w:type="dxa" w:w="2880"/>
            <w:tcMar>
              <w:top w:w="70" w:type="dxa"/>
              <w:start w:w="80" w:type="dxa"/>
              <w:bottom w:w="70" w:type="dxa"/>
              <w:end w:w="80" w:type="dxa"/>
            </w:tcMar>
            <w:vAlign w:val="top"/>
          </w:tcPr>
          <w:p>
            <w:r>
              <w:rPr>
                <w:rFonts w:ascii="Aptos" w:hAnsi="Aptos"/>
                <w:b w:val="0"/>
                <w:sz w:val="16"/>
              </w:rPr>
              <w:t>Gross internal NPA ratio</w:t>
            </w:r>
          </w:p>
        </w:tc>
        <w:tc>
          <w:tcPr>
            <w:tcW w:type="dxa" w:w="4320"/>
            <w:tcMar>
              <w:top w:w="70" w:type="dxa"/>
              <w:start w:w="80" w:type="dxa"/>
              <w:bottom w:w="70" w:type="dxa"/>
              <w:end w:w="80" w:type="dxa"/>
            </w:tcMar>
            <w:vAlign w:val="top"/>
          </w:tcPr>
          <w:p>
            <w:r>
              <w:rPr>
                <w:rFonts w:ascii="Aptos" w:hAnsi="Aptos"/>
                <w:b w:val="0"/>
                <w:sz w:val="16"/>
              </w:rPr>
              <w:t>Internal NPA-classified exposure divided by gross loan exposure</w:t>
            </w:r>
          </w:p>
        </w:tc>
        <w:tc>
          <w:tcPr>
            <w:tcW w:type="dxa" w:w="2304"/>
            <w:tcMar>
              <w:top w:w="70" w:type="dxa"/>
              <w:start w:w="80" w:type="dxa"/>
              <w:bottom w:w="70" w:type="dxa"/>
              <w:end w:w="80" w:type="dxa"/>
            </w:tcMar>
            <w:vAlign w:val="top"/>
          </w:tcPr>
          <w:p>
            <w:r>
              <w:rPr>
                <w:rFonts w:ascii="Aptos" w:hAnsi="Aptos"/>
                <w:b w:val="0"/>
                <w:sz w:val="16"/>
              </w:rPr>
              <w:t>Finance/Risk data mart</w:t>
            </w:r>
          </w:p>
        </w:tc>
        <w:tc>
          <w:tcPr>
            <w:tcW w:type="dxa" w:w="1584"/>
            <w:tcMar>
              <w:top w:w="70" w:type="dxa"/>
              <w:start w:w="80" w:type="dxa"/>
              <w:bottom w:w="70" w:type="dxa"/>
              <w:end w:w="80" w:type="dxa"/>
            </w:tcMar>
            <w:vAlign w:val="top"/>
          </w:tcPr>
          <w:p>
            <w:r>
              <w:rPr>
                <w:rFonts w:ascii="Aptos" w:hAnsi="Aptos"/>
                <w:b w:val="0"/>
                <w:sz w:val="16"/>
              </w:rPr>
              <w:t>Monthly</w:t>
            </w:r>
          </w:p>
        </w:tc>
        <w:tc>
          <w:tcPr>
            <w:tcW w:type="dxa" w:w="2016"/>
            <w:tcMar>
              <w:top w:w="70" w:type="dxa"/>
              <w:start w:w="80" w:type="dxa"/>
              <w:bottom w:w="70" w:type="dxa"/>
              <w:end w:w="80" w:type="dxa"/>
            </w:tcMar>
            <w:vAlign w:val="top"/>
          </w:tcPr>
          <w:p>
            <w:r>
              <w:rPr>
                <w:rFonts w:ascii="Aptos" w:hAnsi="Aptos"/>
                <w:b w:val="0"/>
                <w:sz w:val="16"/>
              </w:rPr>
              <w:t>Credit Risk / Finance</w:t>
            </w:r>
          </w:p>
        </w:tc>
      </w:tr>
      <w:tr>
        <w:tc>
          <w:tcPr>
            <w:tcW w:type="dxa" w:w="2880"/>
            <w:tcMar>
              <w:top w:w="70" w:type="dxa"/>
              <w:start w:w="80" w:type="dxa"/>
              <w:bottom w:w="70" w:type="dxa"/>
              <w:end w:w="80" w:type="dxa"/>
            </w:tcMar>
            <w:vAlign w:val="top"/>
            <w:shd w:fill="F7FAFC"/>
          </w:tcPr>
          <w:p>
            <w:r>
              <w:rPr>
                <w:rFonts w:ascii="Aptos" w:hAnsi="Aptos"/>
                <w:b w:val="0"/>
                <w:sz w:val="16"/>
              </w:rPr>
              <w:t>Sourcing partner concentration</w:t>
            </w:r>
          </w:p>
        </w:tc>
        <w:tc>
          <w:tcPr>
            <w:tcW w:type="dxa" w:w="4320"/>
            <w:tcMar>
              <w:top w:w="70" w:type="dxa"/>
              <w:start w:w="80" w:type="dxa"/>
              <w:bottom w:w="70" w:type="dxa"/>
              <w:end w:w="80" w:type="dxa"/>
            </w:tcMar>
            <w:vAlign w:val="top"/>
            <w:shd w:fill="F7FAFC"/>
          </w:tcPr>
          <w:p>
            <w:r>
              <w:rPr>
                <w:rFonts w:ascii="Aptos" w:hAnsi="Aptos"/>
                <w:b w:val="0"/>
                <w:sz w:val="16"/>
              </w:rPr>
              <w:t>New funded/originated exposure from largest sourcing partner divided by total quarterly new originations</w:t>
            </w:r>
          </w:p>
        </w:tc>
        <w:tc>
          <w:tcPr>
            <w:tcW w:type="dxa" w:w="2304"/>
            <w:tcMar>
              <w:top w:w="70" w:type="dxa"/>
              <w:start w:w="80" w:type="dxa"/>
              <w:bottom w:w="70" w:type="dxa"/>
              <w:end w:w="80" w:type="dxa"/>
            </w:tcMar>
            <w:vAlign w:val="top"/>
            <w:shd w:fill="F7FAFC"/>
          </w:tcPr>
          <w:p>
            <w:r>
              <w:rPr>
                <w:rFonts w:ascii="Aptos" w:hAnsi="Aptos"/>
                <w:b w:val="0"/>
                <w:sz w:val="16"/>
              </w:rPr>
              <w:t>Origination MIS</w:t>
            </w:r>
          </w:p>
        </w:tc>
        <w:tc>
          <w:tcPr>
            <w:tcW w:type="dxa" w:w="1584"/>
            <w:tcMar>
              <w:top w:w="70" w:type="dxa"/>
              <w:start w:w="80" w:type="dxa"/>
              <w:bottom w:w="70" w:type="dxa"/>
              <w:end w:w="80" w:type="dxa"/>
            </w:tcMar>
            <w:vAlign w:val="top"/>
            <w:shd w:fill="F7FAFC"/>
          </w:tcPr>
          <w:p>
            <w:r>
              <w:rPr>
                <w:rFonts w:ascii="Aptos" w:hAnsi="Aptos"/>
                <w:b w:val="0"/>
                <w:sz w:val="16"/>
              </w:rPr>
              <w:t>Quarterly</w:t>
            </w:r>
          </w:p>
        </w:tc>
        <w:tc>
          <w:tcPr>
            <w:tcW w:type="dxa" w:w="2016"/>
            <w:tcMar>
              <w:top w:w="70" w:type="dxa"/>
              <w:start w:w="80" w:type="dxa"/>
              <w:bottom w:w="70" w:type="dxa"/>
              <w:end w:w="80" w:type="dxa"/>
            </w:tcMar>
            <w:vAlign w:val="top"/>
            <w:shd w:fill="F7FAFC"/>
          </w:tcPr>
          <w:p>
            <w:r>
              <w:rPr>
                <w:rFonts w:ascii="Aptos" w:hAnsi="Aptos"/>
                <w:b w:val="0"/>
                <w:sz w:val="16"/>
              </w:rPr>
              <w:t>Portfolio Risk</w:t>
            </w:r>
          </w:p>
        </w:tc>
      </w:tr>
      <w:tr>
        <w:tc>
          <w:tcPr>
            <w:tcW w:type="dxa" w:w="2880"/>
            <w:tcMar>
              <w:top w:w="70" w:type="dxa"/>
              <w:start w:w="80" w:type="dxa"/>
              <w:bottom w:w="70" w:type="dxa"/>
              <w:end w:w="80" w:type="dxa"/>
            </w:tcMar>
            <w:vAlign w:val="top"/>
          </w:tcPr>
          <w:p>
            <w:r>
              <w:rPr>
                <w:rFonts w:ascii="Aptos" w:hAnsi="Aptos"/>
                <w:b w:val="0"/>
                <w:sz w:val="16"/>
              </w:rPr>
              <w:t>High-risk CDD overdue &gt;30d</w:t>
            </w:r>
          </w:p>
        </w:tc>
        <w:tc>
          <w:tcPr>
            <w:tcW w:type="dxa" w:w="4320"/>
            <w:tcMar>
              <w:top w:w="70" w:type="dxa"/>
              <w:start w:w="80" w:type="dxa"/>
              <w:bottom w:w="70" w:type="dxa"/>
              <w:end w:w="80" w:type="dxa"/>
            </w:tcMar>
            <w:vAlign w:val="top"/>
          </w:tcPr>
          <w:p>
            <w:r>
              <w:rPr>
                <w:rFonts w:ascii="Aptos" w:hAnsi="Aptos"/>
                <w:b w:val="0"/>
                <w:sz w:val="16"/>
              </w:rPr>
              <w:t>High-risk customers more than 30 days past scheduled review date divided by High-risk review population due</w:t>
            </w:r>
          </w:p>
        </w:tc>
        <w:tc>
          <w:tcPr>
            <w:tcW w:type="dxa" w:w="2304"/>
            <w:tcMar>
              <w:top w:w="70" w:type="dxa"/>
              <w:start w:w="80" w:type="dxa"/>
              <w:bottom w:w="70" w:type="dxa"/>
              <w:end w:w="80" w:type="dxa"/>
            </w:tcMar>
            <w:vAlign w:val="top"/>
          </w:tcPr>
          <w:p>
            <w:r>
              <w:rPr>
                <w:rFonts w:ascii="Aptos" w:hAnsi="Aptos"/>
                <w:b w:val="0"/>
                <w:sz w:val="16"/>
              </w:rPr>
              <w:t>KYC system</w:t>
            </w:r>
          </w:p>
        </w:tc>
        <w:tc>
          <w:tcPr>
            <w:tcW w:type="dxa" w:w="1584"/>
            <w:tcMar>
              <w:top w:w="70" w:type="dxa"/>
              <w:start w:w="80" w:type="dxa"/>
              <w:bottom w:w="70" w:type="dxa"/>
              <w:end w:w="80" w:type="dxa"/>
            </w:tcMar>
            <w:vAlign w:val="top"/>
          </w:tcPr>
          <w:p>
            <w:r>
              <w:rPr>
                <w:rFonts w:ascii="Aptos" w:hAnsi="Aptos"/>
                <w:b w:val="0"/>
                <w:sz w:val="16"/>
              </w:rPr>
              <w:t>Weekly/Monthly</w:t>
            </w:r>
          </w:p>
        </w:tc>
        <w:tc>
          <w:tcPr>
            <w:tcW w:type="dxa" w:w="2016"/>
            <w:tcMar>
              <w:top w:w="70" w:type="dxa"/>
              <w:start w:w="80" w:type="dxa"/>
              <w:bottom w:w="70" w:type="dxa"/>
              <w:end w:w="80" w:type="dxa"/>
            </w:tcMar>
            <w:vAlign w:val="top"/>
          </w:tcPr>
          <w:p>
            <w:r>
              <w:rPr>
                <w:rFonts w:ascii="Aptos" w:hAnsi="Aptos"/>
                <w:b w:val="0"/>
                <w:sz w:val="16"/>
              </w:rPr>
              <w:t>KYC Operations</w:t>
            </w:r>
          </w:p>
        </w:tc>
      </w:tr>
      <w:tr>
        <w:tc>
          <w:tcPr>
            <w:tcW w:type="dxa" w:w="2880"/>
            <w:tcMar>
              <w:top w:w="70" w:type="dxa"/>
              <w:start w:w="80" w:type="dxa"/>
              <w:bottom w:w="70" w:type="dxa"/>
              <w:end w:w="80" w:type="dxa"/>
            </w:tcMar>
            <w:vAlign w:val="top"/>
            <w:shd w:fill="F7FAFC"/>
          </w:tcPr>
          <w:p>
            <w:r>
              <w:rPr>
                <w:rFonts w:ascii="Aptos" w:hAnsi="Aptos"/>
                <w:b w:val="0"/>
                <w:sz w:val="16"/>
              </w:rPr>
              <w:t>Medium/Low CDD overdue &gt;60d</w:t>
            </w:r>
          </w:p>
        </w:tc>
        <w:tc>
          <w:tcPr>
            <w:tcW w:type="dxa" w:w="4320"/>
            <w:tcMar>
              <w:top w:w="70" w:type="dxa"/>
              <w:start w:w="80" w:type="dxa"/>
              <w:bottom w:w="70" w:type="dxa"/>
              <w:end w:w="80" w:type="dxa"/>
            </w:tcMar>
            <w:vAlign w:val="top"/>
            <w:shd w:fill="F7FAFC"/>
          </w:tcPr>
          <w:p>
            <w:r>
              <w:rPr>
                <w:rFonts w:ascii="Aptos" w:hAnsi="Aptos"/>
                <w:b w:val="0"/>
                <w:sz w:val="16"/>
              </w:rPr>
              <w:t>Medium/Low customers more than 60 days overdue divided by due population</w:t>
            </w:r>
          </w:p>
        </w:tc>
        <w:tc>
          <w:tcPr>
            <w:tcW w:type="dxa" w:w="2304"/>
            <w:tcMar>
              <w:top w:w="70" w:type="dxa"/>
              <w:start w:w="80" w:type="dxa"/>
              <w:bottom w:w="70" w:type="dxa"/>
              <w:end w:w="80" w:type="dxa"/>
            </w:tcMar>
            <w:vAlign w:val="top"/>
            <w:shd w:fill="F7FAFC"/>
          </w:tcPr>
          <w:p>
            <w:r>
              <w:rPr>
                <w:rFonts w:ascii="Aptos" w:hAnsi="Aptos"/>
                <w:b w:val="0"/>
                <w:sz w:val="16"/>
              </w:rPr>
              <w:t>KYC system</w:t>
            </w:r>
          </w:p>
        </w:tc>
        <w:tc>
          <w:tcPr>
            <w:tcW w:type="dxa" w:w="1584"/>
            <w:tcMar>
              <w:top w:w="70" w:type="dxa"/>
              <w:start w:w="80" w:type="dxa"/>
              <w:bottom w:w="70" w:type="dxa"/>
              <w:end w:w="80" w:type="dxa"/>
            </w:tcMar>
            <w:vAlign w:val="top"/>
            <w:shd w:fill="F7FAFC"/>
          </w:tcPr>
          <w:p>
            <w:r>
              <w:rPr>
                <w:rFonts w:ascii="Aptos" w:hAnsi="Aptos"/>
                <w:b w:val="0"/>
                <w:sz w:val="16"/>
              </w:rPr>
              <w:t>Monthly</w:t>
            </w:r>
          </w:p>
        </w:tc>
        <w:tc>
          <w:tcPr>
            <w:tcW w:type="dxa" w:w="2016"/>
            <w:tcMar>
              <w:top w:w="70" w:type="dxa"/>
              <w:start w:w="80" w:type="dxa"/>
              <w:bottom w:w="70" w:type="dxa"/>
              <w:end w:w="80" w:type="dxa"/>
            </w:tcMar>
            <w:vAlign w:val="top"/>
            <w:shd w:fill="F7FAFC"/>
          </w:tcPr>
          <w:p>
            <w:r>
              <w:rPr>
                <w:rFonts w:ascii="Aptos" w:hAnsi="Aptos"/>
                <w:b w:val="0"/>
                <w:sz w:val="16"/>
              </w:rPr>
              <w:t>KYC Operations</w:t>
            </w:r>
          </w:p>
        </w:tc>
      </w:tr>
      <w:tr>
        <w:tc>
          <w:tcPr>
            <w:tcW w:type="dxa" w:w="2880"/>
            <w:tcMar>
              <w:top w:w="70" w:type="dxa"/>
              <w:start w:w="80" w:type="dxa"/>
              <w:bottom w:w="70" w:type="dxa"/>
              <w:end w:w="80" w:type="dxa"/>
            </w:tcMar>
            <w:vAlign w:val="top"/>
          </w:tcPr>
          <w:p>
            <w:r>
              <w:rPr>
                <w:rFonts w:ascii="Aptos" w:hAnsi="Aptos"/>
                <w:b w:val="0"/>
                <w:sz w:val="16"/>
              </w:rPr>
              <w:t>Unresolved sanctions beyond SLA</w:t>
            </w:r>
          </w:p>
        </w:tc>
        <w:tc>
          <w:tcPr>
            <w:tcW w:type="dxa" w:w="4320"/>
            <w:tcMar>
              <w:top w:w="70" w:type="dxa"/>
              <w:start w:w="80" w:type="dxa"/>
              <w:bottom w:w="70" w:type="dxa"/>
              <w:end w:w="80" w:type="dxa"/>
            </w:tcMar>
            <w:vAlign w:val="top"/>
          </w:tcPr>
          <w:p>
            <w:r>
              <w:rPr>
                <w:rFonts w:ascii="Aptos" w:hAnsi="Aptos"/>
                <w:b w:val="0"/>
                <w:sz w:val="16"/>
              </w:rPr>
              <w:t>Material potential matches not dispositioned within specialist handling SLA</w:t>
            </w:r>
          </w:p>
        </w:tc>
        <w:tc>
          <w:tcPr>
            <w:tcW w:type="dxa" w:w="2304"/>
            <w:tcMar>
              <w:top w:w="70" w:type="dxa"/>
              <w:start w:w="80" w:type="dxa"/>
              <w:bottom w:w="70" w:type="dxa"/>
              <w:end w:w="80" w:type="dxa"/>
            </w:tcMar>
            <w:vAlign w:val="top"/>
          </w:tcPr>
          <w:p>
            <w:r>
              <w:rPr>
                <w:rFonts w:ascii="Aptos" w:hAnsi="Aptos"/>
                <w:b w:val="0"/>
                <w:sz w:val="16"/>
              </w:rPr>
              <w:t>Screening/case system</w:t>
            </w:r>
          </w:p>
        </w:tc>
        <w:tc>
          <w:tcPr>
            <w:tcW w:type="dxa" w:w="1584"/>
            <w:tcMar>
              <w:top w:w="70" w:type="dxa"/>
              <w:start w:w="80" w:type="dxa"/>
              <w:bottom w:w="70" w:type="dxa"/>
              <w:end w:w="80" w:type="dxa"/>
            </w:tcMar>
            <w:vAlign w:val="top"/>
          </w:tcPr>
          <w:p>
            <w:r>
              <w:rPr>
                <w:rFonts w:ascii="Aptos" w:hAnsi="Aptos"/>
                <w:b w:val="0"/>
                <w:sz w:val="16"/>
              </w:rPr>
              <w:t>Daily</w:t>
            </w:r>
          </w:p>
        </w:tc>
        <w:tc>
          <w:tcPr>
            <w:tcW w:type="dxa" w:w="2016"/>
            <w:tcMar>
              <w:top w:w="70" w:type="dxa"/>
              <w:start w:w="80" w:type="dxa"/>
              <w:bottom w:w="70" w:type="dxa"/>
              <w:end w:w="80" w:type="dxa"/>
            </w:tcMar>
            <w:vAlign w:val="top"/>
          </w:tcPr>
          <w:p>
            <w:r>
              <w:rPr>
                <w:rFonts w:ascii="Aptos" w:hAnsi="Aptos"/>
                <w:b w:val="0"/>
                <w:sz w:val="16"/>
              </w:rPr>
              <w:t>AML Compliance</w:t>
            </w:r>
          </w:p>
        </w:tc>
      </w:tr>
      <w:tr>
        <w:tc>
          <w:tcPr>
            <w:tcW w:type="dxa" w:w="2880"/>
            <w:tcMar>
              <w:top w:w="70" w:type="dxa"/>
              <w:start w:w="80" w:type="dxa"/>
              <w:bottom w:w="70" w:type="dxa"/>
              <w:end w:w="80" w:type="dxa"/>
            </w:tcMar>
            <w:vAlign w:val="top"/>
            <w:shd w:fill="F7FAFC"/>
          </w:tcPr>
          <w:p>
            <w:r>
              <w:rPr>
                <w:rFonts w:ascii="Aptos" w:hAnsi="Aptos"/>
                <w:b w:val="0"/>
                <w:sz w:val="16"/>
              </w:rPr>
              <w:t>AML alerts &gt;30d open</w:t>
            </w:r>
          </w:p>
        </w:tc>
        <w:tc>
          <w:tcPr>
            <w:tcW w:type="dxa" w:w="4320"/>
            <w:tcMar>
              <w:top w:w="70" w:type="dxa"/>
              <w:start w:w="80" w:type="dxa"/>
              <w:bottom w:w="70" w:type="dxa"/>
              <w:end w:w="80" w:type="dxa"/>
            </w:tcMar>
            <w:vAlign w:val="top"/>
            <w:shd w:fill="F7FAFC"/>
          </w:tcPr>
          <w:p>
            <w:r>
              <w:rPr>
                <w:rFonts w:ascii="Aptos" w:hAnsi="Aptos"/>
                <w:b w:val="0"/>
                <w:sz w:val="16"/>
              </w:rPr>
              <w:t>Open transaction-monitoring alerts older than 30 calendar days divided by total open alerts</w:t>
            </w:r>
          </w:p>
        </w:tc>
        <w:tc>
          <w:tcPr>
            <w:tcW w:type="dxa" w:w="2304"/>
            <w:tcMar>
              <w:top w:w="70" w:type="dxa"/>
              <w:start w:w="80" w:type="dxa"/>
              <w:bottom w:w="70" w:type="dxa"/>
              <w:end w:w="80" w:type="dxa"/>
            </w:tcMar>
            <w:vAlign w:val="top"/>
            <w:shd w:fill="F7FAFC"/>
          </w:tcPr>
          <w:p>
            <w:r>
              <w:rPr>
                <w:rFonts w:ascii="Aptos" w:hAnsi="Aptos"/>
                <w:b w:val="0"/>
                <w:sz w:val="16"/>
              </w:rPr>
              <w:t>TM platform</w:t>
            </w:r>
          </w:p>
        </w:tc>
        <w:tc>
          <w:tcPr>
            <w:tcW w:type="dxa" w:w="1584"/>
            <w:tcMar>
              <w:top w:w="70" w:type="dxa"/>
              <w:start w:w="80" w:type="dxa"/>
              <w:bottom w:w="70" w:type="dxa"/>
              <w:end w:w="80" w:type="dxa"/>
            </w:tcMar>
            <w:vAlign w:val="top"/>
            <w:shd w:fill="F7FAFC"/>
          </w:tcPr>
          <w:p>
            <w:r>
              <w:rPr>
                <w:rFonts w:ascii="Aptos" w:hAnsi="Aptos"/>
                <w:b w:val="0"/>
                <w:sz w:val="16"/>
              </w:rPr>
              <w:t>Weekly/Monthly</w:t>
            </w:r>
          </w:p>
        </w:tc>
        <w:tc>
          <w:tcPr>
            <w:tcW w:type="dxa" w:w="2016"/>
            <w:tcMar>
              <w:top w:w="70" w:type="dxa"/>
              <w:start w:w="80" w:type="dxa"/>
              <w:bottom w:w="70" w:type="dxa"/>
              <w:end w:w="80" w:type="dxa"/>
            </w:tcMar>
            <w:vAlign w:val="top"/>
            <w:shd w:fill="F7FAFC"/>
          </w:tcPr>
          <w:p>
            <w:r>
              <w:rPr>
                <w:rFonts w:ascii="Aptos" w:hAnsi="Aptos"/>
                <w:b w:val="0"/>
                <w:sz w:val="16"/>
              </w:rPr>
              <w:t>AML Monitoring</w:t>
            </w:r>
          </w:p>
        </w:tc>
      </w:tr>
      <w:tr>
        <w:tc>
          <w:tcPr>
            <w:tcW w:type="dxa" w:w="2880"/>
            <w:tcMar>
              <w:top w:w="70" w:type="dxa"/>
              <w:start w:w="80" w:type="dxa"/>
              <w:bottom w:w="70" w:type="dxa"/>
              <w:end w:w="80" w:type="dxa"/>
            </w:tcMar>
            <w:vAlign w:val="top"/>
          </w:tcPr>
          <w:p>
            <w:r>
              <w:rPr>
                <w:rFonts w:ascii="Aptos" w:hAnsi="Aptos"/>
                <w:b w:val="0"/>
                <w:sz w:val="16"/>
              </w:rPr>
              <w:t>EDD &gt;20 business days</w:t>
            </w:r>
          </w:p>
        </w:tc>
        <w:tc>
          <w:tcPr>
            <w:tcW w:type="dxa" w:w="4320"/>
            <w:tcMar>
              <w:top w:w="70" w:type="dxa"/>
              <w:start w:w="80" w:type="dxa"/>
              <w:bottom w:w="70" w:type="dxa"/>
              <w:end w:w="80" w:type="dxa"/>
            </w:tcMar>
            <w:vAlign w:val="top"/>
          </w:tcPr>
          <w:p>
            <w:r>
              <w:rPr>
                <w:rFonts w:ascii="Aptos" w:hAnsi="Aptos"/>
                <w:b w:val="0"/>
                <w:sz w:val="16"/>
              </w:rPr>
              <w:t>EDD cases older than 20 business days without approved extension divided by open EDD cases</w:t>
            </w:r>
          </w:p>
        </w:tc>
        <w:tc>
          <w:tcPr>
            <w:tcW w:type="dxa" w:w="2304"/>
            <w:tcMar>
              <w:top w:w="70" w:type="dxa"/>
              <w:start w:w="80" w:type="dxa"/>
              <w:bottom w:w="70" w:type="dxa"/>
              <w:end w:w="80" w:type="dxa"/>
            </w:tcMar>
            <w:vAlign w:val="top"/>
          </w:tcPr>
          <w:p>
            <w:r>
              <w:rPr>
                <w:rFonts w:ascii="Aptos" w:hAnsi="Aptos"/>
                <w:b w:val="0"/>
                <w:sz w:val="16"/>
              </w:rPr>
              <w:t>Case system</w:t>
            </w:r>
          </w:p>
        </w:tc>
        <w:tc>
          <w:tcPr>
            <w:tcW w:type="dxa" w:w="1584"/>
            <w:tcMar>
              <w:top w:w="70" w:type="dxa"/>
              <w:start w:w="80" w:type="dxa"/>
              <w:bottom w:w="70" w:type="dxa"/>
              <w:end w:w="80" w:type="dxa"/>
            </w:tcMar>
            <w:vAlign w:val="top"/>
          </w:tcPr>
          <w:p>
            <w:r>
              <w:rPr>
                <w:rFonts w:ascii="Aptos" w:hAnsi="Aptos"/>
                <w:b w:val="0"/>
                <w:sz w:val="16"/>
              </w:rPr>
              <w:t>Weekly/Monthly</w:t>
            </w:r>
          </w:p>
        </w:tc>
        <w:tc>
          <w:tcPr>
            <w:tcW w:type="dxa" w:w="2016"/>
            <w:tcMar>
              <w:top w:w="70" w:type="dxa"/>
              <w:start w:w="80" w:type="dxa"/>
              <w:bottom w:w="70" w:type="dxa"/>
              <w:end w:w="80" w:type="dxa"/>
            </w:tcMar>
            <w:vAlign w:val="top"/>
          </w:tcPr>
          <w:p>
            <w:r>
              <w:rPr>
                <w:rFonts w:ascii="Aptos" w:hAnsi="Aptos"/>
                <w:b w:val="0"/>
                <w:sz w:val="16"/>
              </w:rPr>
              <w:t>AML Monitoring</w:t>
            </w:r>
          </w:p>
        </w:tc>
      </w:tr>
      <w:tr>
        <w:tc>
          <w:tcPr>
            <w:tcW w:type="dxa" w:w="2880"/>
            <w:tcMar>
              <w:top w:w="70" w:type="dxa"/>
              <w:start w:w="80" w:type="dxa"/>
              <w:bottom w:w="70" w:type="dxa"/>
              <w:end w:w="80" w:type="dxa"/>
            </w:tcMar>
            <w:vAlign w:val="top"/>
            <w:shd w:fill="F7FAFC"/>
          </w:tcPr>
          <w:p>
            <w:r>
              <w:rPr>
                <w:rFonts w:ascii="Aptos" w:hAnsi="Aptos"/>
                <w:b w:val="0"/>
                <w:sz w:val="16"/>
              </w:rPr>
              <w:t>Operational loss ratio</w:t>
            </w:r>
          </w:p>
        </w:tc>
        <w:tc>
          <w:tcPr>
            <w:tcW w:type="dxa" w:w="4320"/>
            <w:tcMar>
              <w:top w:w="70" w:type="dxa"/>
              <w:start w:w="80" w:type="dxa"/>
              <w:bottom w:w="70" w:type="dxa"/>
              <w:end w:w="80" w:type="dxa"/>
            </w:tcMar>
            <w:vAlign w:val="top"/>
            <w:shd w:fill="F7FAFC"/>
          </w:tcPr>
          <w:p>
            <w:r>
              <w:rPr>
                <w:rFonts w:ascii="Aptos" w:hAnsi="Aptos"/>
                <w:b w:val="0"/>
                <w:sz w:val="16"/>
              </w:rPr>
              <w:t>Gross operational losses recognized in period divided by operating income</w:t>
            </w:r>
          </w:p>
        </w:tc>
        <w:tc>
          <w:tcPr>
            <w:tcW w:type="dxa" w:w="2304"/>
            <w:tcMar>
              <w:top w:w="70" w:type="dxa"/>
              <w:start w:w="80" w:type="dxa"/>
              <w:bottom w:w="70" w:type="dxa"/>
              <w:end w:w="80" w:type="dxa"/>
            </w:tcMar>
            <w:vAlign w:val="top"/>
            <w:shd w:fill="F7FAFC"/>
          </w:tcPr>
          <w:p>
            <w:r>
              <w:rPr>
                <w:rFonts w:ascii="Aptos" w:hAnsi="Aptos"/>
                <w:b w:val="0"/>
                <w:sz w:val="16"/>
              </w:rPr>
              <w:t>Operational risk + Finance</w:t>
            </w:r>
          </w:p>
        </w:tc>
        <w:tc>
          <w:tcPr>
            <w:tcW w:type="dxa" w:w="1584"/>
            <w:tcMar>
              <w:top w:w="70" w:type="dxa"/>
              <w:start w:w="80" w:type="dxa"/>
              <w:bottom w:w="70" w:type="dxa"/>
              <w:end w:w="80" w:type="dxa"/>
            </w:tcMar>
            <w:vAlign w:val="top"/>
            <w:shd w:fill="F7FAFC"/>
          </w:tcPr>
          <w:p>
            <w:r>
              <w:rPr>
                <w:rFonts w:ascii="Aptos" w:hAnsi="Aptos"/>
                <w:b w:val="0"/>
                <w:sz w:val="16"/>
              </w:rPr>
              <w:t>Quarterly</w:t>
            </w:r>
          </w:p>
        </w:tc>
        <w:tc>
          <w:tcPr>
            <w:tcW w:type="dxa" w:w="2016"/>
            <w:tcMar>
              <w:top w:w="70" w:type="dxa"/>
              <w:start w:w="80" w:type="dxa"/>
              <w:bottom w:w="70" w:type="dxa"/>
              <w:end w:w="80" w:type="dxa"/>
            </w:tcMar>
            <w:vAlign w:val="top"/>
            <w:shd w:fill="F7FAFC"/>
          </w:tcPr>
          <w:p>
            <w:r>
              <w:rPr>
                <w:rFonts w:ascii="Aptos" w:hAnsi="Aptos"/>
                <w:b w:val="0"/>
                <w:sz w:val="16"/>
              </w:rPr>
              <w:t>Operational Risk</w:t>
            </w:r>
          </w:p>
        </w:tc>
      </w:tr>
      <w:tr>
        <w:tc>
          <w:tcPr>
            <w:tcW w:type="dxa" w:w="2880"/>
            <w:tcMar>
              <w:top w:w="70" w:type="dxa"/>
              <w:start w:w="80" w:type="dxa"/>
              <w:bottom w:w="70" w:type="dxa"/>
              <w:end w:w="80" w:type="dxa"/>
            </w:tcMar>
            <w:vAlign w:val="top"/>
          </w:tcPr>
          <w:p>
            <w:r>
              <w:rPr>
                <w:rFonts w:ascii="Aptos" w:hAnsi="Aptos"/>
                <w:b w:val="0"/>
                <w:sz w:val="16"/>
              </w:rPr>
              <w:t>High-severity incidents &gt;30d</w:t>
            </w:r>
          </w:p>
        </w:tc>
        <w:tc>
          <w:tcPr>
            <w:tcW w:type="dxa" w:w="4320"/>
            <w:tcMar>
              <w:top w:w="70" w:type="dxa"/>
              <w:start w:w="80" w:type="dxa"/>
              <w:bottom w:w="70" w:type="dxa"/>
              <w:end w:w="80" w:type="dxa"/>
            </w:tcMar>
            <w:vAlign w:val="top"/>
          </w:tcPr>
          <w:p>
            <w:r>
              <w:rPr>
                <w:rFonts w:ascii="Aptos" w:hAnsi="Aptos"/>
                <w:b w:val="0"/>
                <w:sz w:val="16"/>
              </w:rPr>
              <w:t>Count of High/Severe operational incidents open more than 30 days</w:t>
            </w:r>
          </w:p>
        </w:tc>
        <w:tc>
          <w:tcPr>
            <w:tcW w:type="dxa" w:w="2304"/>
            <w:tcMar>
              <w:top w:w="70" w:type="dxa"/>
              <w:start w:w="80" w:type="dxa"/>
              <w:bottom w:w="70" w:type="dxa"/>
              <w:end w:w="80" w:type="dxa"/>
            </w:tcMar>
            <w:vAlign w:val="top"/>
          </w:tcPr>
          <w:p>
            <w:r>
              <w:rPr>
                <w:rFonts w:ascii="Aptos" w:hAnsi="Aptos"/>
                <w:b w:val="0"/>
                <w:sz w:val="16"/>
              </w:rPr>
              <w:t>Incident register</w:t>
            </w:r>
          </w:p>
        </w:tc>
        <w:tc>
          <w:tcPr>
            <w:tcW w:type="dxa" w:w="1584"/>
            <w:tcMar>
              <w:top w:w="70" w:type="dxa"/>
              <w:start w:w="80" w:type="dxa"/>
              <w:bottom w:w="70" w:type="dxa"/>
              <w:end w:w="80" w:type="dxa"/>
            </w:tcMar>
            <w:vAlign w:val="top"/>
          </w:tcPr>
          <w:p>
            <w:r>
              <w:rPr>
                <w:rFonts w:ascii="Aptos" w:hAnsi="Aptos"/>
                <w:b w:val="0"/>
                <w:sz w:val="16"/>
              </w:rPr>
              <w:t>Monthly</w:t>
            </w:r>
          </w:p>
        </w:tc>
        <w:tc>
          <w:tcPr>
            <w:tcW w:type="dxa" w:w="2016"/>
            <w:tcMar>
              <w:top w:w="70" w:type="dxa"/>
              <w:start w:w="80" w:type="dxa"/>
              <w:bottom w:w="70" w:type="dxa"/>
              <w:end w:w="80" w:type="dxa"/>
            </w:tcMar>
            <w:vAlign w:val="top"/>
          </w:tcPr>
          <w:p>
            <w:r>
              <w:rPr>
                <w:rFonts w:ascii="Aptos" w:hAnsi="Aptos"/>
                <w:b w:val="0"/>
                <w:sz w:val="16"/>
              </w:rPr>
              <w:t>Operational Risk</w:t>
            </w:r>
          </w:p>
        </w:tc>
      </w:tr>
      <w:tr>
        <w:tc>
          <w:tcPr>
            <w:tcW w:type="dxa" w:w="2880"/>
            <w:tcMar>
              <w:top w:w="70" w:type="dxa"/>
              <w:start w:w="80" w:type="dxa"/>
              <w:bottom w:w="70" w:type="dxa"/>
              <w:end w:w="80" w:type="dxa"/>
            </w:tcMar>
            <w:vAlign w:val="top"/>
            <w:shd w:fill="F7FAFC"/>
          </w:tcPr>
          <w:p>
            <w:r>
              <w:rPr>
                <w:rFonts w:ascii="Aptos" w:hAnsi="Aptos"/>
                <w:b w:val="0"/>
                <w:sz w:val="16"/>
              </w:rPr>
              <w:t>Repeat root-cause incident rate</w:t>
            </w:r>
          </w:p>
        </w:tc>
        <w:tc>
          <w:tcPr>
            <w:tcW w:type="dxa" w:w="4320"/>
            <w:tcMar>
              <w:top w:w="70" w:type="dxa"/>
              <w:start w:w="80" w:type="dxa"/>
              <w:bottom w:w="70" w:type="dxa"/>
              <w:end w:w="80" w:type="dxa"/>
            </w:tcMar>
            <w:vAlign w:val="top"/>
            <w:shd w:fill="F7FAFC"/>
          </w:tcPr>
          <w:p>
            <w:r>
              <w:rPr>
                <w:rFonts w:ascii="Aptos" w:hAnsi="Aptos"/>
                <w:b w:val="0"/>
                <w:sz w:val="16"/>
              </w:rPr>
              <w:t>Incidents linked to a previously remediated same root cause within 90 days divided by material incidents</w:t>
            </w:r>
          </w:p>
        </w:tc>
        <w:tc>
          <w:tcPr>
            <w:tcW w:type="dxa" w:w="2304"/>
            <w:tcMar>
              <w:top w:w="70" w:type="dxa"/>
              <w:start w:w="80" w:type="dxa"/>
              <w:bottom w:w="70" w:type="dxa"/>
              <w:end w:w="80" w:type="dxa"/>
            </w:tcMar>
            <w:vAlign w:val="top"/>
            <w:shd w:fill="F7FAFC"/>
          </w:tcPr>
          <w:p>
            <w:r>
              <w:rPr>
                <w:rFonts w:ascii="Aptos" w:hAnsi="Aptos"/>
                <w:b w:val="0"/>
                <w:sz w:val="16"/>
              </w:rPr>
              <w:t>Incident register</w:t>
            </w:r>
          </w:p>
        </w:tc>
        <w:tc>
          <w:tcPr>
            <w:tcW w:type="dxa" w:w="1584"/>
            <w:tcMar>
              <w:top w:w="70" w:type="dxa"/>
              <w:start w:w="80" w:type="dxa"/>
              <w:bottom w:w="70" w:type="dxa"/>
              <w:end w:w="80" w:type="dxa"/>
            </w:tcMar>
            <w:vAlign w:val="top"/>
            <w:shd w:fill="F7FAFC"/>
          </w:tcPr>
          <w:p>
            <w:r>
              <w:rPr>
                <w:rFonts w:ascii="Aptos" w:hAnsi="Aptos"/>
                <w:b w:val="0"/>
                <w:sz w:val="16"/>
              </w:rPr>
              <w:t>Monthly</w:t>
            </w:r>
          </w:p>
        </w:tc>
        <w:tc>
          <w:tcPr>
            <w:tcW w:type="dxa" w:w="2016"/>
            <w:tcMar>
              <w:top w:w="70" w:type="dxa"/>
              <w:start w:w="80" w:type="dxa"/>
              <w:bottom w:w="70" w:type="dxa"/>
              <w:end w:w="80" w:type="dxa"/>
            </w:tcMar>
            <w:vAlign w:val="top"/>
            <w:shd w:fill="F7FAFC"/>
          </w:tcPr>
          <w:p>
            <w:r>
              <w:rPr>
                <w:rFonts w:ascii="Aptos" w:hAnsi="Aptos"/>
                <w:b w:val="0"/>
                <w:sz w:val="16"/>
              </w:rPr>
              <w:t>Operational Risk</w:t>
            </w:r>
          </w:p>
        </w:tc>
      </w:tr>
      <w:tr>
        <w:tc>
          <w:tcPr>
            <w:tcW w:type="dxa" w:w="2880"/>
            <w:tcMar>
              <w:top w:w="70" w:type="dxa"/>
              <w:start w:w="80" w:type="dxa"/>
              <w:bottom w:w="70" w:type="dxa"/>
              <w:end w:w="80" w:type="dxa"/>
            </w:tcMar>
            <w:vAlign w:val="top"/>
          </w:tcPr>
          <w:p>
            <w:r>
              <w:rPr>
                <w:rFonts w:ascii="Aptos" w:hAnsi="Aptos"/>
                <w:b w:val="0"/>
                <w:sz w:val="16"/>
              </w:rPr>
              <w:t>Internal stressed liquidity coverage</w:t>
            </w:r>
          </w:p>
        </w:tc>
        <w:tc>
          <w:tcPr>
            <w:tcW w:type="dxa" w:w="4320"/>
            <w:tcMar>
              <w:top w:w="70" w:type="dxa"/>
              <w:start w:w="80" w:type="dxa"/>
              <w:bottom w:w="70" w:type="dxa"/>
              <w:end w:w="80" w:type="dxa"/>
            </w:tcMar>
            <w:vAlign w:val="top"/>
          </w:tcPr>
          <w:p>
            <w:r>
              <w:rPr>
                <w:rFonts w:ascii="Aptos" w:hAnsi="Aptos"/>
                <w:b w:val="0"/>
                <w:sz w:val="16"/>
              </w:rPr>
              <w:t>Available internal liquid resources divided by stressed 30-day net outflows under Northstar scenario</w:t>
            </w:r>
          </w:p>
        </w:tc>
        <w:tc>
          <w:tcPr>
            <w:tcW w:type="dxa" w:w="2304"/>
            <w:tcMar>
              <w:top w:w="70" w:type="dxa"/>
              <w:start w:w="80" w:type="dxa"/>
              <w:bottom w:w="70" w:type="dxa"/>
              <w:end w:w="80" w:type="dxa"/>
            </w:tcMar>
            <w:vAlign w:val="top"/>
          </w:tcPr>
          <w:p>
            <w:r>
              <w:rPr>
                <w:rFonts w:ascii="Aptos" w:hAnsi="Aptos"/>
                <w:b w:val="0"/>
                <w:sz w:val="16"/>
              </w:rPr>
              <w:t>Treasury risk data</w:t>
            </w:r>
          </w:p>
        </w:tc>
        <w:tc>
          <w:tcPr>
            <w:tcW w:type="dxa" w:w="1584"/>
            <w:tcMar>
              <w:top w:w="70" w:type="dxa"/>
              <w:start w:w="80" w:type="dxa"/>
              <w:bottom w:w="70" w:type="dxa"/>
              <w:end w:w="80" w:type="dxa"/>
            </w:tcMar>
            <w:vAlign w:val="top"/>
          </w:tcPr>
          <w:p>
            <w:r>
              <w:rPr>
                <w:rFonts w:ascii="Aptos" w:hAnsi="Aptos"/>
                <w:b w:val="0"/>
                <w:sz w:val="16"/>
              </w:rPr>
              <w:t>Daily/Weekly</w:t>
            </w:r>
          </w:p>
        </w:tc>
        <w:tc>
          <w:tcPr>
            <w:tcW w:type="dxa" w:w="2016"/>
            <w:tcMar>
              <w:top w:w="70" w:type="dxa"/>
              <w:start w:w="80" w:type="dxa"/>
              <w:bottom w:w="70" w:type="dxa"/>
              <w:end w:w="80" w:type="dxa"/>
            </w:tcMar>
            <w:vAlign w:val="top"/>
          </w:tcPr>
          <w:p>
            <w:r>
              <w:rPr>
                <w:rFonts w:ascii="Aptos" w:hAnsi="Aptos"/>
                <w:b w:val="0"/>
                <w:sz w:val="16"/>
              </w:rPr>
              <w:t>Treasury</w:t>
            </w:r>
          </w:p>
        </w:tc>
      </w:tr>
      <w:tr>
        <w:tc>
          <w:tcPr>
            <w:tcW w:type="dxa" w:w="2880"/>
            <w:tcMar>
              <w:top w:w="70" w:type="dxa"/>
              <w:start w:w="80" w:type="dxa"/>
              <w:bottom w:w="70" w:type="dxa"/>
              <w:end w:w="80" w:type="dxa"/>
            </w:tcMar>
            <w:vAlign w:val="top"/>
            <w:shd w:fill="F7FAFC"/>
          </w:tcPr>
          <w:p>
            <w:r>
              <w:rPr>
                <w:rFonts w:ascii="Aptos" w:hAnsi="Aptos"/>
                <w:b w:val="0"/>
                <w:sz w:val="16"/>
              </w:rPr>
              <w:t>Top-5 funding concentration</w:t>
            </w:r>
          </w:p>
        </w:tc>
        <w:tc>
          <w:tcPr>
            <w:tcW w:type="dxa" w:w="4320"/>
            <w:tcMar>
              <w:top w:w="70" w:type="dxa"/>
              <w:start w:w="80" w:type="dxa"/>
              <w:bottom w:w="70" w:type="dxa"/>
              <w:end w:w="80" w:type="dxa"/>
            </w:tcMar>
            <w:vAlign w:val="top"/>
            <w:shd w:fill="F7FAFC"/>
          </w:tcPr>
          <w:p>
            <w:r>
              <w:rPr>
                <w:rFonts w:ascii="Aptos" w:hAnsi="Aptos"/>
                <w:b w:val="0"/>
                <w:sz w:val="16"/>
              </w:rPr>
              <w:t>Top five wholesale/large funding sources divided by relevant funding base</w:t>
            </w:r>
          </w:p>
        </w:tc>
        <w:tc>
          <w:tcPr>
            <w:tcW w:type="dxa" w:w="2304"/>
            <w:tcMar>
              <w:top w:w="70" w:type="dxa"/>
              <w:start w:w="80" w:type="dxa"/>
              <w:bottom w:w="70" w:type="dxa"/>
              <w:end w:w="80" w:type="dxa"/>
            </w:tcMar>
            <w:vAlign w:val="top"/>
            <w:shd w:fill="F7FAFC"/>
          </w:tcPr>
          <w:p>
            <w:r>
              <w:rPr>
                <w:rFonts w:ascii="Aptos" w:hAnsi="Aptos"/>
                <w:b w:val="0"/>
                <w:sz w:val="16"/>
              </w:rPr>
              <w:t>Treasury data</w:t>
            </w:r>
          </w:p>
        </w:tc>
        <w:tc>
          <w:tcPr>
            <w:tcW w:type="dxa" w:w="1584"/>
            <w:tcMar>
              <w:top w:w="70" w:type="dxa"/>
              <w:start w:w="80" w:type="dxa"/>
              <w:bottom w:w="70" w:type="dxa"/>
              <w:end w:w="80" w:type="dxa"/>
            </w:tcMar>
            <w:vAlign w:val="top"/>
            <w:shd w:fill="F7FAFC"/>
          </w:tcPr>
          <w:p>
            <w:r>
              <w:rPr>
                <w:rFonts w:ascii="Aptos" w:hAnsi="Aptos"/>
                <w:b w:val="0"/>
                <w:sz w:val="16"/>
              </w:rPr>
              <w:t>Monthly</w:t>
            </w:r>
          </w:p>
        </w:tc>
        <w:tc>
          <w:tcPr>
            <w:tcW w:type="dxa" w:w="2016"/>
            <w:tcMar>
              <w:top w:w="70" w:type="dxa"/>
              <w:start w:w="80" w:type="dxa"/>
              <w:bottom w:w="70" w:type="dxa"/>
              <w:end w:w="80" w:type="dxa"/>
            </w:tcMar>
            <w:vAlign w:val="top"/>
            <w:shd w:fill="F7FAFC"/>
          </w:tcPr>
          <w:p>
            <w:r>
              <w:rPr>
                <w:rFonts w:ascii="Aptos" w:hAnsi="Aptos"/>
                <w:b w:val="0"/>
                <w:sz w:val="16"/>
              </w:rPr>
              <w:t>Treasury</w:t>
            </w:r>
          </w:p>
        </w:tc>
      </w:tr>
      <w:tr>
        <w:tc>
          <w:tcPr>
            <w:tcW w:type="dxa" w:w="2880"/>
            <w:tcMar>
              <w:top w:w="70" w:type="dxa"/>
              <w:start w:w="80" w:type="dxa"/>
              <w:bottom w:w="70" w:type="dxa"/>
              <w:end w:w="80" w:type="dxa"/>
            </w:tcMar>
            <w:vAlign w:val="top"/>
          </w:tcPr>
          <w:p>
            <w:r>
              <w:rPr>
                <w:rFonts w:ascii="Aptos" w:hAnsi="Aptos"/>
                <w:b w:val="0"/>
                <w:sz w:val="16"/>
              </w:rPr>
              <w:t>Model override rate</w:t>
            </w:r>
          </w:p>
        </w:tc>
        <w:tc>
          <w:tcPr>
            <w:tcW w:type="dxa" w:w="4320"/>
            <w:tcMar>
              <w:top w:w="70" w:type="dxa"/>
              <w:start w:w="80" w:type="dxa"/>
              <w:bottom w:w="70" w:type="dxa"/>
              <w:end w:w="80" w:type="dxa"/>
            </w:tcMar>
            <w:vAlign w:val="top"/>
          </w:tcPr>
          <w:p>
            <w:r>
              <w:rPr>
                <w:rFonts w:ascii="Aptos" w:hAnsi="Aptos"/>
                <w:b w:val="0"/>
                <w:sz w:val="16"/>
              </w:rPr>
              <w:t>Decisions using manual/model override divided by decisions where override is available</w:t>
            </w:r>
          </w:p>
        </w:tc>
        <w:tc>
          <w:tcPr>
            <w:tcW w:type="dxa" w:w="2304"/>
            <w:tcMar>
              <w:top w:w="70" w:type="dxa"/>
              <w:start w:w="80" w:type="dxa"/>
              <w:bottom w:w="70" w:type="dxa"/>
              <w:end w:w="80" w:type="dxa"/>
            </w:tcMar>
            <w:vAlign w:val="top"/>
          </w:tcPr>
          <w:p>
            <w:r>
              <w:rPr>
                <w:rFonts w:ascii="Aptos" w:hAnsi="Aptos"/>
                <w:b w:val="0"/>
                <w:sz w:val="16"/>
              </w:rPr>
              <w:t>Model/decision system</w:t>
            </w:r>
          </w:p>
        </w:tc>
        <w:tc>
          <w:tcPr>
            <w:tcW w:type="dxa" w:w="1584"/>
            <w:tcMar>
              <w:top w:w="70" w:type="dxa"/>
              <w:start w:w="80" w:type="dxa"/>
              <w:bottom w:w="70" w:type="dxa"/>
              <w:end w:w="80" w:type="dxa"/>
            </w:tcMar>
            <w:vAlign w:val="top"/>
          </w:tcPr>
          <w:p>
            <w:r>
              <w:rPr>
                <w:rFonts w:ascii="Aptos" w:hAnsi="Aptos"/>
                <w:b w:val="0"/>
                <w:sz w:val="16"/>
              </w:rPr>
              <w:t>Monthly/Quarterly</w:t>
            </w:r>
          </w:p>
        </w:tc>
        <w:tc>
          <w:tcPr>
            <w:tcW w:type="dxa" w:w="2016"/>
            <w:tcMar>
              <w:top w:w="70" w:type="dxa"/>
              <w:start w:w="80" w:type="dxa"/>
              <w:bottom w:w="70" w:type="dxa"/>
              <w:end w:w="80" w:type="dxa"/>
            </w:tcMar>
            <w:vAlign w:val="top"/>
          </w:tcPr>
          <w:p>
            <w:r>
              <w:rPr>
                <w:rFonts w:ascii="Aptos" w:hAnsi="Aptos"/>
                <w:b w:val="0"/>
                <w:sz w:val="16"/>
              </w:rPr>
              <w:t>Model Owner</w:t>
            </w:r>
          </w:p>
        </w:tc>
      </w:tr>
    </w:tbl>
    <w:p/>
    <w:p>
      <w:r>
        <w:br w:type="page"/>
      </w:r>
    </w:p>
    <w:p>
      <w:pPr>
        <w:pStyle w:val="Heading1"/>
      </w:pPr>
      <w:r>
        <w:t>Appendix D — Breach Response Playbook</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3024"/>
            <w:shd w:fill="17365D"/>
            <w:tcMar>
              <w:top w:w="70" w:type="dxa"/>
              <w:start w:w="80" w:type="dxa"/>
              <w:bottom w:w="70" w:type="dxa"/>
              <w:end w:w="80" w:type="dxa"/>
            </w:tcMar>
          </w:tcPr>
          <w:p>
            <w:r>
              <w:rPr>
                <w:rFonts w:ascii="Aptos" w:hAnsi="Aptos"/>
                <w:b/>
                <w:color w:val="FFFFFF"/>
                <w:sz w:val="16"/>
              </w:rPr>
              <w:t>Breach Type</w:t>
            </w:r>
          </w:p>
        </w:tc>
        <w:tc>
          <w:tcPr>
            <w:tcW w:type="dxa" w:w="4608"/>
            <w:shd w:fill="17365D"/>
            <w:tcMar>
              <w:top w:w="70" w:type="dxa"/>
              <w:start w:w="80" w:type="dxa"/>
              <w:bottom w:w="70" w:type="dxa"/>
              <w:end w:w="80" w:type="dxa"/>
            </w:tcMar>
          </w:tcPr>
          <w:p>
            <w:r>
              <w:rPr>
                <w:rFonts w:ascii="Aptos" w:hAnsi="Aptos"/>
                <w:b/>
                <w:color w:val="FFFFFF"/>
                <w:sz w:val="16"/>
              </w:rPr>
              <w:t>Immediate Action</w:t>
            </w:r>
          </w:p>
        </w:tc>
        <w:tc>
          <w:tcPr>
            <w:tcW w:type="dxa" w:w="2304"/>
            <w:shd w:fill="17365D"/>
            <w:tcMar>
              <w:top w:w="70" w:type="dxa"/>
              <w:start w:w="80" w:type="dxa"/>
              <w:bottom w:w="70" w:type="dxa"/>
              <w:end w:w="80" w:type="dxa"/>
            </w:tcMar>
          </w:tcPr>
          <w:p>
            <w:r>
              <w:rPr>
                <w:rFonts w:ascii="Aptos" w:hAnsi="Aptos"/>
                <w:b/>
                <w:color w:val="FFFFFF"/>
                <w:sz w:val="16"/>
              </w:rPr>
              <w:t>First-Line Owner</w:t>
            </w:r>
          </w:p>
        </w:tc>
        <w:tc>
          <w:tcPr>
            <w:tcW w:type="dxa" w:w="2592"/>
            <w:shd w:fill="17365D"/>
            <w:tcMar>
              <w:top w:w="70" w:type="dxa"/>
              <w:start w:w="80" w:type="dxa"/>
              <w:bottom w:w="70" w:type="dxa"/>
              <w:end w:w="80" w:type="dxa"/>
            </w:tcMar>
          </w:tcPr>
          <w:p>
            <w:r>
              <w:rPr>
                <w:rFonts w:ascii="Aptos" w:hAnsi="Aptos"/>
                <w:b/>
                <w:color w:val="FFFFFF"/>
                <w:sz w:val="16"/>
              </w:rPr>
              <w:t>Escalation</w:t>
            </w:r>
          </w:p>
        </w:tc>
      </w:tr>
      <w:tr>
        <w:tc>
          <w:tcPr>
            <w:tcW w:type="dxa" w:w="3024"/>
            <w:tcMar>
              <w:top w:w="70" w:type="dxa"/>
              <w:start w:w="80" w:type="dxa"/>
              <w:bottom w:w="70" w:type="dxa"/>
              <w:end w:w="80" w:type="dxa"/>
            </w:tcMar>
            <w:vAlign w:val="top"/>
          </w:tcPr>
          <w:p>
            <w:r>
              <w:rPr>
                <w:rFonts w:ascii="Aptos" w:hAnsi="Aptos"/>
                <w:b w:val="0"/>
                <w:sz w:val="16"/>
              </w:rPr>
              <w:t>Credit appetite breach</w:t>
            </w:r>
          </w:p>
        </w:tc>
        <w:tc>
          <w:tcPr>
            <w:tcW w:type="dxa" w:w="4608"/>
            <w:tcMar>
              <w:top w:w="70" w:type="dxa"/>
              <w:start w:w="80" w:type="dxa"/>
              <w:bottom w:w="70" w:type="dxa"/>
              <w:end w:w="80" w:type="dxa"/>
            </w:tcMar>
            <w:vAlign w:val="top"/>
          </w:tcPr>
          <w:p>
            <w:r>
              <w:rPr>
                <w:rFonts w:ascii="Aptos" w:hAnsi="Aptos"/>
                <w:b w:val="0"/>
                <w:sz w:val="16"/>
              </w:rPr>
              <w:t>Freeze unnecessary discretionary expansions in affected segment; validate data; identify drivers</w:t>
            </w:r>
          </w:p>
        </w:tc>
        <w:tc>
          <w:tcPr>
            <w:tcW w:type="dxa" w:w="2304"/>
            <w:tcMar>
              <w:top w:w="70" w:type="dxa"/>
              <w:start w:w="80" w:type="dxa"/>
              <w:bottom w:w="70" w:type="dxa"/>
              <w:end w:w="80" w:type="dxa"/>
            </w:tcMar>
            <w:vAlign w:val="top"/>
          </w:tcPr>
          <w:p>
            <w:r>
              <w:rPr>
                <w:rFonts w:ascii="Aptos" w:hAnsi="Aptos"/>
                <w:b w:val="0"/>
                <w:sz w:val="16"/>
              </w:rPr>
              <w:t>Metric owner + Credit Risk</w:t>
            </w:r>
          </w:p>
        </w:tc>
        <w:tc>
          <w:tcPr>
            <w:tcW w:type="dxa" w:w="2592"/>
            <w:tcMar>
              <w:top w:w="70" w:type="dxa"/>
              <w:start w:w="80" w:type="dxa"/>
              <w:bottom w:w="70" w:type="dxa"/>
              <w:end w:w="80" w:type="dxa"/>
            </w:tcMar>
            <w:vAlign w:val="top"/>
          </w:tcPr>
          <w:p>
            <w:r>
              <w:rPr>
                <w:rFonts w:ascii="Aptos" w:hAnsi="Aptos"/>
                <w:b w:val="0"/>
                <w:sz w:val="16"/>
              </w:rPr>
              <w:t>CRO / Credit Risk Committee</w:t>
            </w:r>
          </w:p>
        </w:tc>
      </w:tr>
      <w:tr>
        <w:tc>
          <w:tcPr>
            <w:tcW w:type="dxa" w:w="3024"/>
            <w:tcMar>
              <w:top w:w="70" w:type="dxa"/>
              <w:start w:w="80" w:type="dxa"/>
              <w:bottom w:w="70" w:type="dxa"/>
              <w:end w:w="80" w:type="dxa"/>
            </w:tcMar>
            <w:vAlign w:val="top"/>
            <w:shd w:fill="F7FAFC"/>
          </w:tcPr>
          <w:p>
            <w:r>
              <w:rPr>
                <w:rFonts w:ascii="Aptos" w:hAnsi="Aptos"/>
                <w:b w:val="0"/>
                <w:sz w:val="16"/>
              </w:rPr>
              <w:t>Unauthorized credit authority</w:t>
            </w:r>
          </w:p>
        </w:tc>
        <w:tc>
          <w:tcPr>
            <w:tcW w:type="dxa" w:w="4608"/>
            <w:tcMar>
              <w:top w:w="70" w:type="dxa"/>
              <w:start w:w="80" w:type="dxa"/>
              <w:bottom w:w="70" w:type="dxa"/>
              <w:end w:w="80" w:type="dxa"/>
            </w:tcMar>
            <w:vAlign w:val="top"/>
            <w:shd w:fill="F7FAFC"/>
          </w:tcPr>
          <w:p>
            <w:r>
              <w:rPr>
                <w:rFonts w:ascii="Aptos" w:hAnsi="Aptos"/>
                <w:b w:val="0"/>
                <w:sz w:val="16"/>
              </w:rPr>
              <w:t>Stop/review affected transaction where possible; preserve audit trail; correct entitlement</w:t>
            </w:r>
          </w:p>
        </w:tc>
        <w:tc>
          <w:tcPr>
            <w:tcW w:type="dxa" w:w="2304"/>
            <w:tcMar>
              <w:top w:w="70" w:type="dxa"/>
              <w:start w:w="80" w:type="dxa"/>
              <w:bottom w:w="70" w:type="dxa"/>
              <w:end w:w="80" w:type="dxa"/>
            </w:tcMar>
            <w:vAlign w:val="top"/>
            <w:shd w:fill="F7FAFC"/>
          </w:tcPr>
          <w:p>
            <w:r>
              <w:rPr>
                <w:rFonts w:ascii="Aptos" w:hAnsi="Aptos"/>
                <w:b w:val="0"/>
                <w:sz w:val="16"/>
              </w:rPr>
              <w:t>Operations + Credit Governance</w:t>
            </w:r>
          </w:p>
        </w:tc>
        <w:tc>
          <w:tcPr>
            <w:tcW w:type="dxa" w:w="2592"/>
            <w:tcMar>
              <w:top w:w="70" w:type="dxa"/>
              <w:start w:w="80" w:type="dxa"/>
              <w:bottom w:w="70" w:type="dxa"/>
              <w:end w:w="80" w:type="dxa"/>
            </w:tcMar>
            <w:vAlign w:val="top"/>
            <w:shd w:fill="F7FAFC"/>
          </w:tcPr>
          <w:p>
            <w:r>
              <w:rPr>
                <w:rFonts w:ascii="Aptos" w:hAnsi="Aptos"/>
                <w:b w:val="0"/>
                <w:sz w:val="16"/>
              </w:rPr>
              <w:t>CRO / COO</w:t>
            </w:r>
          </w:p>
        </w:tc>
      </w:tr>
      <w:tr>
        <w:tc>
          <w:tcPr>
            <w:tcW w:type="dxa" w:w="3024"/>
            <w:tcMar>
              <w:top w:w="70" w:type="dxa"/>
              <w:start w:w="80" w:type="dxa"/>
              <w:bottom w:w="70" w:type="dxa"/>
              <w:end w:w="80" w:type="dxa"/>
            </w:tcMar>
            <w:vAlign w:val="top"/>
          </w:tcPr>
          <w:p>
            <w:r>
              <w:rPr>
                <w:rFonts w:ascii="Aptos" w:hAnsi="Aptos"/>
                <w:b w:val="0"/>
                <w:sz w:val="16"/>
              </w:rPr>
              <w:t>KYC overdue breach</w:t>
            </w:r>
          </w:p>
        </w:tc>
        <w:tc>
          <w:tcPr>
            <w:tcW w:type="dxa" w:w="4608"/>
            <w:tcMar>
              <w:top w:w="70" w:type="dxa"/>
              <w:start w:w="80" w:type="dxa"/>
              <w:bottom w:w="70" w:type="dxa"/>
              <w:end w:w="80" w:type="dxa"/>
            </w:tcMar>
            <w:vAlign w:val="top"/>
          </w:tcPr>
          <w:p>
            <w:r>
              <w:rPr>
                <w:rFonts w:ascii="Aptos" w:hAnsi="Aptos"/>
                <w:b w:val="0"/>
                <w:sz w:val="16"/>
              </w:rPr>
              <w:t>Prioritize High-risk backlog; capacity/root cause plan; risk-based restrictions for materially stale cases</w:t>
            </w:r>
          </w:p>
        </w:tc>
        <w:tc>
          <w:tcPr>
            <w:tcW w:type="dxa" w:w="2304"/>
            <w:tcMar>
              <w:top w:w="70" w:type="dxa"/>
              <w:start w:w="80" w:type="dxa"/>
              <w:bottom w:w="70" w:type="dxa"/>
              <w:end w:w="80" w:type="dxa"/>
            </w:tcMar>
            <w:vAlign w:val="top"/>
          </w:tcPr>
          <w:p>
            <w:r>
              <w:rPr>
                <w:rFonts w:ascii="Aptos" w:hAnsi="Aptos"/>
                <w:b w:val="0"/>
                <w:sz w:val="16"/>
              </w:rPr>
              <w:t>KYC Operations</w:t>
            </w:r>
          </w:p>
        </w:tc>
        <w:tc>
          <w:tcPr>
            <w:tcW w:type="dxa" w:w="2592"/>
            <w:tcMar>
              <w:top w:w="70" w:type="dxa"/>
              <w:start w:w="80" w:type="dxa"/>
              <w:bottom w:w="70" w:type="dxa"/>
              <w:end w:w="80" w:type="dxa"/>
            </w:tcMar>
            <w:vAlign w:val="top"/>
          </w:tcPr>
          <w:p>
            <w:r>
              <w:rPr>
                <w:rFonts w:ascii="Aptos" w:hAnsi="Aptos"/>
                <w:b w:val="0"/>
                <w:sz w:val="16"/>
              </w:rPr>
              <w:t>Chief Compliance Officer / AML committee</w:t>
            </w:r>
          </w:p>
        </w:tc>
      </w:tr>
      <w:tr>
        <w:tc>
          <w:tcPr>
            <w:tcW w:type="dxa" w:w="3024"/>
            <w:tcMar>
              <w:top w:w="70" w:type="dxa"/>
              <w:start w:w="80" w:type="dxa"/>
              <w:bottom w:w="70" w:type="dxa"/>
              <w:end w:w="80" w:type="dxa"/>
            </w:tcMar>
            <w:vAlign w:val="top"/>
            <w:shd w:fill="F7FAFC"/>
          </w:tcPr>
          <w:p>
            <w:r>
              <w:rPr>
                <w:rFonts w:ascii="Aptos" w:hAnsi="Aptos"/>
                <w:b w:val="0"/>
                <w:sz w:val="16"/>
              </w:rPr>
              <w:t>AML alert ageing breach</w:t>
            </w:r>
          </w:p>
        </w:tc>
        <w:tc>
          <w:tcPr>
            <w:tcW w:type="dxa" w:w="4608"/>
            <w:tcMar>
              <w:top w:w="70" w:type="dxa"/>
              <w:start w:w="80" w:type="dxa"/>
              <w:bottom w:w="70" w:type="dxa"/>
              <w:end w:w="80" w:type="dxa"/>
            </w:tcMar>
            <w:vAlign w:val="top"/>
            <w:shd w:fill="F7FAFC"/>
          </w:tcPr>
          <w:p>
            <w:r>
              <w:rPr>
                <w:rFonts w:ascii="Aptos" w:hAnsi="Aptos"/>
                <w:b w:val="0"/>
                <w:sz w:val="16"/>
              </w:rPr>
              <w:t>Triage oldest/highest-risk cases; control QA dilution; approved temporary staffing/queue plan</w:t>
            </w:r>
          </w:p>
        </w:tc>
        <w:tc>
          <w:tcPr>
            <w:tcW w:type="dxa" w:w="2304"/>
            <w:tcMar>
              <w:top w:w="70" w:type="dxa"/>
              <w:start w:w="80" w:type="dxa"/>
              <w:bottom w:w="70" w:type="dxa"/>
              <w:end w:w="80" w:type="dxa"/>
            </w:tcMar>
            <w:vAlign w:val="top"/>
            <w:shd w:fill="F7FAFC"/>
          </w:tcPr>
          <w:p>
            <w:r>
              <w:rPr>
                <w:rFonts w:ascii="Aptos" w:hAnsi="Aptos"/>
                <w:b w:val="0"/>
                <w:sz w:val="16"/>
              </w:rPr>
              <w:t>AML Monitoring</w:t>
            </w:r>
          </w:p>
        </w:tc>
        <w:tc>
          <w:tcPr>
            <w:tcW w:type="dxa" w:w="2592"/>
            <w:tcMar>
              <w:top w:w="70" w:type="dxa"/>
              <w:start w:w="80" w:type="dxa"/>
              <w:bottom w:w="70" w:type="dxa"/>
              <w:end w:w="80" w:type="dxa"/>
            </w:tcMar>
            <w:vAlign w:val="top"/>
            <w:shd w:fill="F7FAFC"/>
          </w:tcPr>
          <w:p>
            <w:r>
              <w:rPr>
                <w:rFonts w:ascii="Aptos" w:hAnsi="Aptos"/>
                <w:b w:val="0"/>
                <w:sz w:val="16"/>
              </w:rPr>
              <w:t>Chief AML Officer</w:t>
            </w:r>
          </w:p>
        </w:tc>
      </w:tr>
      <w:tr>
        <w:tc>
          <w:tcPr>
            <w:tcW w:type="dxa" w:w="3024"/>
            <w:tcMar>
              <w:top w:w="70" w:type="dxa"/>
              <w:start w:w="80" w:type="dxa"/>
              <w:bottom w:w="70" w:type="dxa"/>
              <w:end w:w="80" w:type="dxa"/>
            </w:tcMar>
            <w:vAlign w:val="top"/>
          </w:tcPr>
          <w:p>
            <w:r>
              <w:rPr>
                <w:rFonts w:ascii="Aptos" w:hAnsi="Aptos"/>
                <w:b w:val="0"/>
                <w:sz w:val="16"/>
              </w:rPr>
              <w:t>Sanctions zero-tolerance event</w:t>
            </w:r>
          </w:p>
        </w:tc>
        <w:tc>
          <w:tcPr>
            <w:tcW w:type="dxa" w:w="4608"/>
            <w:tcMar>
              <w:top w:w="70" w:type="dxa"/>
              <w:start w:w="80" w:type="dxa"/>
              <w:bottom w:w="70" w:type="dxa"/>
              <w:end w:w="80" w:type="dxa"/>
            </w:tcMar>
            <w:vAlign w:val="top"/>
          </w:tcPr>
          <w:p>
            <w:r>
              <w:rPr>
                <w:rFonts w:ascii="Aptos" w:hAnsi="Aptos"/>
                <w:b w:val="0"/>
                <w:sz w:val="16"/>
              </w:rPr>
              <w:t>Restrict immediately; specialist disposition; no business override</w:t>
            </w:r>
          </w:p>
        </w:tc>
        <w:tc>
          <w:tcPr>
            <w:tcW w:type="dxa" w:w="2304"/>
            <w:tcMar>
              <w:top w:w="70" w:type="dxa"/>
              <w:start w:w="80" w:type="dxa"/>
              <w:bottom w:w="70" w:type="dxa"/>
              <w:end w:w="80" w:type="dxa"/>
            </w:tcMar>
            <w:vAlign w:val="top"/>
          </w:tcPr>
          <w:p>
            <w:r>
              <w:rPr>
                <w:rFonts w:ascii="Aptos" w:hAnsi="Aptos"/>
                <w:b w:val="0"/>
                <w:sz w:val="16"/>
              </w:rPr>
              <w:t>AML Compliance</w:t>
            </w:r>
          </w:p>
        </w:tc>
        <w:tc>
          <w:tcPr>
            <w:tcW w:type="dxa" w:w="2592"/>
            <w:tcMar>
              <w:top w:w="70" w:type="dxa"/>
              <w:start w:w="80" w:type="dxa"/>
              <w:bottom w:w="70" w:type="dxa"/>
              <w:end w:w="80" w:type="dxa"/>
            </w:tcMar>
            <w:vAlign w:val="top"/>
          </w:tcPr>
          <w:p>
            <w:r>
              <w:rPr>
                <w:rFonts w:ascii="Aptos" w:hAnsi="Aptos"/>
                <w:b w:val="0"/>
                <w:sz w:val="16"/>
              </w:rPr>
              <w:t>Chief AML Officer / Legal as appropriate</w:t>
            </w:r>
          </w:p>
        </w:tc>
      </w:tr>
      <w:tr>
        <w:tc>
          <w:tcPr>
            <w:tcW w:type="dxa" w:w="3024"/>
            <w:tcMar>
              <w:top w:w="70" w:type="dxa"/>
              <w:start w:w="80" w:type="dxa"/>
              <w:bottom w:w="70" w:type="dxa"/>
              <w:end w:w="80" w:type="dxa"/>
            </w:tcMar>
            <w:vAlign w:val="top"/>
            <w:shd w:fill="F7FAFC"/>
          </w:tcPr>
          <w:p>
            <w:r>
              <w:rPr>
                <w:rFonts w:ascii="Aptos" w:hAnsi="Aptos"/>
                <w:b w:val="0"/>
                <w:sz w:val="16"/>
              </w:rPr>
              <w:t>Operational loss/incident breach</w:t>
            </w:r>
          </w:p>
        </w:tc>
        <w:tc>
          <w:tcPr>
            <w:tcW w:type="dxa" w:w="4608"/>
            <w:tcMar>
              <w:top w:w="70" w:type="dxa"/>
              <w:start w:w="80" w:type="dxa"/>
              <w:bottom w:w="70" w:type="dxa"/>
              <w:end w:w="80" w:type="dxa"/>
            </w:tcMar>
            <w:vAlign w:val="top"/>
            <w:shd w:fill="F7FAFC"/>
          </w:tcPr>
          <w:p>
            <w:r>
              <w:rPr>
                <w:rFonts w:ascii="Aptos" w:hAnsi="Aptos"/>
                <w:b w:val="0"/>
                <w:sz w:val="16"/>
              </w:rPr>
              <w:t>Contain event; root-cause and customer impact; compensating controls</w:t>
            </w:r>
          </w:p>
        </w:tc>
        <w:tc>
          <w:tcPr>
            <w:tcW w:type="dxa" w:w="2304"/>
            <w:tcMar>
              <w:top w:w="70" w:type="dxa"/>
              <w:start w:w="80" w:type="dxa"/>
              <w:bottom w:w="70" w:type="dxa"/>
              <w:end w:w="80" w:type="dxa"/>
            </w:tcMar>
            <w:vAlign w:val="top"/>
            <w:shd w:fill="F7FAFC"/>
          </w:tcPr>
          <w:p>
            <w:r>
              <w:rPr>
                <w:rFonts w:ascii="Aptos" w:hAnsi="Aptos"/>
                <w:b w:val="0"/>
                <w:sz w:val="16"/>
              </w:rPr>
              <w:t>Operational Risk + Business</w:t>
            </w:r>
          </w:p>
        </w:tc>
        <w:tc>
          <w:tcPr>
            <w:tcW w:type="dxa" w:w="2592"/>
            <w:tcMar>
              <w:top w:w="70" w:type="dxa"/>
              <w:start w:w="80" w:type="dxa"/>
              <w:bottom w:w="70" w:type="dxa"/>
              <w:end w:w="80" w:type="dxa"/>
            </w:tcMar>
            <w:vAlign w:val="top"/>
            <w:shd w:fill="F7FAFC"/>
          </w:tcPr>
          <w:p>
            <w:r>
              <w:rPr>
                <w:rFonts w:ascii="Aptos" w:hAnsi="Aptos"/>
                <w:b w:val="0"/>
                <w:sz w:val="16"/>
              </w:rPr>
              <w:t>COO / CRO</w:t>
            </w:r>
          </w:p>
        </w:tc>
      </w:tr>
      <w:tr>
        <w:tc>
          <w:tcPr>
            <w:tcW w:type="dxa" w:w="3024"/>
            <w:tcMar>
              <w:top w:w="70" w:type="dxa"/>
              <w:start w:w="80" w:type="dxa"/>
              <w:bottom w:w="70" w:type="dxa"/>
              <w:end w:w="80" w:type="dxa"/>
            </w:tcMar>
            <w:vAlign w:val="top"/>
          </w:tcPr>
          <w:p>
            <w:r>
              <w:rPr>
                <w:rFonts w:ascii="Aptos" w:hAnsi="Aptos"/>
                <w:b w:val="0"/>
                <w:sz w:val="16"/>
              </w:rPr>
              <w:t>Liquidity breach</w:t>
            </w:r>
          </w:p>
        </w:tc>
        <w:tc>
          <w:tcPr>
            <w:tcW w:type="dxa" w:w="4608"/>
            <w:tcMar>
              <w:top w:w="70" w:type="dxa"/>
              <w:start w:w="80" w:type="dxa"/>
              <w:bottom w:w="70" w:type="dxa"/>
              <w:end w:w="80" w:type="dxa"/>
            </w:tcMar>
            <w:vAlign w:val="top"/>
          </w:tcPr>
          <w:p>
            <w:r>
              <w:rPr>
                <w:rFonts w:ascii="Aptos" w:hAnsi="Aptos"/>
                <w:b w:val="0"/>
                <w:sz w:val="16"/>
              </w:rPr>
              <w:t>Activate contingency actions and enhanced monitoring; limit new liquidity-consuming activity as directed</w:t>
            </w:r>
          </w:p>
        </w:tc>
        <w:tc>
          <w:tcPr>
            <w:tcW w:type="dxa" w:w="2304"/>
            <w:tcMar>
              <w:top w:w="70" w:type="dxa"/>
              <w:start w:w="80" w:type="dxa"/>
              <w:bottom w:w="70" w:type="dxa"/>
              <w:end w:w="80" w:type="dxa"/>
            </w:tcMar>
            <w:vAlign w:val="top"/>
          </w:tcPr>
          <w:p>
            <w:r>
              <w:rPr>
                <w:rFonts w:ascii="Aptos" w:hAnsi="Aptos"/>
                <w:b w:val="0"/>
                <w:sz w:val="16"/>
              </w:rPr>
              <w:t>Treasury</w:t>
            </w:r>
          </w:p>
        </w:tc>
        <w:tc>
          <w:tcPr>
            <w:tcW w:type="dxa" w:w="2592"/>
            <w:tcMar>
              <w:top w:w="70" w:type="dxa"/>
              <w:start w:w="80" w:type="dxa"/>
              <w:bottom w:w="70" w:type="dxa"/>
              <w:end w:w="80" w:type="dxa"/>
            </w:tcMar>
            <w:vAlign w:val="top"/>
          </w:tcPr>
          <w:p>
            <w:r>
              <w:rPr>
                <w:rFonts w:ascii="Aptos" w:hAnsi="Aptos"/>
                <w:b w:val="0"/>
                <w:sz w:val="16"/>
              </w:rPr>
              <w:t>CFO/CEO/CRO</w:t>
            </w:r>
          </w:p>
        </w:tc>
      </w:tr>
      <w:tr>
        <w:tc>
          <w:tcPr>
            <w:tcW w:type="dxa" w:w="3024"/>
            <w:tcMar>
              <w:top w:w="70" w:type="dxa"/>
              <w:start w:w="80" w:type="dxa"/>
              <w:bottom w:w="70" w:type="dxa"/>
              <w:end w:w="80" w:type="dxa"/>
            </w:tcMar>
            <w:vAlign w:val="top"/>
            <w:shd w:fill="F7FAFC"/>
          </w:tcPr>
          <w:p>
            <w:r>
              <w:rPr>
                <w:rFonts w:ascii="Aptos" w:hAnsi="Aptos"/>
                <w:b w:val="0"/>
                <w:sz w:val="16"/>
              </w:rPr>
              <w:t>Cyber zero-tolerance event</w:t>
            </w:r>
          </w:p>
        </w:tc>
        <w:tc>
          <w:tcPr>
            <w:tcW w:type="dxa" w:w="4608"/>
            <w:tcMar>
              <w:top w:w="70" w:type="dxa"/>
              <w:start w:w="80" w:type="dxa"/>
              <w:bottom w:w="70" w:type="dxa"/>
              <w:end w:w="80" w:type="dxa"/>
            </w:tcMar>
            <w:vAlign w:val="top"/>
            <w:shd w:fill="F7FAFC"/>
          </w:tcPr>
          <w:p>
            <w:r>
              <w:rPr>
                <w:rFonts w:ascii="Aptos" w:hAnsi="Aptos"/>
                <w:b w:val="0"/>
                <w:sz w:val="16"/>
              </w:rPr>
              <w:t>Contain access/data exposure; incident command; preserve evidence</w:t>
            </w:r>
          </w:p>
        </w:tc>
        <w:tc>
          <w:tcPr>
            <w:tcW w:type="dxa" w:w="2304"/>
            <w:tcMar>
              <w:top w:w="70" w:type="dxa"/>
              <w:start w:w="80" w:type="dxa"/>
              <w:bottom w:w="70" w:type="dxa"/>
              <w:end w:w="80" w:type="dxa"/>
            </w:tcMar>
            <w:vAlign w:val="top"/>
            <w:shd w:fill="F7FAFC"/>
          </w:tcPr>
          <w:p>
            <w:r>
              <w:rPr>
                <w:rFonts w:ascii="Aptos" w:hAnsi="Aptos"/>
                <w:b w:val="0"/>
                <w:sz w:val="16"/>
              </w:rPr>
              <w:t>Information Security</w:t>
            </w:r>
          </w:p>
        </w:tc>
        <w:tc>
          <w:tcPr>
            <w:tcW w:type="dxa" w:w="2592"/>
            <w:tcMar>
              <w:top w:w="70" w:type="dxa"/>
              <w:start w:w="80" w:type="dxa"/>
              <w:bottom w:w="70" w:type="dxa"/>
              <w:end w:w="80" w:type="dxa"/>
            </w:tcMar>
            <w:vAlign w:val="top"/>
            <w:shd w:fill="F7FAFC"/>
          </w:tcPr>
          <w:p>
            <w:r>
              <w:rPr>
                <w:rFonts w:ascii="Aptos" w:hAnsi="Aptos"/>
                <w:b w:val="0"/>
                <w:sz w:val="16"/>
              </w:rPr>
              <w:t>CISO / COO / CRO</w:t>
            </w:r>
          </w:p>
        </w:tc>
      </w:tr>
      <w:tr>
        <w:tc>
          <w:tcPr>
            <w:tcW w:type="dxa" w:w="3024"/>
            <w:tcMar>
              <w:top w:w="70" w:type="dxa"/>
              <w:start w:w="80" w:type="dxa"/>
              <w:bottom w:w="70" w:type="dxa"/>
              <w:end w:w="80" w:type="dxa"/>
            </w:tcMar>
            <w:vAlign w:val="top"/>
          </w:tcPr>
          <w:p>
            <w:r>
              <w:rPr>
                <w:rFonts w:ascii="Aptos" w:hAnsi="Aptos"/>
                <w:b w:val="0"/>
                <w:sz w:val="16"/>
              </w:rPr>
              <w:t>Model risk breach</w:t>
            </w:r>
          </w:p>
        </w:tc>
        <w:tc>
          <w:tcPr>
            <w:tcW w:type="dxa" w:w="4608"/>
            <w:tcMar>
              <w:top w:w="70" w:type="dxa"/>
              <w:start w:w="80" w:type="dxa"/>
              <w:bottom w:w="70" w:type="dxa"/>
              <w:end w:w="80" w:type="dxa"/>
            </w:tcMar>
            <w:vAlign w:val="top"/>
          </w:tcPr>
          <w:p>
            <w:r>
              <w:rPr>
                <w:rFonts w:ascii="Aptos" w:hAnsi="Aptos"/>
                <w:b w:val="0"/>
                <w:sz w:val="16"/>
              </w:rPr>
              <w:t>Contain model use where material; impact assessment and alternate decision route</w:t>
            </w:r>
          </w:p>
        </w:tc>
        <w:tc>
          <w:tcPr>
            <w:tcW w:type="dxa" w:w="2304"/>
            <w:tcMar>
              <w:top w:w="70" w:type="dxa"/>
              <w:start w:w="80" w:type="dxa"/>
              <w:bottom w:w="70" w:type="dxa"/>
              <w:end w:w="80" w:type="dxa"/>
            </w:tcMar>
            <w:vAlign w:val="top"/>
          </w:tcPr>
          <w:p>
            <w:r>
              <w:rPr>
                <w:rFonts w:ascii="Aptos" w:hAnsi="Aptos"/>
                <w:b w:val="0"/>
                <w:sz w:val="16"/>
              </w:rPr>
              <w:t>Model Owner + Risk</w:t>
            </w:r>
          </w:p>
        </w:tc>
        <w:tc>
          <w:tcPr>
            <w:tcW w:type="dxa" w:w="2592"/>
            <w:tcMar>
              <w:top w:w="70" w:type="dxa"/>
              <w:start w:w="80" w:type="dxa"/>
              <w:bottom w:w="70" w:type="dxa"/>
              <w:end w:w="80" w:type="dxa"/>
            </w:tcMar>
            <w:vAlign w:val="top"/>
          </w:tcPr>
          <w:p>
            <w:r>
              <w:rPr>
                <w:rFonts w:ascii="Aptos" w:hAnsi="Aptos"/>
                <w:b w:val="0"/>
                <w:sz w:val="16"/>
              </w:rPr>
              <w:t>CRO / specialist committee</w:t>
            </w:r>
          </w:p>
        </w:tc>
      </w:tr>
    </w:tbl>
    <w:p/>
    <w:p>
      <w:r>
        <w:br w:type="page"/>
      </w:r>
    </w:p>
    <w:p>
      <w:pPr>
        <w:pStyle w:val="Heading1"/>
      </w:pPr>
      <w:r>
        <w:t>Appendix E — Historical and Transitional Interpretation Notes</w:t>
      </w:r>
    </w:p>
    <w:p>
      <w:pPr>
        <w:pStyle w:val="ControlBullet"/>
      </w:pPr>
      <w:r>
        <w:rPr>
          <w:b/>
        </w:rPr>
        <w:t xml:space="preserve">• </w:t>
      </w:r>
      <w:r>
        <w:t>CRP-001 v1.2 permitted a 50% personal-loan DTI standard for the controlled transition population submitted before 1 April 2025 and finally approved by 31 May 2025. Those valid historical cases are not reclassified as RAS-009 breaches solely because the current standard is 45%.</w:t>
      </w:r>
    </w:p>
    <w:p>
      <w:pPr>
        <w:pStyle w:val="ControlBullet"/>
      </w:pPr>
      <w:r>
        <w:rPr>
          <w:b/>
        </w:rPr>
        <w:t xml:space="preserve">• </w:t>
      </w:r>
      <w:r>
        <w:t>CDAS-007 v2.1 became effective 1 May 2025. Decisions retain the delegated-authority version in force at decision time; stale system access does not create authority.</w:t>
      </w:r>
    </w:p>
    <w:p>
      <w:pPr>
        <w:pStyle w:val="ControlBullet"/>
      </w:pPr>
      <w:r>
        <w:rPr>
          <w:b/>
        </w:rPr>
        <w:t xml:space="preserve">• </w:t>
      </w:r>
      <w:r>
        <w:t>KYC-004 v2.1 and COP-021 v1.2 have different July 2025 effective dates. Customer-ID creation during the transition is not equivalent to unrestricted activation.</w:t>
      </w:r>
    </w:p>
    <w:p>
      <w:pPr>
        <w:pStyle w:val="ControlBullet"/>
      </w:pPr>
      <w:r>
        <w:rPr>
          <w:b/>
        </w:rPr>
        <w:t xml:space="preserve">• </w:t>
      </w:r>
      <w:r>
        <w:t>AML-003 v2.2 became effective 1 September 2025 and ATM-031 v1.3 on 15 September 2025. Historical alerts retain generation-time scenario thresholds unless formally back-tested.</w:t>
      </w:r>
    </w:p>
    <w:p>
      <w:pPr>
        <w:pStyle w:val="ControlBullet"/>
      </w:pPr>
      <w:r>
        <w:rPr>
          <w:b/>
        </w:rPr>
        <w:t xml:space="preserve">• </w:t>
      </w:r>
      <w:r>
        <w:t>CRR-033 v1.0 formalizes the AML customer-risk methodology from 1 November 2025. Interim ratings under AML-003 v2.2 remain historical records and are migrated at trigger/periodic review rather than silently overwritten.</w:t>
      </w:r>
    </w:p>
    <w:p>
      <w:pPr>
        <w:pStyle w:val="ControlBullet"/>
      </w:pPr>
      <w:r>
        <w:rPr>
          <w:b/>
        </w:rPr>
        <w:t xml:space="preserve">• </w:t>
      </w:r>
      <w:r>
        <w:t>Investment, compliance and information-security operating limits created in later batches may be more restrictive than RAS-009. Such limits apply within their scope without being treated as contradictions.</w:t>
      </w:r>
    </w:p>
    <w:p>
      <w:pPr>
        <w:jc w:val="center"/>
      </w:pPr>
      <w:r>
        <w:rPr>
          <w:rFonts w:ascii="Aptos" w:hAnsi="Aptos"/>
          <w:b/>
          <w:color w:val="666666"/>
          <w:sz w:val="16"/>
        </w:rPr>
        <w:t>END OF CONTROLLED DOCUMENT</w:t>
      </w:r>
    </w:p>
    <w:sectPr w:rsidR="00FC693F" w:rsidRPr="0006063C" w:rsidSect="00034616">
      <w:headerReference w:type="default" r:id="rId9"/>
      <w:footerReference w:type="default" r:id="rId10"/>
      <w:pgSz w:w="12240" w:h="15840"/>
      <w:pgMar w:top="792" w:right="936" w:bottom="835"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456"/>
      <w:gridCol w:w="3456"/>
      <w:gridCol w:w="3456"/>
    </w:tblGrid>
    <w:tr>
      <w:tc>
        <w:tcPr>
          <w:tcW w:type="dxa" w:w="3312"/>
          <w:tcMar>
            <w:top w:w="20" w:type="dxa"/>
            <w:start w:w="20" w:type="dxa"/>
            <w:bottom w:w="20" w:type="dxa"/>
            <w:end w:w="20" w:type="dxa"/>
          </w:tcMar>
        </w:tcPr>
        <w:p>
          <w:r>
            <w:rPr>
              <w:rFonts w:ascii="Aptos" w:hAnsi="Aptos"/>
              <w:color w:val="666666"/>
              <w:sz w:val="14"/>
            </w:rPr>
            <w:t>RAS-009 | v1.5</w:t>
          </w:r>
        </w:p>
      </w:tc>
      <w:tc>
        <w:tcPr>
          <w:tcW w:type="dxa" w:w="4032"/>
          <w:tcMar>
            <w:top w:w="20" w:type="dxa"/>
            <w:start w:w="20" w:type="dxa"/>
            <w:bottom w:w="20" w:type="dxa"/>
            <w:end w:w="20" w:type="dxa"/>
          </w:tcMar>
        </w:tcPr>
        <w:p>
          <w:pPr>
            <w:jc w:val="center"/>
          </w:pPr>
          <w:r>
            <w:rPr>
              <w:rFonts w:ascii="Aptos" w:hAnsi="Aptos"/>
              <w:color w:val="666666"/>
              <w:sz w:val="14"/>
            </w:rPr>
            <w:t>Synthetic Internal Document</w:t>
          </w:r>
        </w:p>
      </w:tc>
      <w:tc>
        <w:tcPr>
          <w:tcW w:type="dxa" w:w="3024"/>
          <w:tcMar>
            <w:top w:w="20" w:type="dxa"/>
            <w:start w:w="20" w:type="dxa"/>
            <w:bottom w:w="20" w:type="dxa"/>
            <w:end w:w="20" w:type="dxa"/>
          </w:tcMar>
        </w:tcPr>
        <w:p>
          <w:pPr>
            <w:jc w:val="right"/>
          </w:pPr>
          <w:r>
            <w:rPr>
              <w:rFonts w:ascii="Aptos" w:hAnsi="Aptos"/>
              <w:color w:val="666666"/>
              <w:sz w:val="14"/>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5"/>
      </w:rPr>
      <w:t>NORTHSTAR FINANCIAL  |  INTERNAL —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6666"/>
      <w:sz w:val="16"/>
    </w:rPr>
  </w:style>
  <w:style w:type="paragraph" w:customStyle="1" w:styleId="ControlBullet">
    <w:name w:val="Control Bullet"/>
    <w:pPr>
      <w:spacing w:after="44"/>
      <w:ind w:left="259" w:hanging="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