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w:hAnsi="Aptos"/>
          <w:b/>
          <w:color w:val="17365D"/>
          <w:sz w:val="30"/>
        </w:rPr>
        <w:t>NORTHSTAR FINANCIAL</w:t>
      </w:r>
    </w:p>
    <w:p>
      <w:pPr>
        <w:spacing w:before="440"/>
        <w:jc w:val="center"/>
      </w:pPr>
      <w:r>
        <w:rPr>
          <w:rFonts w:ascii="Aptos" w:hAnsi="Aptos"/>
          <w:b/>
          <w:color w:val="17365D"/>
          <w:sz w:val="48"/>
        </w:rPr>
        <w:t>Risk Management Framework</w:t>
      </w:r>
    </w:p>
    <w:p>
      <w:pPr>
        <w:spacing w:before="160"/>
        <w:jc w:val="center"/>
      </w:pPr>
      <w:r>
        <w:rPr>
          <w:rFonts w:ascii="Aptos" w:hAnsi="Aptos"/>
          <w:b/>
          <w:color w:val="365F91"/>
          <w:sz w:val="26"/>
        </w:rPr>
        <w:t>RMF-008</w:t>
      </w:r>
    </w:p>
    <w:p>
      <w:pPr>
        <w:jc w:val="center"/>
      </w:pPr>
      <w:r>
        <w:rPr>
          <w:rFonts w:ascii="Aptos" w:hAnsi="Aptos"/>
          <w:color w:val="666666"/>
          <w:sz w:val="21"/>
        </w:rPr>
        <w:t>Version 2.0  |  Effective 1 December 2025</w:t>
      </w:r>
    </w:p>
    <w:p>
      <w:pPr>
        <w:jc w:val="center"/>
      </w:pPr>
      <w:r>
        <w:rPr>
          <w:rFonts w:ascii="Aptos" w:hAnsi="Aptos"/>
          <w:b/>
          <w:color w:val="666666"/>
          <w:sz w:val="18"/>
        </w:rPr>
        <w:t>Classification: INTERNAL — CONTROLLED</w:t>
      </w:r>
    </w:p>
    <w:p/>
    <w:p>
      <w:pPr>
        <w:ind w:left="504" w:right="504"/>
        <w:jc w:val="center"/>
      </w:pPr>
      <w:r>
        <w:rPr>
          <w:rFonts w:ascii="Aptos" w:hAnsi="Aptos"/>
          <w:i/>
          <w:color w:val="666666"/>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448"/>
            <w:shd w:fill="17365D"/>
            <w:vAlign w:val="center"/>
            <w:tcMar>
              <w:top w:w="80" w:type="dxa"/>
              <w:start w:w="90" w:type="dxa"/>
              <w:bottom w:w="80" w:type="dxa"/>
              <w:end w:w="90" w:type="dxa"/>
            </w:tcMar>
          </w:tcPr>
          <w:p>
            <w:r>
              <w:rPr>
                <w:rFonts w:ascii="Aptos" w:hAnsi="Aptos"/>
                <w:b/>
                <w:color w:val="FFFFFF"/>
                <w:sz w:val="17"/>
              </w:rPr>
              <w:t>Field</w:t>
            </w:r>
          </w:p>
        </w:tc>
        <w:tc>
          <w:tcPr>
            <w:tcW w:type="dxa" w:w="7920"/>
            <w:shd w:fill="17365D"/>
            <w:vAlign w:val="center"/>
            <w:tcMar>
              <w:top w:w="80" w:type="dxa"/>
              <w:start w:w="90" w:type="dxa"/>
              <w:bottom w:w="80" w:type="dxa"/>
              <w:end w:w="90" w:type="dxa"/>
            </w:tcMar>
          </w:tcPr>
          <w:p>
            <w:r>
              <w:rPr>
                <w:rFonts w:ascii="Aptos" w:hAnsi="Aptos"/>
                <w:b/>
                <w:color w:val="FFFFFF"/>
                <w:sz w:val="17"/>
              </w:rPr>
              <w:t>Controlled Value</w:t>
            </w:r>
          </w:p>
        </w:tc>
      </w:tr>
      <w:tr>
        <w:tc>
          <w:tcPr>
            <w:tcW w:type="dxa" w:w="2448"/>
            <w:tcMar>
              <w:top w:w="80" w:type="dxa"/>
              <w:start w:w="90" w:type="dxa"/>
              <w:bottom w:w="80" w:type="dxa"/>
              <w:end w:w="90" w:type="dxa"/>
            </w:tcMar>
            <w:vAlign w:val="top"/>
          </w:tcPr>
          <w:p>
            <w:r>
              <w:rPr>
                <w:rFonts w:ascii="Aptos" w:hAnsi="Aptos"/>
                <w:b/>
                <w:sz w:val="17"/>
              </w:rPr>
              <w:t>Document ID</w:t>
            </w:r>
          </w:p>
        </w:tc>
        <w:tc>
          <w:tcPr>
            <w:tcW w:type="dxa" w:w="7920"/>
            <w:tcMar>
              <w:top w:w="80" w:type="dxa"/>
              <w:start w:w="90" w:type="dxa"/>
              <w:bottom w:w="80" w:type="dxa"/>
              <w:end w:w="90" w:type="dxa"/>
            </w:tcMar>
            <w:vAlign w:val="top"/>
          </w:tcPr>
          <w:p>
            <w:r>
              <w:rPr>
                <w:rFonts w:ascii="Aptos" w:hAnsi="Aptos"/>
                <w:b w:val="0"/>
                <w:sz w:val="17"/>
              </w:rPr>
              <w:t>RMF-008</w:t>
            </w:r>
          </w:p>
        </w:tc>
      </w:tr>
      <w:tr>
        <w:tc>
          <w:tcPr>
            <w:tcW w:type="dxa" w:w="2448"/>
            <w:tcMar>
              <w:top w:w="80" w:type="dxa"/>
              <w:start w:w="90" w:type="dxa"/>
              <w:bottom w:w="80" w:type="dxa"/>
              <w:end w:w="90" w:type="dxa"/>
            </w:tcMar>
            <w:vAlign w:val="top"/>
            <w:shd w:fill="F7FAFC"/>
          </w:tcPr>
          <w:p>
            <w:r>
              <w:rPr>
                <w:rFonts w:ascii="Aptos" w:hAnsi="Aptos"/>
                <w:b/>
                <w:sz w:val="17"/>
              </w:rPr>
              <w:t>Document Title</w:t>
            </w:r>
          </w:p>
        </w:tc>
        <w:tc>
          <w:tcPr>
            <w:tcW w:type="dxa" w:w="7920"/>
            <w:tcMar>
              <w:top w:w="80" w:type="dxa"/>
              <w:start w:w="90" w:type="dxa"/>
              <w:bottom w:w="80" w:type="dxa"/>
              <w:end w:w="90" w:type="dxa"/>
            </w:tcMar>
            <w:vAlign w:val="top"/>
            <w:shd w:fill="F7FAFC"/>
          </w:tcPr>
          <w:p>
            <w:r>
              <w:rPr>
                <w:rFonts w:ascii="Aptos" w:hAnsi="Aptos"/>
                <w:b w:val="0"/>
                <w:sz w:val="17"/>
              </w:rPr>
              <w:t>Risk Management Framework</w:t>
            </w:r>
          </w:p>
        </w:tc>
      </w:tr>
      <w:tr>
        <w:tc>
          <w:tcPr>
            <w:tcW w:type="dxa" w:w="2448"/>
            <w:tcMar>
              <w:top w:w="80" w:type="dxa"/>
              <w:start w:w="90" w:type="dxa"/>
              <w:bottom w:w="80" w:type="dxa"/>
              <w:end w:w="90" w:type="dxa"/>
            </w:tcMar>
            <w:vAlign w:val="top"/>
          </w:tcPr>
          <w:p>
            <w:r>
              <w:rPr>
                <w:rFonts w:ascii="Aptos" w:hAnsi="Aptos"/>
                <w:b/>
                <w:sz w:val="17"/>
              </w:rPr>
              <w:t>Version</w:t>
            </w:r>
          </w:p>
        </w:tc>
        <w:tc>
          <w:tcPr>
            <w:tcW w:type="dxa" w:w="7920"/>
            <w:tcMar>
              <w:top w:w="80" w:type="dxa"/>
              <w:start w:w="90" w:type="dxa"/>
              <w:bottom w:w="80" w:type="dxa"/>
              <w:end w:w="90" w:type="dxa"/>
            </w:tcMar>
            <w:vAlign w:val="top"/>
          </w:tcPr>
          <w:p>
            <w:r>
              <w:rPr>
                <w:rFonts w:ascii="Aptos" w:hAnsi="Aptos"/>
                <w:b w:val="0"/>
                <w:sz w:val="17"/>
              </w:rPr>
              <w:t>2.0</w:t>
            </w:r>
          </w:p>
        </w:tc>
      </w:tr>
      <w:tr>
        <w:tc>
          <w:tcPr>
            <w:tcW w:type="dxa" w:w="2448"/>
            <w:tcMar>
              <w:top w:w="80" w:type="dxa"/>
              <w:start w:w="90" w:type="dxa"/>
              <w:bottom w:w="80" w:type="dxa"/>
              <w:end w:w="90" w:type="dxa"/>
            </w:tcMar>
            <w:vAlign w:val="top"/>
            <w:shd w:fill="F7FAFC"/>
          </w:tcPr>
          <w:p>
            <w:r>
              <w:rPr>
                <w:rFonts w:ascii="Aptos" w:hAnsi="Aptos"/>
                <w:b/>
                <w:sz w:val="17"/>
              </w:rPr>
              <w:t>Policy Owner</w:t>
            </w:r>
          </w:p>
        </w:tc>
        <w:tc>
          <w:tcPr>
            <w:tcW w:type="dxa" w:w="7920"/>
            <w:tcMar>
              <w:top w:w="80" w:type="dxa"/>
              <w:start w:w="90" w:type="dxa"/>
              <w:bottom w:w="80" w:type="dxa"/>
              <w:end w:w="90" w:type="dxa"/>
            </w:tcMar>
            <w:vAlign w:val="top"/>
            <w:shd w:fill="F7FAFC"/>
          </w:tcPr>
          <w:p>
            <w:r>
              <w:rPr>
                <w:rFonts w:ascii="Aptos" w:hAnsi="Aptos"/>
                <w:b w:val="0"/>
                <w:sz w:val="17"/>
              </w:rPr>
              <w:t>Meera Iyer — Chief Risk Officer</w:t>
            </w:r>
          </w:p>
        </w:tc>
      </w:tr>
      <w:tr>
        <w:tc>
          <w:tcPr>
            <w:tcW w:type="dxa" w:w="2448"/>
            <w:tcMar>
              <w:top w:w="80" w:type="dxa"/>
              <w:start w:w="90" w:type="dxa"/>
              <w:bottom w:w="80" w:type="dxa"/>
              <w:end w:w="90" w:type="dxa"/>
            </w:tcMar>
            <w:vAlign w:val="top"/>
          </w:tcPr>
          <w:p>
            <w:r>
              <w:rPr>
                <w:rFonts w:ascii="Aptos" w:hAnsi="Aptos"/>
                <w:b/>
                <w:sz w:val="17"/>
              </w:rPr>
              <w:t>Business Unit</w:t>
            </w:r>
          </w:p>
        </w:tc>
        <w:tc>
          <w:tcPr>
            <w:tcW w:type="dxa" w:w="7920"/>
            <w:tcMar>
              <w:top w:w="80" w:type="dxa"/>
              <w:start w:w="90" w:type="dxa"/>
              <w:bottom w:w="80" w:type="dxa"/>
              <w:end w:w="90" w:type="dxa"/>
            </w:tcMar>
            <w:vAlign w:val="top"/>
          </w:tcPr>
          <w:p>
            <w:r>
              <w:rPr>
                <w:rFonts w:ascii="Aptos" w:hAnsi="Aptos"/>
                <w:b w:val="0"/>
                <w:sz w:val="17"/>
              </w:rPr>
              <w:t>Enterprise Risk</w:t>
            </w:r>
          </w:p>
        </w:tc>
      </w:tr>
      <w:tr>
        <w:tc>
          <w:tcPr>
            <w:tcW w:type="dxa" w:w="2448"/>
            <w:tcMar>
              <w:top w:w="80" w:type="dxa"/>
              <w:start w:w="90" w:type="dxa"/>
              <w:bottom w:w="80" w:type="dxa"/>
              <w:end w:w="90" w:type="dxa"/>
            </w:tcMar>
            <w:vAlign w:val="top"/>
            <w:shd w:fill="F7FAFC"/>
          </w:tcPr>
          <w:p>
            <w:r>
              <w:rPr>
                <w:rFonts w:ascii="Aptos" w:hAnsi="Aptos"/>
                <w:b/>
                <w:sz w:val="17"/>
              </w:rPr>
              <w:t>Approving Authority</w:t>
            </w:r>
          </w:p>
        </w:tc>
        <w:tc>
          <w:tcPr>
            <w:tcW w:type="dxa" w:w="7920"/>
            <w:tcMar>
              <w:top w:w="80" w:type="dxa"/>
              <w:start w:w="90" w:type="dxa"/>
              <w:bottom w:w="80" w:type="dxa"/>
              <w:end w:w="90" w:type="dxa"/>
            </w:tcMar>
            <w:vAlign w:val="top"/>
            <w:shd w:fill="F7FAFC"/>
          </w:tcPr>
          <w:p>
            <w:r>
              <w:rPr>
                <w:rFonts w:ascii="Aptos" w:hAnsi="Aptos"/>
                <w:b w:val="0"/>
                <w:sz w:val="17"/>
              </w:rPr>
              <w:t>Board Risk Committee</w:t>
            </w:r>
          </w:p>
        </w:tc>
      </w:tr>
      <w:tr>
        <w:tc>
          <w:tcPr>
            <w:tcW w:type="dxa" w:w="2448"/>
            <w:tcMar>
              <w:top w:w="80" w:type="dxa"/>
              <w:start w:w="90" w:type="dxa"/>
              <w:bottom w:w="80" w:type="dxa"/>
              <w:end w:w="90" w:type="dxa"/>
            </w:tcMar>
            <w:vAlign w:val="top"/>
          </w:tcPr>
          <w:p>
            <w:r>
              <w:rPr>
                <w:rFonts w:ascii="Aptos" w:hAnsi="Aptos"/>
                <w:b/>
                <w:sz w:val="17"/>
              </w:rPr>
              <w:t>Effective Date</w:t>
            </w:r>
          </w:p>
        </w:tc>
        <w:tc>
          <w:tcPr>
            <w:tcW w:type="dxa" w:w="7920"/>
            <w:tcMar>
              <w:top w:w="80" w:type="dxa"/>
              <w:start w:w="90" w:type="dxa"/>
              <w:bottom w:w="80" w:type="dxa"/>
              <w:end w:w="90" w:type="dxa"/>
            </w:tcMar>
            <w:vAlign w:val="top"/>
          </w:tcPr>
          <w:p>
            <w:r>
              <w:rPr>
                <w:rFonts w:ascii="Aptos" w:hAnsi="Aptos"/>
                <w:b w:val="0"/>
                <w:sz w:val="17"/>
              </w:rPr>
              <w:t>1 December 2025</w:t>
            </w:r>
          </w:p>
        </w:tc>
      </w:tr>
      <w:tr>
        <w:tc>
          <w:tcPr>
            <w:tcW w:type="dxa" w:w="2448"/>
            <w:tcMar>
              <w:top w:w="80" w:type="dxa"/>
              <w:start w:w="90" w:type="dxa"/>
              <w:bottom w:w="80" w:type="dxa"/>
              <w:end w:w="90" w:type="dxa"/>
            </w:tcMar>
            <w:vAlign w:val="top"/>
            <w:shd w:fill="F7FAFC"/>
          </w:tcPr>
          <w:p>
            <w:r>
              <w:rPr>
                <w:rFonts w:ascii="Aptos" w:hAnsi="Aptos"/>
                <w:b/>
                <w:sz w:val="17"/>
              </w:rPr>
              <w:t>Previous Version</w:t>
            </w:r>
          </w:p>
        </w:tc>
        <w:tc>
          <w:tcPr>
            <w:tcW w:type="dxa" w:w="7920"/>
            <w:tcMar>
              <w:top w:w="80" w:type="dxa"/>
              <w:start w:w="90" w:type="dxa"/>
              <w:bottom w:w="80" w:type="dxa"/>
              <w:end w:w="90" w:type="dxa"/>
            </w:tcMar>
            <w:vAlign w:val="top"/>
            <w:shd w:fill="F7FAFC"/>
          </w:tcPr>
          <w:p>
            <w:r>
              <w:rPr>
                <w:rFonts w:ascii="Aptos" w:hAnsi="Aptos"/>
                <w:b w:val="0"/>
                <w:sz w:val="17"/>
              </w:rPr>
              <w:t>1.6</w:t>
            </w:r>
          </w:p>
        </w:tc>
      </w:tr>
      <w:tr>
        <w:tc>
          <w:tcPr>
            <w:tcW w:type="dxa" w:w="2448"/>
            <w:tcMar>
              <w:top w:w="80" w:type="dxa"/>
              <w:start w:w="90" w:type="dxa"/>
              <w:bottom w:w="80" w:type="dxa"/>
              <w:end w:w="90" w:type="dxa"/>
            </w:tcMar>
            <w:vAlign w:val="top"/>
          </w:tcPr>
          <w:p>
            <w:r>
              <w:rPr>
                <w:rFonts w:ascii="Aptos" w:hAnsi="Aptos"/>
                <w:b/>
                <w:sz w:val="17"/>
              </w:rPr>
              <w:t>Review Frequency</w:t>
            </w:r>
          </w:p>
        </w:tc>
        <w:tc>
          <w:tcPr>
            <w:tcW w:type="dxa" w:w="7920"/>
            <w:tcMar>
              <w:top w:w="80" w:type="dxa"/>
              <w:start w:w="90" w:type="dxa"/>
              <w:bottom w:w="80" w:type="dxa"/>
              <w:end w:w="90" w:type="dxa"/>
            </w:tcMar>
            <w:vAlign w:val="top"/>
          </w:tcPr>
          <w:p>
            <w:r>
              <w:rPr>
                <w:rFonts w:ascii="Aptos" w:hAnsi="Aptos"/>
                <w:b w:val="0"/>
                <w:sz w:val="17"/>
              </w:rPr>
              <w:t>Annual</w:t>
            </w:r>
          </w:p>
        </w:tc>
      </w:tr>
      <w:tr>
        <w:tc>
          <w:tcPr>
            <w:tcW w:type="dxa" w:w="2448"/>
            <w:tcMar>
              <w:top w:w="80" w:type="dxa"/>
              <w:start w:w="90" w:type="dxa"/>
              <w:bottom w:w="80" w:type="dxa"/>
              <w:end w:w="90" w:type="dxa"/>
            </w:tcMar>
            <w:vAlign w:val="top"/>
            <w:shd w:fill="F7FAFC"/>
          </w:tcPr>
          <w:p>
            <w:r>
              <w:rPr>
                <w:rFonts w:ascii="Aptos" w:hAnsi="Aptos"/>
                <w:b/>
                <w:sz w:val="17"/>
              </w:rPr>
              <w:t>Classification</w:t>
            </w:r>
          </w:p>
        </w:tc>
        <w:tc>
          <w:tcPr>
            <w:tcW w:type="dxa" w:w="7920"/>
            <w:tcMar>
              <w:top w:w="80" w:type="dxa"/>
              <w:start w:w="90" w:type="dxa"/>
              <w:bottom w:w="80" w:type="dxa"/>
              <w:end w:w="90" w:type="dxa"/>
            </w:tcMar>
            <w:vAlign w:val="top"/>
            <w:shd w:fill="F7FAFC"/>
          </w:tcPr>
          <w:p>
            <w:r>
              <w:rPr>
                <w:rFonts w:ascii="Aptos" w:hAnsi="Aptos"/>
                <w:b w:val="0"/>
                <w:sz w:val="17"/>
              </w:rPr>
              <w:t>INTERNAL — CONTROLLED</w:t>
            </w:r>
          </w:p>
        </w:tc>
      </w:tr>
      <w:tr>
        <w:tc>
          <w:tcPr>
            <w:tcW w:type="dxa" w:w="2448"/>
            <w:tcMar>
              <w:top w:w="80" w:type="dxa"/>
              <w:start w:w="90" w:type="dxa"/>
              <w:bottom w:w="80" w:type="dxa"/>
              <w:end w:w="90" w:type="dxa"/>
            </w:tcMar>
            <w:vAlign w:val="top"/>
          </w:tcPr>
          <w:p>
            <w:r>
              <w:rPr>
                <w:rFonts w:ascii="Aptos" w:hAnsi="Aptos"/>
                <w:b/>
                <w:sz w:val="17"/>
              </w:rPr>
              <w:t>Status</w:t>
            </w:r>
          </w:p>
        </w:tc>
        <w:tc>
          <w:tcPr>
            <w:tcW w:type="dxa" w:w="7920"/>
            <w:tcMar>
              <w:top w:w="80" w:type="dxa"/>
              <w:start w:w="90" w:type="dxa"/>
              <w:bottom w:w="80" w:type="dxa"/>
              <w:end w:w="90" w:type="dxa"/>
            </w:tcMar>
            <w:vAlign w:val="top"/>
          </w:tcPr>
          <w:p>
            <w:r>
              <w:rPr>
                <w:rFonts w:ascii="Aptos" w:hAnsi="Aptos"/>
                <w:b w:val="0"/>
                <w:sz w:val="17"/>
              </w:rPr>
              <w:t>Approved</w:t>
            </w:r>
          </w:p>
        </w:tc>
      </w:tr>
      <w:tr>
        <w:tc>
          <w:tcPr>
            <w:tcW w:type="dxa" w:w="2448"/>
            <w:tcMar>
              <w:top w:w="80" w:type="dxa"/>
              <w:start w:w="90" w:type="dxa"/>
              <w:bottom w:w="80" w:type="dxa"/>
              <w:end w:w="90" w:type="dxa"/>
            </w:tcMar>
            <w:vAlign w:val="top"/>
            <w:shd w:fill="F7FAFC"/>
          </w:tcPr>
          <w:p>
            <w:r>
              <w:rPr>
                <w:rFonts w:ascii="Aptos" w:hAnsi="Aptos"/>
                <w:b/>
                <w:sz w:val="17"/>
              </w:rPr>
              <w:t>Supersedes</w:t>
            </w:r>
          </w:p>
        </w:tc>
        <w:tc>
          <w:tcPr>
            <w:tcW w:type="dxa" w:w="7920"/>
            <w:tcMar>
              <w:top w:w="80" w:type="dxa"/>
              <w:start w:w="90" w:type="dxa"/>
              <w:bottom w:w="80" w:type="dxa"/>
              <w:end w:w="90" w:type="dxa"/>
            </w:tcMar>
            <w:vAlign w:val="top"/>
            <w:shd w:fill="F7FAFC"/>
          </w:tcPr>
          <w:p>
            <w:r>
              <w:rPr>
                <w:rFonts w:ascii="Aptos" w:hAnsi="Aptos"/>
                <w:b w:val="0"/>
                <w:sz w:val="17"/>
              </w:rPr>
              <w:t>RMF-008 v1.6</w:t>
            </w:r>
          </w:p>
        </w:tc>
      </w:tr>
      <w:tr>
        <w:tc>
          <w:tcPr>
            <w:tcW w:type="dxa" w:w="2448"/>
            <w:tcMar>
              <w:top w:w="80" w:type="dxa"/>
              <w:start w:w="90" w:type="dxa"/>
              <w:bottom w:w="80" w:type="dxa"/>
              <w:end w:w="90" w:type="dxa"/>
            </w:tcMar>
            <w:vAlign w:val="top"/>
          </w:tcPr>
          <w:p>
            <w:r>
              <w:rPr>
                <w:rFonts w:ascii="Aptos" w:hAnsi="Aptos"/>
                <w:b/>
                <w:sz w:val="17"/>
              </w:rPr>
              <w:t>Related Documents</w:t>
            </w:r>
          </w:p>
        </w:tc>
        <w:tc>
          <w:tcPr>
            <w:tcW w:type="dxa" w:w="7920"/>
            <w:tcMar>
              <w:top w:w="80" w:type="dxa"/>
              <w:start w:w="90" w:type="dxa"/>
              <w:bottom w:w="80" w:type="dxa"/>
              <w:end w:w="90" w:type="dxa"/>
            </w:tcMar>
            <w:vAlign w:val="top"/>
          </w:tcPr>
          <w:p>
            <w:r>
              <w:rPr>
                <w:rFonts w:ascii="Aptos" w:hAnsi="Aptos"/>
                <w:b w:val="0"/>
                <w:sz w:val="17"/>
              </w:rPr>
              <w:t>RAS-009; CRP-001; CDAS-007; AML-003; CDD-005; CRR-033; future investment/compliance/information-security policies</w:t>
            </w:r>
          </w:p>
        </w:tc>
      </w:tr>
    </w:tbl>
    <w:p/>
    <w:p>
      <w:pPr>
        <w:pStyle w:val="Heading2"/>
      </w:pPr>
      <w:r>
        <w:t>Approval Record</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448"/>
            <w:shd w:fill="17365D"/>
            <w:vAlign w:val="center"/>
            <w:tcMar>
              <w:top w:w="80" w:type="dxa"/>
              <w:start w:w="90" w:type="dxa"/>
              <w:bottom w:w="80" w:type="dxa"/>
              <w:end w:w="90" w:type="dxa"/>
            </w:tcMar>
          </w:tcPr>
          <w:p>
            <w:r>
              <w:rPr>
                <w:rFonts w:ascii="Aptos" w:hAnsi="Aptos"/>
                <w:b/>
                <w:color w:val="FFFFFF"/>
                <w:sz w:val="16"/>
              </w:rPr>
              <w:t>Role</w:t>
            </w:r>
          </w:p>
        </w:tc>
        <w:tc>
          <w:tcPr>
            <w:tcW w:type="dxa" w:w="4032"/>
            <w:shd w:fill="17365D"/>
            <w:vAlign w:val="center"/>
            <w:tcMar>
              <w:top w:w="80" w:type="dxa"/>
              <w:start w:w="90" w:type="dxa"/>
              <w:bottom w:w="80" w:type="dxa"/>
              <w:end w:w="90" w:type="dxa"/>
            </w:tcMar>
          </w:tcPr>
          <w:p>
            <w:r>
              <w:rPr>
                <w:rFonts w:ascii="Aptos" w:hAnsi="Aptos"/>
                <w:b/>
                <w:color w:val="FFFFFF"/>
                <w:sz w:val="16"/>
              </w:rPr>
              <w:t>Approver / Function</w:t>
            </w:r>
          </w:p>
        </w:tc>
        <w:tc>
          <w:tcPr>
            <w:tcW w:type="dxa" w:w="1728"/>
            <w:shd w:fill="17365D"/>
            <w:vAlign w:val="center"/>
            <w:tcMar>
              <w:top w:w="80" w:type="dxa"/>
              <w:start w:w="90" w:type="dxa"/>
              <w:bottom w:w="80" w:type="dxa"/>
              <w:end w:w="90" w:type="dxa"/>
            </w:tcMar>
          </w:tcPr>
          <w:p>
            <w:r>
              <w:rPr>
                <w:rFonts w:ascii="Aptos" w:hAnsi="Aptos"/>
                <w:b/>
                <w:color w:val="FFFFFF"/>
                <w:sz w:val="16"/>
              </w:rPr>
              <w:t>Approval Date</w:t>
            </w:r>
          </w:p>
        </w:tc>
        <w:tc>
          <w:tcPr>
            <w:tcW w:type="dxa" w:w="2160"/>
            <w:shd w:fill="17365D"/>
            <w:vAlign w:val="center"/>
            <w:tcMar>
              <w:top w:w="80" w:type="dxa"/>
              <w:start w:w="90" w:type="dxa"/>
              <w:bottom w:w="80" w:type="dxa"/>
              <w:end w:w="90" w:type="dxa"/>
            </w:tcMar>
          </w:tcPr>
          <w:p>
            <w:r>
              <w:rPr>
                <w:rFonts w:ascii="Aptos" w:hAnsi="Aptos"/>
                <w:b/>
                <w:color w:val="FFFFFF"/>
                <w:sz w:val="16"/>
              </w:rPr>
              <w:t>Decision</w:t>
            </w:r>
          </w:p>
        </w:tc>
      </w:tr>
      <w:tr>
        <w:tc>
          <w:tcPr>
            <w:tcW w:type="dxa" w:w="2448"/>
            <w:tcMar>
              <w:top w:w="80" w:type="dxa"/>
              <w:start w:w="90" w:type="dxa"/>
              <w:bottom w:w="80" w:type="dxa"/>
              <w:end w:w="90" w:type="dxa"/>
            </w:tcMar>
            <w:vAlign w:val="top"/>
          </w:tcPr>
          <w:p>
            <w:r>
              <w:rPr>
                <w:rFonts w:ascii="Aptos" w:hAnsi="Aptos"/>
                <w:b w:val="0"/>
                <w:sz w:val="16"/>
              </w:rPr>
              <w:t>Document Owner</w:t>
            </w:r>
          </w:p>
        </w:tc>
        <w:tc>
          <w:tcPr>
            <w:tcW w:type="dxa" w:w="4032"/>
            <w:tcMar>
              <w:top w:w="80" w:type="dxa"/>
              <w:start w:w="90" w:type="dxa"/>
              <w:bottom w:w="80" w:type="dxa"/>
              <w:end w:w="90" w:type="dxa"/>
            </w:tcMar>
            <w:vAlign w:val="top"/>
          </w:tcPr>
          <w:p>
            <w:r>
              <w:rPr>
                <w:rFonts w:ascii="Aptos" w:hAnsi="Aptos"/>
                <w:b w:val="0"/>
                <w:sz w:val="16"/>
              </w:rPr>
              <w:t>Meera Iyer — Chief Risk Officer</w:t>
            </w:r>
          </w:p>
        </w:tc>
        <w:tc>
          <w:tcPr>
            <w:tcW w:type="dxa" w:w="1728"/>
            <w:tcMar>
              <w:top w:w="80" w:type="dxa"/>
              <w:start w:w="90" w:type="dxa"/>
              <w:bottom w:w="80" w:type="dxa"/>
              <w:end w:w="90" w:type="dxa"/>
            </w:tcMar>
            <w:vAlign w:val="top"/>
          </w:tcPr>
          <w:p>
            <w:r>
              <w:rPr>
                <w:rFonts w:ascii="Aptos" w:hAnsi="Aptos"/>
                <w:b w:val="0"/>
                <w:sz w:val="16"/>
              </w:rPr>
              <w:t>18 November 2025</w:t>
            </w:r>
          </w:p>
        </w:tc>
        <w:tc>
          <w:tcPr>
            <w:tcW w:type="dxa" w:w="2160"/>
            <w:tcMar>
              <w:top w:w="80" w:type="dxa"/>
              <w:start w:w="90" w:type="dxa"/>
              <w:bottom w:w="80" w:type="dxa"/>
              <w:end w:w="90" w:type="dxa"/>
            </w:tcMar>
            <w:vAlign w:val="top"/>
          </w:tcPr>
          <w:p>
            <w:r>
              <w:rPr>
                <w:rFonts w:ascii="Aptos" w:hAnsi="Aptos"/>
                <w:b w:val="0"/>
                <w:sz w:val="16"/>
              </w:rPr>
              <w:t>Approved</w:t>
            </w:r>
          </w:p>
        </w:tc>
      </w:tr>
      <w:tr>
        <w:tc>
          <w:tcPr>
            <w:tcW w:type="dxa" w:w="2448"/>
            <w:tcMar>
              <w:top w:w="80" w:type="dxa"/>
              <w:start w:w="90" w:type="dxa"/>
              <w:bottom w:w="80" w:type="dxa"/>
              <w:end w:w="90" w:type="dxa"/>
            </w:tcMar>
            <w:vAlign w:val="top"/>
            <w:shd w:fill="F7FAFC"/>
          </w:tcPr>
          <w:p>
            <w:r>
              <w:rPr>
                <w:rFonts w:ascii="Aptos" w:hAnsi="Aptos"/>
                <w:b w:val="0"/>
                <w:sz w:val="16"/>
              </w:rPr>
              <w:t>Control Function Review</w:t>
            </w:r>
          </w:p>
        </w:tc>
        <w:tc>
          <w:tcPr>
            <w:tcW w:type="dxa" w:w="4032"/>
            <w:tcMar>
              <w:top w:w="80" w:type="dxa"/>
              <w:start w:w="90" w:type="dxa"/>
              <w:bottom w:w="80" w:type="dxa"/>
              <w:end w:w="90" w:type="dxa"/>
            </w:tcMar>
            <w:vAlign w:val="top"/>
            <w:shd w:fill="F7FAFC"/>
          </w:tcPr>
          <w:p>
            <w:r>
              <w:rPr>
                <w:rFonts w:ascii="Aptos" w:hAnsi="Aptos"/>
                <w:b w:val="0"/>
                <w:sz w:val="16"/>
              </w:rPr>
              <w:t>Legal / Compliance Advisory</w:t>
            </w:r>
          </w:p>
        </w:tc>
        <w:tc>
          <w:tcPr>
            <w:tcW w:type="dxa" w:w="1728"/>
            <w:tcMar>
              <w:top w:w="80" w:type="dxa"/>
              <w:start w:w="90" w:type="dxa"/>
              <w:bottom w:w="80" w:type="dxa"/>
              <w:end w:w="90" w:type="dxa"/>
            </w:tcMar>
            <w:vAlign w:val="top"/>
            <w:shd w:fill="F7FAFC"/>
          </w:tcPr>
          <w:p>
            <w:r>
              <w:rPr>
                <w:rFonts w:ascii="Aptos" w:hAnsi="Aptos"/>
                <w:b w:val="0"/>
                <w:sz w:val="16"/>
              </w:rPr>
              <w:t>18 November 2025</w:t>
            </w:r>
          </w:p>
        </w:tc>
        <w:tc>
          <w:tcPr>
            <w:tcW w:type="dxa" w:w="2160"/>
            <w:tcMar>
              <w:top w:w="80" w:type="dxa"/>
              <w:start w:w="90" w:type="dxa"/>
              <w:bottom w:w="80" w:type="dxa"/>
              <w:end w:w="90" w:type="dxa"/>
            </w:tcMar>
            <w:vAlign w:val="top"/>
            <w:shd w:fill="F7FAFC"/>
          </w:tcPr>
          <w:p>
            <w:r>
              <w:rPr>
                <w:rFonts w:ascii="Aptos" w:hAnsi="Aptos"/>
                <w:b w:val="0"/>
                <w:sz w:val="16"/>
              </w:rPr>
              <w:t>No objection</w:t>
            </w:r>
          </w:p>
        </w:tc>
      </w:tr>
      <w:tr>
        <w:tc>
          <w:tcPr>
            <w:tcW w:type="dxa" w:w="2448"/>
            <w:tcMar>
              <w:top w:w="80" w:type="dxa"/>
              <w:start w:w="90" w:type="dxa"/>
              <w:bottom w:w="80" w:type="dxa"/>
              <w:end w:w="90" w:type="dxa"/>
            </w:tcMar>
            <w:vAlign w:val="top"/>
          </w:tcPr>
          <w:p>
            <w:r>
              <w:rPr>
                <w:rFonts w:ascii="Aptos" w:hAnsi="Aptos"/>
                <w:b w:val="0"/>
                <w:sz w:val="16"/>
              </w:rPr>
              <w:t>Approving Authority</w:t>
            </w:r>
          </w:p>
        </w:tc>
        <w:tc>
          <w:tcPr>
            <w:tcW w:type="dxa" w:w="4032"/>
            <w:tcMar>
              <w:top w:w="80" w:type="dxa"/>
              <w:start w:w="90" w:type="dxa"/>
              <w:bottom w:w="80" w:type="dxa"/>
              <w:end w:w="90" w:type="dxa"/>
            </w:tcMar>
            <w:vAlign w:val="top"/>
          </w:tcPr>
          <w:p>
            <w:r>
              <w:rPr>
                <w:rFonts w:ascii="Aptos" w:hAnsi="Aptos"/>
                <w:b w:val="0"/>
                <w:sz w:val="16"/>
              </w:rPr>
              <w:t>Board Risk Committee</w:t>
            </w:r>
          </w:p>
        </w:tc>
        <w:tc>
          <w:tcPr>
            <w:tcW w:type="dxa" w:w="1728"/>
            <w:tcMar>
              <w:top w:w="80" w:type="dxa"/>
              <w:start w:w="90" w:type="dxa"/>
              <w:bottom w:w="80" w:type="dxa"/>
              <w:end w:w="90" w:type="dxa"/>
            </w:tcMar>
            <w:vAlign w:val="top"/>
          </w:tcPr>
          <w:p>
            <w:r>
              <w:rPr>
                <w:rFonts w:ascii="Aptos" w:hAnsi="Aptos"/>
                <w:b w:val="0"/>
                <w:sz w:val="16"/>
              </w:rPr>
              <w:t>18 November 2025</w:t>
            </w:r>
          </w:p>
        </w:tc>
        <w:tc>
          <w:tcPr>
            <w:tcW w:type="dxa" w:w="2160"/>
            <w:tcMar>
              <w:top w:w="80" w:type="dxa"/>
              <w:start w:w="90" w:type="dxa"/>
              <w:bottom w:w="80" w:type="dxa"/>
              <w:end w:w="90" w:type="dxa"/>
            </w:tcMar>
            <w:vAlign w:val="top"/>
          </w:tcPr>
          <w:p>
            <w:r>
              <w:rPr>
                <w:rFonts w:ascii="Aptos" w:hAnsi="Aptos"/>
                <w:b w:val="0"/>
                <w:sz w:val="16"/>
              </w:rPr>
              <w:t>Approved for controlled release</w:t>
            </w:r>
          </w:p>
        </w:tc>
      </w:tr>
    </w:tbl>
    <w:p/>
    <w:p>
      <w:pPr>
        <w:pStyle w:val="Heading2"/>
      </w:pPr>
      <w:r>
        <w:t>Revision History</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152"/>
            <w:shd w:fill="17365D"/>
            <w:vAlign w:val="center"/>
            <w:tcMar>
              <w:top w:w="80" w:type="dxa"/>
              <w:start w:w="90" w:type="dxa"/>
              <w:bottom w:w="80" w:type="dxa"/>
              <w:end w:w="90" w:type="dxa"/>
            </w:tcMar>
          </w:tcPr>
          <w:p>
            <w:r>
              <w:rPr>
                <w:rFonts w:ascii="Aptos" w:hAnsi="Aptos"/>
                <w:b/>
                <w:color w:val="FFFFFF"/>
                <w:sz w:val="16"/>
              </w:rPr>
              <w:t>Version</w:t>
            </w:r>
          </w:p>
        </w:tc>
        <w:tc>
          <w:tcPr>
            <w:tcW w:type="dxa" w:w="1728"/>
            <w:shd w:fill="17365D"/>
            <w:vAlign w:val="center"/>
            <w:tcMar>
              <w:top w:w="80" w:type="dxa"/>
              <w:start w:w="90" w:type="dxa"/>
              <w:bottom w:w="80" w:type="dxa"/>
              <w:end w:w="90" w:type="dxa"/>
            </w:tcMar>
          </w:tcPr>
          <w:p>
            <w:r>
              <w:rPr>
                <w:rFonts w:ascii="Aptos" w:hAnsi="Aptos"/>
                <w:b/>
                <w:color w:val="FFFFFF"/>
                <w:sz w:val="16"/>
              </w:rPr>
              <w:t>Effective Date</w:t>
            </w:r>
          </w:p>
        </w:tc>
        <w:tc>
          <w:tcPr>
            <w:tcW w:type="dxa" w:w="5616"/>
            <w:shd w:fill="17365D"/>
            <w:vAlign w:val="center"/>
            <w:tcMar>
              <w:top w:w="80" w:type="dxa"/>
              <w:start w:w="90" w:type="dxa"/>
              <w:bottom w:w="80" w:type="dxa"/>
              <w:end w:w="90" w:type="dxa"/>
            </w:tcMar>
          </w:tcPr>
          <w:p>
            <w:r>
              <w:rPr>
                <w:rFonts w:ascii="Aptos" w:hAnsi="Aptos"/>
                <w:b/>
                <w:color w:val="FFFFFF"/>
                <w:sz w:val="16"/>
              </w:rPr>
              <w:t>Summary of Change</w:t>
            </w:r>
          </w:p>
        </w:tc>
        <w:tc>
          <w:tcPr>
            <w:tcW w:type="dxa" w:w="2160"/>
            <w:shd w:fill="17365D"/>
            <w:vAlign w:val="center"/>
            <w:tcMar>
              <w:top w:w="80" w:type="dxa"/>
              <w:start w:w="90" w:type="dxa"/>
              <w:bottom w:w="80" w:type="dxa"/>
              <w:end w:w="90" w:type="dxa"/>
            </w:tcMar>
          </w:tcPr>
          <w:p>
            <w:r>
              <w:rPr>
                <w:rFonts w:ascii="Aptos" w:hAnsi="Aptos"/>
                <w:b/>
                <w:color w:val="FFFFFF"/>
                <w:sz w:val="16"/>
              </w:rPr>
              <w:t>Owner</w:t>
            </w:r>
          </w:p>
        </w:tc>
      </w:tr>
      <w:tr>
        <w:tc>
          <w:tcPr>
            <w:tcW w:type="dxa" w:w="1152"/>
            <w:tcMar>
              <w:top w:w="80" w:type="dxa"/>
              <w:start w:w="90" w:type="dxa"/>
              <w:bottom w:w="80" w:type="dxa"/>
              <w:end w:w="90" w:type="dxa"/>
            </w:tcMar>
            <w:vAlign w:val="top"/>
          </w:tcPr>
          <w:p>
            <w:r>
              <w:rPr>
                <w:rFonts w:ascii="Aptos" w:hAnsi="Aptos"/>
                <w:b w:val="0"/>
                <w:sz w:val="16"/>
              </w:rPr>
              <w:t>1.5</w:t>
            </w:r>
          </w:p>
        </w:tc>
        <w:tc>
          <w:tcPr>
            <w:tcW w:type="dxa" w:w="1728"/>
            <w:tcMar>
              <w:top w:w="80" w:type="dxa"/>
              <w:start w:w="90" w:type="dxa"/>
              <w:bottom w:w="80" w:type="dxa"/>
              <w:end w:w="90" w:type="dxa"/>
            </w:tcMar>
            <w:vAlign w:val="top"/>
          </w:tcPr>
          <w:p>
            <w:r>
              <w:rPr>
                <w:rFonts w:ascii="Aptos" w:hAnsi="Aptos"/>
                <w:b w:val="0"/>
                <w:sz w:val="16"/>
              </w:rPr>
              <w:t>1 Apr 2024</w:t>
            </w:r>
          </w:p>
        </w:tc>
        <w:tc>
          <w:tcPr>
            <w:tcW w:type="dxa" w:w="5616"/>
            <w:tcMar>
              <w:top w:w="80" w:type="dxa"/>
              <w:start w:w="90" w:type="dxa"/>
              <w:bottom w:w="80" w:type="dxa"/>
              <w:end w:w="90" w:type="dxa"/>
            </w:tcMar>
            <w:vAlign w:val="top"/>
          </w:tcPr>
          <w:p>
            <w:r>
              <w:rPr>
                <w:rFonts w:ascii="Aptos" w:hAnsi="Aptos"/>
                <w:b w:val="0"/>
                <w:sz w:val="16"/>
              </w:rPr>
              <w:t>Expanded operational and model-risk taxonomy.</w:t>
            </w:r>
          </w:p>
        </w:tc>
        <w:tc>
          <w:tcPr>
            <w:tcW w:type="dxa" w:w="2160"/>
            <w:tcMar>
              <w:top w:w="80" w:type="dxa"/>
              <w:start w:w="90" w:type="dxa"/>
              <w:bottom w:w="80" w:type="dxa"/>
              <w:end w:w="90" w:type="dxa"/>
            </w:tcMar>
            <w:vAlign w:val="top"/>
          </w:tcPr>
          <w:p>
            <w:r>
              <w:rPr>
                <w:rFonts w:ascii="Aptos" w:hAnsi="Aptos"/>
                <w:b w:val="0"/>
                <w:sz w:val="16"/>
              </w:rPr>
              <w:t>Enterprise Risk</w:t>
            </w:r>
          </w:p>
        </w:tc>
      </w:tr>
      <w:tr>
        <w:tc>
          <w:tcPr>
            <w:tcW w:type="dxa" w:w="1152"/>
            <w:tcMar>
              <w:top w:w="80" w:type="dxa"/>
              <w:start w:w="90" w:type="dxa"/>
              <w:bottom w:w="80" w:type="dxa"/>
              <w:end w:w="90" w:type="dxa"/>
            </w:tcMar>
            <w:vAlign w:val="top"/>
            <w:shd w:fill="F7FAFC"/>
          </w:tcPr>
          <w:p>
            <w:r>
              <w:rPr>
                <w:rFonts w:ascii="Aptos" w:hAnsi="Aptos"/>
                <w:b w:val="0"/>
                <w:sz w:val="16"/>
              </w:rPr>
              <w:t>1.6</w:t>
            </w:r>
          </w:p>
        </w:tc>
        <w:tc>
          <w:tcPr>
            <w:tcW w:type="dxa" w:w="1728"/>
            <w:tcMar>
              <w:top w:w="80" w:type="dxa"/>
              <w:start w:w="90" w:type="dxa"/>
              <w:bottom w:w="80" w:type="dxa"/>
              <w:end w:w="90" w:type="dxa"/>
            </w:tcMar>
            <w:vAlign w:val="top"/>
            <w:shd w:fill="F7FAFC"/>
          </w:tcPr>
          <w:p>
            <w:r>
              <w:rPr>
                <w:rFonts w:ascii="Aptos" w:hAnsi="Aptos"/>
                <w:b w:val="0"/>
                <w:sz w:val="16"/>
              </w:rPr>
              <w:t>1 Apr 2025</w:t>
            </w:r>
          </w:p>
        </w:tc>
        <w:tc>
          <w:tcPr>
            <w:tcW w:type="dxa" w:w="5616"/>
            <w:tcMar>
              <w:top w:w="80" w:type="dxa"/>
              <w:start w:w="90" w:type="dxa"/>
              <w:bottom w:w="80" w:type="dxa"/>
              <w:end w:w="90" w:type="dxa"/>
            </w:tcMar>
            <w:vAlign w:val="top"/>
            <w:shd w:fill="F7FAFC"/>
          </w:tcPr>
          <w:p>
            <w:r>
              <w:rPr>
                <w:rFonts w:ascii="Aptos" w:hAnsi="Aptos"/>
                <w:b w:val="0"/>
                <w:sz w:val="16"/>
              </w:rPr>
              <w:t>Aligned credit-risk exception and concentration reporting.</w:t>
            </w:r>
          </w:p>
        </w:tc>
        <w:tc>
          <w:tcPr>
            <w:tcW w:type="dxa" w:w="2160"/>
            <w:tcMar>
              <w:top w:w="80" w:type="dxa"/>
              <w:start w:w="90" w:type="dxa"/>
              <w:bottom w:w="80" w:type="dxa"/>
              <w:end w:w="90" w:type="dxa"/>
            </w:tcMar>
            <w:vAlign w:val="top"/>
            <w:shd w:fill="F7FAFC"/>
          </w:tcPr>
          <w:p>
            <w:r>
              <w:rPr>
                <w:rFonts w:ascii="Aptos" w:hAnsi="Aptos"/>
                <w:b w:val="0"/>
                <w:sz w:val="16"/>
              </w:rPr>
              <w:t>Enterprise Risk</w:t>
            </w:r>
          </w:p>
        </w:tc>
      </w:tr>
      <w:tr>
        <w:tc>
          <w:tcPr>
            <w:tcW w:type="dxa" w:w="1152"/>
            <w:tcMar>
              <w:top w:w="80" w:type="dxa"/>
              <w:start w:w="90" w:type="dxa"/>
              <w:bottom w:w="80" w:type="dxa"/>
              <w:end w:w="90" w:type="dxa"/>
            </w:tcMar>
            <w:vAlign w:val="top"/>
          </w:tcPr>
          <w:p>
            <w:r>
              <w:rPr>
                <w:rFonts w:ascii="Aptos" w:hAnsi="Aptos"/>
                <w:b w:val="0"/>
                <w:sz w:val="16"/>
              </w:rPr>
              <w:t>2.0</w:t>
            </w:r>
          </w:p>
        </w:tc>
        <w:tc>
          <w:tcPr>
            <w:tcW w:type="dxa" w:w="1728"/>
            <w:tcMar>
              <w:top w:w="80" w:type="dxa"/>
              <w:start w:w="90" w:type="dxa"/>
              <w:bottom w:w="80" w:type="dxa"/>
              <w:end w:w="90" w:type="dxa"/>
            </w:tcMar>
            <w:vAlign w:val="top"/>
          </w:tcPr>
          <w:p>
            <w:r>
              <w:rPr>
                <w:rFonts w:ascii="Aptos" w:hAnsi="Aptos"/>
                <w:b w:val="0"/>
                <w:sz w:val="16"/>
              </w:rPr>
              <w:t>1 Dec 2025</w:t>
            </w:r>
          </w:p>
        </w:tc>
        <w:tc>
          <w:tcPr>
            <w:tcW w:type="dxa" w:w="5616"/>
            <w:tcMar>
              <w:top w:w="80" w:type="dxa"/>
              <w:start w:w="90" w:type="dxa"/>
              <w:bottom w:w="80" w:type="dxa"/>
              <w:end w:w="90" w:type="dxa"/>
            </w:tcMar>
            <w:vAlign w:val="top"/>
          </w:tcPr>
          <w:p>
            <w:r>
              <w:rPr>
                <w:rFonts w:ascii="Aptos" w:hAnsi="Aptos"/>
                <w:b w:val="0"/>
                <w:sz w:val="16"/>
              </w:rPr>
              <w:t>Recast enterprise taxonomy, appetite architecture, financial-crime and model-risk integration.</w:t>
            </w:r>
          </w:p>
        </w:tc>
        <w:tc>
          <w:tcPr>
            <w:tcW w:type="dxa" w:w="2160"/>
            <w:tcMar>
              <w:top w:w="80" w:type="dxa"/>
              <w:start w:w="90" w:type="dxa"/>
              <w:bottom w:w="80" w:type="dxa"/>
              <w:end w:w="90" w:type="dxa"/>
            </w:tcMar>
            <w:vAlign w:val="top"/>
          </w:tcPr>
          <w:p>
            <w:r>
              <w:rPr>
                <w:rFonts w:ascii="Aptos" w:hAnsi="Aptos"/>
                <w:b w:val="0"/>
                <w:sz w:val="16"/>
              </w:rPr>
              <w:t>Meera Iyer</w:t>
            </w:r>
          </w:p>
        </w:tc>
      </w:tr>
    </w:tbl>
    <w:p/>
    <w:p>
      <w:pPr>
        <w:pStyle w:val="SmallNote"/>
      </w:pPr>
      <w:r>
        <w:t>Controlled copies are maintained in the Northstar Financial internal policy repository. Printed, exported or locally saved copies may become superseded. Users shall confirm document status before applying a threshold, approval route or transitional provision.</w:t>
      </w:r>
    </w:p>
    <w:p>
      <w:r>
        <w:br w:type="page"/>
      </w:r>
    </w:p>
    <w:p>
      <w:pPr>
        <w:pStyle w:val="Heading1"/>
      </w:pPr>
      <w:r>
        <w:t>Contents</w:t>
      </w:r>
    </w:p>
    <w:p>
      <w:pPr>
        <w:spacing w:after="24"/>
      </w:pPr>
      <w:r>
        <w:rPr>
          <w:rFonts w:ascii="Aptos" w:hAnsi="Aptos"/>
          <w:sz w:val="18"/>
        </w:rPr>
        <w:t>1. Purpose, Objectives and Scope</w:t>
      </w:r>
    </w:p>
    <w:p>
      <w:pPr>
        <w:spacing w:after="24"/>
      </w:pPr>
      <w:r>
        <w:rPr>
          <w:rFonts w:ascii="Aptos" w:hAnsi="Aptos"/>
          <w:sz w:val="18"/>
        </w:rPr>
        <w:t>2. Framework Hierarchy and Relationship to Policies</w:t>
      </w:r>
    </w:p>
    <w:p>
      <w:pPr>
        <w:spacing w:after="24"/>
      </w:pPr>
      <w:r>
        <w:rPr>
          <w:rFonts w:ascii="Aptos" w:hAnsi="Aptos"/>
          <w:sz w:val="18"/>
        </w:rPr>
        <w:t>3. Risk Governance Structure</w:t>
      </w:r>
    </w:p>
    <w:p>
      <w:pPr>
        <w:spacing w:after="24"/>
      </w:pPr>
      <w:r>
        <w:rPr>
          <w:rFonts w:ascii="Aptos" w:hAnsi="Aptos"/>
          <w:sz w:val="18"/>
        </w:rPr>
        <w:t>4. Three Lines Model</w:t>
      </w:r>
    </w:p>
    <w:p>
      <w:pPr>
        <w:spacing w:after="24"/>
      </w:pPr>
      <w:r>
        <w:rPr>
          <w:rFonts w:ascii="Aptos" w:hAnsi="Aptos"/>
          <w:sz w:val="18"/>
        </w:rPr>
        <w:t>5. Enterprise Risk Taxonomy</w:t>
      </w:r>
    </w:p>
    <w:p>
      <w:pPr>
        <w:spacing w:after="24"/>
      </w:pPr>
      <w:r>
        <w:rPr>
          <w:rFonts w:ascii="Aptos" w:hAnsi="Aptos"/>
          <w:sz w:val="18"/>
        </w:rPr>
        <w:t>6. Risk Appetite and Limit Architecture</w:t>
      </w:r>
    </w:p>
    <w:p>
      <w:pPr>
        <w:spacing w:after="24"/>
      </w:pPr>
      <w:r>
        <w:rPr>
          <w:rFonts w:ascii="Aptos" w:hAnsi="Aptos"/>
          <w:sz w:val="18"/>
        </w:rPr>
        <w:t>7. Risk Identification</w:t>
      </w:r>
    </w:p>
    <w:p>
      <w:pPr>
        <w:spacing w:after="24"/>
      </w:pPr>
      <w:r>
        <w:rPr>
          <w:rFonts w:ascii="Aptos" w:hAnsi="Aptos"/>
          <w:sz w:val="18"/>
        </w:rPr>
        <w:t>8. Risk Assessment Methodology</w:t>
      </w:r>
    </w:p>
    <w:p>
      <w:pPr>
        <w:spacing w:after="24"/>
      </w:pPr>
      <w:r>
        <w:rPr>
          <w:rFonts w:ascii="Aptos" w:hAnsi="Aptos"/>
          <w:sz w:val="18"/>
        </w:rPr>
        <w:t>9. Impact Assessment</w:t>
      </w:r>
    </w:p>
    <w:p>
      <w:pPr>
        <w:spacing w:after="24"/>
      </w:pPr>
      <w:r>
        <w:rPr>
          <w:rFonts w:ascii="Aptos" w:hAnsi="Aptos"/>
          <w:sz w:val="18"/>
        </w:rPr>
        <w:t>10. Control Design and Control Effectiveness</w:t>
      </w:r>
    </w:p>
    <w:p>
      <w:pPr>
        <w:spacing w:after="24"/>
      </w:pPr>
      <w:r>
        <w:rPr>
          <w:rFonts w:ascii="Aptos" w:hAnsi="Aptos"/>
          <w:sz w:val="18"/>
        </w:rPr>
        <w:t>11. Residual Risk and Risk Acceptance</w:t>
      </w:r>
    </w:p>
    <w:p>
      <w:pPr>
        <w:spacing w:after="24"/>
      </w:pPr>
      <w:r>
        <w:rPr>
          <w:rFonts w:ascii="Aptos" w:hAnsi="Aptos"/>
          <w:sz w:val="18"/>
        </w:rPr>
        <w:t>12. Key Risk Indicators and Limits</w:t>
      </w:r>
    </w:p>
    <w:p>
      <w:pPr>
        <w:spacing w:after="24"/>
      </w:pPr>
      <w:r>
        <w:rPr>
          <w:rFonts w:ascii="Aptos" w:hAnsi="Aptos"/>
          <w:sz w:val="18"/>
        </w:rPr>
        <w:t>13. Credit Risk Management</w:t>
      </w:r>
    </w:p>
    <w:p>
      <w:pPr>
        <w:spacing w:after="24"/>
      </w:pPr>
      <w:r>
        <w:rPr>
          <w:rFonts w:ascii="Aptos" w:hAnsi="Aptos"/>
          <w:sz w:val="18"/>
        </w:rPr>
        <w:t>14. Market and Investment Risk</w:t>
      </w:r>
    </w:p>
    <w:p>
      <w:pPr>
        <w:spacing w:after="24"/>
      </w:pPr>
      <w:r>
        <w:rPr>
          <w:rFonts w:ascii="Aptos" w:hAnsi="Aptos"/>
          <w:sz w:val="18"/>
        </w:rPr>
        <w:t>15. Liquidity Risk</w:t>
      </w:r>
    </w:p>
    <w:p>
      <w:pPr>
        <w:spacing w:after="24"/>
      </w:pPr>
      <w:r>
        <w:rPr>
          <w:rFonts w:ascii="Aptos" w:hAnsi="Aptos"/>
          <w:sz w:val="18"/>
        </w:rPr>
        <w:t>16. Operational Risk</w:t>
      </w:r>
    </w:p>
    <w:p>
      <w:pPr>
        <w:spacing w:after="24"/>
      </w:pPr>
      <w:r>
        <w:rPr>
          <w:rFonts w:ascii="Aptos" w:hAnsi="Aptos"/>
          <w:sz w:val="18"/>
        </w:rPr>
        <w:t>17. Fraud Risk</w:t>
      </w:r>
    </w:p>
    <w:p>
      <w:pPr>
        <w:spacing w:after="24"/>
      </w:pPr>
      <w:r>
        <w:rPr>
          <w:rFonts w:ascii="Aptos" w:hAnsi="Aptos"/>
          <w:sz w:val="18"/>
        </w:rPr>
        <w:t>18. Compliance and Conduct Risk</w:t>
      </w:r>
    </w:p>
    <w:p>
      <w:pPr>
        <w:spacing w:after="24"/>
      </w:pPr>
      <w:r>
        <w:rPr>
          <w:rFonts w:ascii="Aptos" w:hAnsi="Aptos"/>
          <w:sz w:val="18"/>
        </w:rPr>
        <w:t>19. AML, KYC and Financial-Crime Risk</w:t>
      </w:r>
    </w:p>
    <w:p>
      <w:pPr>
        <w:spacing w:after="24"/>
      </w:pPr>
      <w:r>
        <w:rPr>
          <w:rFonts w:ascii="Aptos" w:hAnsi="Aptos"/>
          <w:sz w:val="18"/>
        </w:rPr>
        <w:t>20. Cyber and Information Security Risk</w:t>
      </w:r>
    </w:p>
    <w:p>
      <w:pPr>
        <w:spacing w:after="24"/>
      </w:pPr>
      <w:r>
        <w:rPr>
          <w:rFonts w:ascii="Aptos" w:hAnsi="Aptos"/>
          <w:sz w:val="18"/>
        </w:rPr>
        <w:t>21. Model Risk</w:t>
      </w:r>
    </w:p>
    <w:p>
      <w:pPr>
        <w:spacing w:after="24"/>
      </w:pPr>
      <w:r>
        <w:rPr>
          <w:rFonts w:ascii="Aptos" w:hAnsi="Aptos"/>
          <w:sz w:val="18"/>
        </w:rPr>
        <w:t>22. Reputational and Strategic Risk</w:t>
      </w:r>
    </w:p>
    <w:p>
      <w:pPr>
        <w:spacing w:after="24"/>
      </w:pPr>
      <w:r>
        <w:rPr>
          <w:rFonts w:ascii="Aptos" w:hAnsi="Aptos"/>
          <w:sz w:val="18"/>
        </w:rPr>
        <w:t>23. Stress Testing and Scenario Analysis</w:t>
      </w:r>
    </w:p>
    <w:p>
      <w:pPr>
        <w:spacing w:after="24"/>
      </w:pPr>
      <w:r>
        <w:rPr>
          <w:rFonts w:ascii="Aptos" w:hAnsi="Aptos"/>
          <w:sz w:val="18"/>
        </w:rPr>
        <w:t>24. Risk Incidents, Issues and Remediation</w:t>
      </w:r>
    </w:p>
    <w:p>
      <w:pPr>
        <w:spacing w:after="24"/>
      </w:pPr>
      <w:r>
        <w:rPr>
          <w:rFonts w:ascii="Aptos" w:hAnsi="Aptos"/>
          <w:sz w:val="18"/>
        </w:rPr>
        <w:t>25. Risk Reporting and Escalation</w:t>
      </w:r>
    </w:p>
    <w:p>
      <w:pPr>
        <w:spacing w:after="24"/>
      </w:pPr>
      <w:r>
        <w:rPr>
          <w:rFonts w:ascii="Aptos" w:hAnsi="Aptos"/>
          <w:sz w:val="18"/>
        </w:rPr>
        <w:t>26. New Product and Change Risk Assessment</w:t>
      </w:r>
    </w:p>
    <w:p>
      <w:pPr>
        <w:spacing w:after="24"/>
      </w:pPr>
      <w:r>
        <w:rPr>
          <w:rFonts w:ascii="Aptos" w:hAnsi="Aptos"/>
          <w:sz w:val="18"/>
        </w:rPr>
        <w:t>27. Exceptions, Breaches and Escalation Hierarchy</w:t>
      </w:r>
    </w:p>
    <w:p>
      <w:pPr>
        <w:spacing w:after="24"/>
      </w:pPr>
      <w:r>
        <w:rPr>
          <w:rFonts w:ascii="Aptos" w:hAnsi="Aptos"/>
          <w:sz w:val="18"/>
        </w:rPr>
        <w:t>28. Framework Review and Assurance</w:t>
      </w:r>
    </w:p>
    <w:p>
      <w:pPr>
        <w:spacing w:after="24"/>
      </w:pPr>
      <w:r>
        <w:rPr>
          <w:rFonts w:ascii="Aptos" w:hAnsi="Aptos"/>
          <w:sz w:val="18"/>
        </w:rPr>
        <w:t>29. Enterprise Risk Matrix</w:t>
      </w:r>
    </w:p>
    <w:p>
      <w:pPr>
        <w:spacing w:after="24"/>
      </w:pPr>
      <w:r>
        <w:rPr>
          <w:rFonts w:ascii="Aptos" w:hAnsi="Aptos"/>
          <w:sz w:val="18"/>
        </w:rPr>
        <w:t>30. Risk Register Minimum Fields</w:t>
      </w:r>
    </w:p>
    <w:p>
      <w:pPr>
        <w:spacing w:after="24"/>
      </w:pPr>
      <w:r>
        <w:rPr>
          <w:rFonts w:ascii="Aptos" w:hAnsi="Aptos"/>
          <w:sz w:val="18"/>
        </w:rPr>
        <w:t>31. Enterprise Escalation Guide</w:t>
      </w:r>
      <w:r>
        <w:br/>
        <w:t>32. Enterprise Risk Taxonomy — Detailed Subcategories</w:t>
      </w:r>
      <w:r>
        <w:br/>
        <w:t>33. Enterprise KRI Library</w:t>
      </w:r>
      <w:r>
        <w:br/>
        <w:t>34. Cross-Risk Event Scenarios and Required Response</w:t>
      </w:r>
      <w:r>
        <w:br/>
        <w:t>35. Enterprise Stress Scenario Catalogue</w:t>
      </w:r>
      <w:r>
        <w:br/>
        <w:t>36. Risk Committee Pack Minimum Content</w:t>
      </w:r>
    </w:p>
    <w:p>
      <w:r>
        <w:br w:type="page"/>
      </w:r>
    </w:p>
    <w:p>
      <w:pPr>
        <w:pStyle w:val="Heading1"/>
        <w:keepNext/>
      </w:pPr>
      <w:r>
        <w:t>1. Purpose, Objectives and Scope</w:t>
      </w:r>
    </w:p>
    <w:p>
      <w:r>
        <w:t>The Risk Management Framework (RMF) establishes how Northstar Financial identifies, assesses, controls, monitors and reports material risks across lending, deposits, investments, operations and enabling functions. It provides the enterprise structure within which more detailed policies and procedures operate.</w:t>
      </w:r>
    </w:p>
    <w:p>
      <w:r>
        <w:t>The RMF is designed to support informed risk-taking rather than eliminate risk. Business decisions shall be made within approved appetite, delegated authority and control standards, with escalation when limits are approached or breached.</w:t>
      </w:r>
    </w:p>
    <w:p>
      <w:pPr>
        <w:pStyle w:val="ControlBullet"/>
      </w:pPr>
      <w:r>
        <w:rPr>
          <w:b/>
        </w:rPr>
        <w:t xml:space="preserve">• </w:t>
      </w:r>
      <w:r>
        <w:t>Maintain a common risk taxonomy and ownership model.</w:t>
      </w:r>
    </w:p>
    <w:p>
      <w:pPr>
        <w:pStyle w:val="ControlBullet"/>
      </w:pPr>
      <w:r>
        <w:rPr>
          <w:b/>
        </w:rPr>
        <w:t xml:space="preserve">• </w:t>
      </w:r>
      <w:r>
        <w:t>Link risk appetite to limits, key risk indicators (KRIs), stress testing and management action.</w:t>
      </w:r>
    </w:p>
    <w:p>
      <w:pPr>
        <w:pStyle w:val="ControlBullet"/>
      </w:pPr>
      <w:r>
        <w:rPr>
          <w:b/>
        </w:rPr>
        <w:t xml:space="preserve">• </w:t>
      </w:r>
      <w:r>
        <w:t>Preserve independent second-line challenge and third-line assurance.</w:t>
      </w:r>
    </w:p>
    <w:p>
      <w:pPr>
        <w:pStyle w:val="ControlBullet"/>
      </w:pPr>
      <w:r>
        <w:rPr>
          <w:b/>
        </w:rPr>
        <w:t xml:space="preserve">• </w:t>
      </w:r>
      <w:r>
        <w:t>Require explicit acceptance of material residual risk rather than implicit tolerance through inaction.</w:t>
      </w:r>
    </w:p>
    <w:p>
      <w:pPr>
        <w:pStyle w:val="Heading1"/>
        <w:keepNext/>
      </w:pPr>
      <w:r>
        <w:t>2. Framework Hierarchy and Relationship to Policies</w:t>
      </w:r>
    </w:p>
    <w:p>
      <w:r>
        <w:t>The RMF is an enterprise framework. Board-approved or committee-approved risk policies define detailed risk rules; standards and procedures translate those rules into operating controls. A more restrictive product procedure may apply within its scope without changing the enterprise framework.</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160"/>
            <w:shd w:fill="17365D"/>
            <w:vAlign w:val="center"/>
            <w:tcMar>
              <w:top w:w="80" w:type="dxa"/>
              <w:start w:w="90" w:type="dxa"/>
              <w:bottom w:w="80" w:type="dxa"/>
              <w:end w:w="90" w:type="dxa"/>
            </w:tcMar>
          </w:tcPr>
          <w:p>
            <w:r>
              <w:rPr>
                <w:rFonts w:ascii="Aptos" w:hAnsi="Aptos"/>
                <w:b/>
                <w:color w:val="FFFFFF"/>
                <w:sz w:val="16"/>
              </w:rPr>
              <w:t>Level</w:t>
            </w:r>
          </w:p>
        </w:tc>
        <w:tc>
          <w:tcPr>
            <w:tcW w:type="dxa" w:w="4896"/>
            <w:shd w:fill="17365D"/>
            <w:vAlign w:val="center"/>
            <w:tcMar>
              <w:top w:w="80" w:type="dxa"/>
              <w:start w:w="90" w:type="dxa"/>
              <w:bottom w:w="80" w:type="dxa"/>
              <w:end w:w="90" w:type="dxa"/>
            </w:tcMar>
          </w:tcPr>
          <w:p>
            <w:r>
              <w:rPr>
                <w:rFonts w:ascii="Aptos" w:hAnsi="Aptos"/>
                <w:b/>
                <w:color w:val="FFFFFF"/>
                <w:sz w:val="16"/>
              </w:rPr>
              <w:t>Examples</w:t>
            </w:r>
          </w:p>
        </w:tc>
        <w:tc>
          <w:tcPr>
            <w:tcW w:type="dxa" w:w="3312"/>
            <w:shd w:fill="17365D"/>
            <w:vAlign w:val="center"/>
            <w:tcMar>
              <w:top w:w="80" w:type="dxa"/>
              <w:start w:w="90" w:type="dxa"/>
              <w:bottom w:w="80" w:type="dxa"/>
              <w:end w:w="90" w:type="dxa"/>
            </w:tcMar>
          </w:tcPr>
          <w:p>
            <w:r>
              <w:rPr>
                <w:rFonts w:ascii="Aptos" w:hAnsi="Aptos"/>
                <w:b/>
                <w:color w:val="FFFFFF"/>
                <w:sz w:val="16"/>
              </w:rPr>
              <w:t>Purpose</w:t>
            </w:r>
          </w:p>
        </w:tc>
      </w:tr>
      <w:tr>
        <w:tc>
          <w:tcPr>
            <w:tcW w:type="dxa" w:w="2160"/>
            <w:tcMar>
              <w:top w:w="80" w:type="dxa"/>
              <w:start w:w="90" w:type="dxa"/>
              <w:bottom w:w="80" w:type="dxa"/>
              <w:end w:w="90" w:type="dxa"/>
            </w:tcMar>
            <w:vAlign w:val="top"/>
          </w:tcPr>
          <w:p>
            <w:r>
              <w:rPr>
                <w:rFonts w:ascii="Aptos" w:hAnsi="Aptos"/>
                <w:b w:val="0"/>
                <w:sz w:val="16"/>
              </w:rPr>
              <w:t>Board / Committee Policy</w:t>
            </w:r>
          </w:p>
        </w:tc>
        <w:tc>
          <w:tcPr>
            <w:tcW w:type="dxa" w:w="4896"/>
            <w:tcMar>
              <w:top w:w="80" w:type="dxa"/>
              <w:start w:w="90" w:type="dxa"/>
              <w:bottom w:w="80" w:type="dxa"/>
              <w:end w:w="90" w:type="dxa"/>
            </w:tcMar>
            <w:vAlign w:val="top"/>
          </w:tcPr>
          <w:p>
            <w:r>
              <w:rPr>
                <w:rFonts w:ascii="Aptos" w:hAnsi="Aptos"/>
                <w:b w:val="0"/>
                <w:sz w:val="16"/>
              </w:rPr>
              <w:t>CRP-001; AML-003; Information Security Policy (future Batch 5)</w:t>
            </w:r>
          </w:p>
        </w:tc>
        <w:tc>
          <w:tcPr>
            <w:tcW w:type="dxa" w:w="3312"/>
            <w:tcMar>
              <w:top w:w="80" w:type="dxa"/>
              <w:start w:w="90" w:type="dxa"/>
              <w:bottom w:w="80" w:type="dxa"/>
              <w:end w:w="90" w:type="dxa"/>
            </w:tcMar>
            <w:vAlign w:val="top"/>
          </w:tcPr>
          <w:p>
            <w:r>
              <w:rPr>
                <w:rFonts w:ascii="Aptos" w:hAnsi="Aptos"/>
                <w:b w:val="0"/>
                <w:sz w:val="16"/>
              </w:rPr>
              <w:t>Risk principles, mandatory controls and policy limits</w:t>
            </w:r>
          </w:p>
        </w:tc>
      </w:tr>
      <w:tr>
        <w:tc>
          <w:tcPr>
            <w:tcW w:type="dxa" w:w="2160"/>
            <w:tcMar>
              <w:top w:w="80" w:type="dxa"/>
              <w:start w:w="90" w:type="dxa"/>
              <w:bottom w:w="80" w:type="dxa"/>
              <w:end w:w="90" w:type="dxa"/>
            </w:tcMar>
            <w:vAlign w:val="top"/>
            <w:shd w:fill="F7FAFC"/>
          </w:tcPr>
          <w:p>
            <w:r>
              <w:rPr>
                <w:rFonts w:ascii="Aptos" w:hAnsi="Aptos"/>
                <w:b w:val="0"/>
                <w:sz w:val="16"/>
              </w:rPr>
              <w:t>Framework</w:t>
            </w:r>
          </w:p>
        </w:tc>
        <w:tc>
          <w:tcPr>
            <w:tcW w:type="dxa" w:w="4896"/>
            <w:tcMar>
              <w:top w:w="80" w:type="dxa"/>
              <w:start w:w="90" w:type="dxa"/>
              <w:bottom w:w="80" w:type="dxa"/>
              <w:end w:w="90" w:type="dxa"/>
            </w:tcMar>
            <w:vAlign w:val="top"/>
            <w:shd w:fill="F7FAFC"/>
          </w:tcPr>
          <w:p>
            <w:r>
              <w:rPr>
                <w:rFonts w:ascii="Aptos" w:hAnsi="Aptos"/>
                <w:b w:val="0"/>
                <w:sz w:val="16"/>
              </w:rPr>
              <w:t>RMF-008</w:t>
            </w:r>
          </w:p>
        </w:tc>
        <w:tc>
          <w:tcPr>
            <w:tcW w:type="dxa" w:w="3312"/>
            <w:tcMar>
              <w:top w:w="80" w:type="dxa"/>
              <w:start w:w="90" w:type="dxa"/>
              <w:bottom w:w="80" w:type="dxa"/>
              <w:end w:w="90" w:type="dxa"/>
            </w:tcMar>
            <w:vAlign w:val="top"/>
            <w:shd w:fill="F7FAFC"/>
          </w:tcPr>
          <w:p>
            <w:r>
              <w:rPr>
                <w:rFonts w:ascii="Aptos" w:hAnsi="Aptos"/>
                <w:b w:val="0"/>
                <w:sz w:val="16"/>
              </w:rPr>
              <w:t>Enterprise risk governance and methods</w:t>
            </w:r>
          </w:p>
        </w:tc>
      </w:tr>
      <w:tr>
        <w:tc>
          <w:tcPr>
            <w:tcW w:type="dxa" w:w="2160"/>
            <w:tcMar>
              <w:top w:w="80" w:type="dxa"/>
              <w:start w:w="90" w:type="dxa"/>
              <w:bottom w:w="80" w:type="dxa"/>
              <w:end w:w="90" w:type="dxa"/>
            </w:tcMar>
            <w:vAlign w:val="top"/>
          </w:tcPr>
          <w:p>
            <w:r>
              <w:rPr>
                <w:rFonts w:ascii="Aptos" w:hAnsi="Aptos"/>
                <w:b w:val="0"/>
                <w:sz w:val="16"/>
              </w:rPr>
              <w:t>Risk Appetite Statement</w:t>
            </w:r>
          </w:p>
        </w:tc>
        <w:tc>
          <w:tcPr>
            <w:tcW w:type="dxa" w:w="4896"/>
            <w:tcMar>
              <w:top w:w="80" w:type="dxa"/>
              <w:start w:w="90" w:type="dxa"/>
              <w:bottom w:w="80" w:type="dxa"/>
              <w:end w:w="90" w:type="dxa"/>
            </w:tcMar>
            <w:vAlign w:val="top"/>
          </w:tcPr>
          <w:p>
            <w:r>
              <w:rPr>
                <w:rFonts w:ascii="Aptos" w:hAnsi="Aptos"/>
                <w:b w:val="0"/>
                <w:sz w:val="16"/>
              </w:rPr>
              <w:t>RAS-009</w:t>
            </w:r>
          </w:p>
        </w:tc>
        <w:tc>
          <w:tcPr>
            <w:tcW w:type="dxa" w:w="3312"/>
            <w:tcMar>
              <w:top w:w="80" w:type="dxa"/>
              <w:start w:w="90" w:type="dxa"/>
              <w:bottom w:w="80" w:type="dxa"/>
              <w:end w:w="90" w:type="dxa"/>
            </w:tcMar>
            <w:vAlign w:val="top"/>
          </w:tcPr>
          <w:p>
            <w:r>
              <w:rPr>
                <w:rFonts w:ascii="Aptos" w:hAnsi="Aptos"/>
                <w:b w:val="0"/>
                <w:sz w:val="16"/>
              </w:rPr>
              <w:t>Aggregate appetite, tolerance and escalation</w:t>
            </w:r>
          </w:p>
        </w:tc>
      </w:tr>
      <w:tr>
        <w:tc>
          <w:tcPr>
            <w:tcW w:type="dxa" w:w="2160"/>
            <w:tcMar>
              <w:top w:w="80" w:type="dxa"/>
              <w:start w:w="90" w:type="dxa"/>
              <w:bottom w:w="80" w:type="dxa"/>
              <w:end w:w="90" w:type="dxa"/>
            </w:tcMar>
            <w:vAlign w:val="top"/>
            <w:shd w:fill="F7FAFC"/>
          </w:tcPr>
          <w:p>
            <w:r>
              <w:rPr>
                <w:rFonts w:ascii="Aptos" w:hAnsi="Aptos"/>
                <w:b w:val="0"/>
                <w:sz w:val="16"/>
              </w:rPr>
              <w:t>Standards / Procedures</w:t>
            </w:r>
          </w:p>
        </w:tc>
        <w:tc>
          <w:tcPr>
            <w:tcW w:type="dxa" w:w="4896"/>
            <w:tcMar>
              <w:top w:w="80" w:type="dxa"/>
              <w:start w:w="90" w:type="dxa"/>
              <w:bottom w:w="80" w:type="dxa"/>
              <w:end w:w="90" w:type="dxa"/>
            </w:tcMar>
            <w:vAlign w:val="top"/>
            <w:shd w:fill="F7FAFC"/>
          </w:tcPr>
          <w:p>
            <w:r>
              <w:rPr>
                <w:rFonts w:ascii="Aptos" w:hAnsi="Aptos"/>
                <w:b w:val="0"/>
                <w:sz w:val="16"/>
              </w:rPr>
              <w:t>PLU-011; EDD-032; ATM-031</w:t>
            </w:r>
          </w:p>
        </w:tc>
        <w:tc>
          <w:tcPr>
            <w:tcW w:type="dxa" w:w="3312"/>
            <w:tcMar>
              <w:top w:w="80" w:type="dxa"/>
              <w:start w:w="90" w:type="dxa"/>
              <w:bottom w:w="80" w:type="dxa"/>
              <w:end w:w="90" w:type="dxa"/>
            </w:tcMar>
            <w:vAlign w:val="top"/>
            <w:shd w:fill="F7FAFC"/>
          </w:tcPr>
          <w:p>
            <w:r>
              <w:rPr>
                <w:rFonts w:ascii="Aptos" w:hAnsi="Aptos"/>
                <w:b w:val="0"/>
                <w:sz w:val="16"/>
              </w:rPr>
              <w:t>Operational control requirements</w:t>
            </w:r>
          </w:p>
        </w:tc>
      </w:tr>
      <w:tr>
        <w:tc>
          <w:tcPr>
            <w:tcW w:type="dxa" w:w="2160"/>
            <w:tcMar>
              <w:top w:w="80" w:type="dxa"/>
              <w:start w:w="90" w:type="dxa"/>
              <w:bottom w:w="80" w:type="dxa"/>
              <w:end w:w="90" w:type="dxa"/>
            </w:tcMar>
            <w:vAlign w:val="top"/>
          </w:tcPr>
          <w:p>
            <w:r>
              <w:rPr>
                <w:rFonts w:ascii="Aptos" w:hAnsi="Aptos"/>
                <w:b w:val="0"/>
                <w:sz w:val="16"/>
              </w:rPr>
              <w:t>Schedules / Registers</w:t>
            </w:r>
          </w:p>
        </w:tc>
        <w:tc>
          <w:tcPr>
            <w:tcW w:type="dxa" w:w="4896"/>
            <w:tcMar>
              <w:top w:w="80" w:type="dxa"/>
              <w:start w:w="90" w:type="dxa"/>
              <w:bottom w:w="80" w:type="dxa"/>
              <w:end w:w="90" w:type="dxa"/>
            </w:tcMar>
            <w:vAlign w:val="top"/>
          </w:tcPr>
          <w:p>
            <w:r>
              <w:rPr>
                <w:rFonts w:ascii="Aptos" w:hAnsi="Aptos"/>
                <w:b w:val="0"/>
                <w:sz w:val="16"/>
              </w:rPr>
              <w:t>CDAS-007; risk registers; exception registers</w:t>
            </w:r>
          </w:p>
        </w:tc>
        <w:tc>
          <w:tcPr>
            <w:tcW w:type="dxa" w:w="3312"/>
            <w:tcMar>
              <w:top w:w="80" w:type="dxa"/>
              <w:start w:w="90" w:type="dxa"/>
              <w:bottom w:w="80" w:type="dxa"/>
              <w:end w:w="90" w:type="dxa"/>
            </w:tcMar>
            <w:vAlign w:val="top"/>
          </w:tcPr>
          <w:p>
            <w:r>
              <w:rPr>
                <w:rFonts w:ascii="Aptos" w:hAnsi="Aptos"/>
                <w:b w:val="0"/>
                <w:sz w:val="16"/>
              </w:rPr>
              <w:t>Authorities, thresholds and evidence</w:t>
            </w:r>
          </w:p>
        </w:tc>
      </w:tr>
    </w:tbl>
    <w:p/>
    <w:p>
      <w:pPr>
        <w:pStyle w:val="Heading1"/>
        <w:keepNext/>
      </w:pPr>
      <w:r>
        <w:t>3. Risk Governance Structure</w:t>
      </w:r>
    </w:p>
    <w:p>
      <w:r>
        <w:t>The Board Risk Committee oversees enterprise risk. Management committees operate within delegated terms of reference. The Chief Risk Officer is accountable for enterprise risk methodology, aggregation and independent challenge, while specialist control functions retain ownership of their risk domains.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312"/>
            <w:shd w:fill="17365D"/>
            <w:vAlign w:val="center"/>
            <w:tcMar>
              <w:top w:w="80" w:type="dxa"/>
              <w:start w:w="90" w:type="dxa"/>
              <w:bottom w:w="80" w:type="dxa"/>
              <w:end w:w="90" w:type="dxa"/>
            </w:tcMar>
          </w:tcPr>
          <w:p>
            <w:r>
              <w:rPr>
                <w:rFonts w:ascii="Aptos" w:hAnsi="Aptos"/>
                <w:b/>
                <w:color w:val="FFFFFF"/>
                <w:sz w:val="16"/>
              </w:rPr>
              <w:t>Body / Role</w:t>
            </w:r>
          </w:p>
        </w:tc>
        <w:tc>
          <w:tcPr>
            <w:tcW w:type="dxa" w:w="7056"/>
            <w:shd w:fill="17365D"/>
            <w:vAlign w:val="center"/>
            <w:tcMar>
              <w:top w:w="80" w:type="dxa"/>
              <w:start w:w="90" w:type="dxa"/>
              <w:bottom w:w="80" w:type="dxa"/>
              <w:end w:w="90" w:type="dxa"/>
            </w:tcMar>
          </w:tcPr>
          <w:p>
            <w:r>
              <w:rPr>
                <w:rFonts w:ascii="Aptos" w:hAnsi="Aptos"/>
                <w:b/>
                <w:color w:val="FFFFFF"/>
                <w:sz w:val="16"/>
              </w:rPr>
              <w:t>Primary Risk Responsibilities</w:t>
            </w:r>
          </w:p>
        </w:tc>
      </w:tr>
      <w:tr>
        <w:tc>
          <w:tcPr>
            <w:tcW w:type="dxa" w:w="3312"/>
            <w:tcMar>
              <w:top w:w="80" w:type="dxa"/>
              <w:start w:w="90" w:type="dxa"/>
              <w:bottom w:w="80" w:type="dxa"/>
              <w:end w:w="90" w:type="dxa"/>
            </w:tcMar>
            <w:vAlign w:val="top"/>
          </w:tcPr>
          <w:p>
            <w:r>
              <w:rPr>
                <w:rFonts w:ascii="Aptos" w:hAnsi="Aptos"/>
                <w:b w:val="0"/>
                <w:sz w:val="16"/>
              </w:rPr>
              <w:t>Board Risk Committee</w:t>
            </w:r>
          </w:p>
        </w:tc>
        <w:tc>
          <w:tcPr>
            <w:tcW w:type="dxa" w:w="7056"/>
            <w:tcMar>
              <w:top w:w="80" w:type="dxa"/>
              <w:start w:w="90" w:type="dxa"/>
              <w:bottom w:w="80" w:type="dxa"/>
              <w:end w:w="90" w:type="dxa"/>
            </w:tcMar>
            <w:vAlign w:val="top"/>
          </w:tcPr>
          <w:p>
            <w:r>
              <w:rPr>
                <w:rFonts w:ascii="Aptos" w:hAnsi="Aptos"/>
                <w:b w:val="0"/>
                <w:sz w:val="16"/>
              </w:rPr>
              <w:t>Approve enterprise risk appetite; review material risk profile, breaches and stress outcomes</w:t>
            </w:r>
          </w:p>
        </w:tc>
      </w:tr>
      <w:tr>
        <w:tc>
          <w:tcPr>
            <w:tcW w:type="dxa" w:w="3312"/>
            <w:tcMar>
              <w:top w:w="80" w:type="dxa"/>
              <w:start w:w="90" w:type="dxa"/>
              <w:bottom w:w="80" w:type="dxa"/>
              <w:end w:w="90" w:type="dxa"/>
            </w:tcMar>
            <w:vAlign w:val="top"/>
            <w:shd w:fill="F7FAFC"/>
          </w:tcPr>
          <w:p>
            <w:r>
              <w:rPr>
                <w:rFonts w:ascii="Aptos" w:hAnsi="Aptos"/>
                <w:b w:val="0"/>
                <w:sz w:val="16"/>
              </w:rPr>
              <w:t>Chief Risk Officer</w:t>
            </w:r>
          </w:p>
        </w:tc>
        <w:tc>
          <w:tcPr>
            <w:tcW w:type="dxa" w:w="7056"/>
            <w:tcMar>
              <w:top w:w="80" w:type="dxa"/>
              <w:start w:w="90" w:type="dxa"/>
              <w:bottom w:w="80" w:type="dxa"/>
              <w:end w:w="90" w:type="dxa"/>
            </w:tcMar>
            <w:vAlign w:val="top"/>
            <w:shd w:fill="F7FAFC"/>
          </w:tcPr>
          <w:p>
            <w:r>
              <w:rPr>
                <w:rFonts w:ascii="Aptos" w:hAnsi="Aptos"/>
                <w:b w:val="0"/>
                <w:sz w:val="16"/>
              </w:rPr>
              <w:t>Maintain RMF; independent challenge; risk aggregation; escalation to Board/CEO</w:t>
            </w:r>
          </w:p>
        </w:tc>
      </w:tr>
      <w:tr>
        <w:tc>
          <w:tcPr>
            <w:tcW w:type="dxa" w:w="3312"/>
            <w:tcMar>
              <w:top w:w="80" w:type="dxa"/>
              <w:start w:w="90" w:type="dxa"/>
              <w:bottom w:w="80" w:type="dxa"/>
              <w:end w:w="90" w:type="dxa"/>
            </w:tcMar>
            <w:vAlign w:val="top"/>
          </w:tcPr>
          <w:p>
            <w:r>
              <w:rPr>
                <w:rFonts w:ascii="Aptos" w:hAnsi="Aptos"/>
                <w:b w:val="0"/>
                <w:sz w:val="16"/>
              </w:rPr>
              <w:t>Credit Risk Committee</w:t>
            </w:r>
          </w:p>
        </w:tc>
        <w:tc>
          <w:tcPr>
            <w:tcW w:type="dxa" w:w="7056"/>
            <w:tcMar>
              <w:top w:w="80" w:type="dxa"/>
              <w:start w:w="90" w:type="dxa"/>
              <w:bottom w:w="80" w:type="dxa"/>
              <w:end w:w="90" w:type="dxa"/>
            </w:tcMar>
            <w:vAlign w:val="top"/>
          </w:tcPr>
          <w:p>
            <w:r>
              <w:rPr>
                <w:rFonts w:ascii="Aptos" w:hAnsi="Aptos"/>
                <w:b w:val="0"/>
                <w:sz w:val="16"/>
              </w:rPr>
              <w:t>Portfolio credit risk, material policy exceptions, concentrations and underwriting performance</w:t>
            </w:r>
          </w:p>
        </w:tc>
      </w:tr>
      <w:tr>
        <w:tc>
          <w:tcPr>
            <w:tcW w:type="dxa" w:w="3312"/>
            <w:tcMar>
              <w:top w:w="80" w:type="dxa"/>
              <w:start w:w="90" w:type="dxa"/>
              <w:bottom w:w="80" w:type="dxa"/>
              <w:end w:w="90" w:type="dxa"/>
            </w:tcMar>
            <w:vAlign w:val="top"/>
            <w:shd w:fill="F7FAFC"/>
          </w:tcPr>
          <w:p>
            <w:r>
              <w:rPr>
                <w:rFonts w:ascii="Aptos" w:hAnsi="Aptos"/>
                <w:b w:val="0"/>
                <w:sz w:val="16"/>
              </w:rPr>
              <w:t>AML &amp; Financial Crime Committee</w:t>
            </w:r>
          </w:p>
        </w:tc>
        <w:tc>
          <w:tcPr>
            <w:tcW w:type="dxa" w:w="7056"/>
            <w:tcMar>
              <w:top w:w="80" w:type="dxa"/>
              <w:start w:w="90" w:type="dxa"/>
              <w:bottom w:w="80" w:type="dxa"/>
              <w:end w:w="90" w:type="dxa"/>
            </w:tcMar>
            <w:vAlign w:val="top"/>
            <w:shd w:fill="F7FAFC"/>
          </w:tcPr>
          <w:p>
            <w:r>
              <w:rPr>
                <w:rFonts w:ascii="Aptos" w:hAnsi="Aptos"/>
                <w:b w:val="0"/>
                <w:sz w:val="16"/>
              </w:rPr>
              <w:t>AML/KYC risk, high-risk acceptance themes, monitoring effectiveness and material issues</w:t>
            </w:r>
          </w:p>
        </w:tc>
      </w:tr>
      <w:tr>
        <w:tc>
          <w:tcPr>
            <w:tcW w:type="dxa" w:w="3312"/>
            <w:tcMar>
              <w:top w:w="80" w:type="dxa"/>
              <w:start w:w="90" w:type="dxa"/>
              <w:bottom w:w="80" w:type="dxa"/>
              <w:end w:w="90" w:type="dxa"/>
            </w:tcMar>
            <w:vAlign w:val="top"/>
          </w:tcPr>
          <w:p>
            <w:r>
              <w:rPr>
                <w:rFonts w:ascii="Aptos" w:hAnsi="Aptos"/>
                <w:b w:val="0"/>
                <w:sz w:val="16"/>
              </w:rPr>
              <w:t>Executive Management</w:t>
            </w:r>
          </w:p>
        </w:tc>
        <w:tc>
          <w:tcPr>
            <w:tcW w:type="dxa" w:w="7056"/>
            <w:tcMar>
              <w:top w:w="80" w:type="dxa"/>
              <w:start w:w="90" w:type="dxa"/>
              <w:bottom w:w="80" w:type="dxa"/>
              <w:end w:w="90" w:type="dxa"/>
            </w:tcMar>
            <w:vAlign w:val="top"/>
          </w:tcPr>
          <w:p>
            <w:r>
              <w:rPr>
                <w:rFonts w:ascii="Aptos" w:hAnsi="Aptos"/>
                <w:b w:val="0"/>
                <w:sz w:val="16"/>
              </w:rPr>
              <w:t>Operate within appetite; allocate resources; approve management actions</w:t>
            </w:r>
          </w:p>
        </w:tc>
      </w:tr>
      <w:tr>
        <w:tc>
          <w:tcPr>
            <w:tcW w:type="dxa" w:w="3312"/>
            <w:tcMar>
              <w:top w:w="80" w:type="dxa"/>
              <w:start w:w="90" w:type="dxa"/>
              <w:bottom w:w="80" w:type="dxa"/>
              <w:end w:w="90" w:type="dxa"/>
            </w:tcMar>
            <w:vAlign w:val="top"/>
            <w:shd w:fill="F7FAFC"/>
          </w:tcPr>
          <w:p>
            <w:r>
              <w:rPr>
                <w:rFonts w:ascii="Aptos" w:hAnsi="Aptos"/>
                <w:b w:val="0"/>
                <w:sz w:val="16"/>
              </w:rPr>
              <w:t>Internal Audit</w:t>
            </w:r>
          </w:p>
        </w:tc>
        <w:tc>
          <w:tcPr>
            <w:tcW w:type="dxa" w:w="7056"/>
            <w:tcMar>
              <w:top w:w="80" w:type="dxa"/>
              <w:start w:w="90" w:type="dxa"/>
              <w:bottom w:w="80" w:type="dxa"/>
              <w:end w:w="90" w:type="dxa"/>
            </w:tcMar>
            <w:vAlign w:val="top"/>
            <w:shd w:fill="F7FAFC"/>
          </w:tcPr>
          <w:p>
            <w:r>
              <w:rPr>
                <w:rFonts w:ascii="Aptos" w:hAnsi="Aptos"/>
                <w:b w:val="0"/>
                <w:sz w:val="16"/>
              </w:rPr>
              <w:t>Independent assurance over governance, design and operating effectiveness</w:t>
            </w:r>
          </w:p>
        </w:tc>
      </w:tr>
    </w:tbl>
    <w:p/>
    <w:p>
      <w:pPr>
        <w:pStyle w:val="Heading1"/>
        <w:keepNext/>
      </w:pPr>
      <w:r>
        <w:t>4. Three Lines Model</w:t>
      </w:r>
    </w:p>
    <w:p>
      <w:r>
        <w:t>Northstar applies a three-lines model. The first line owns business and operational risk; the second line sets frameworks, challenges and monitors; the third line provides independent assurance. The model does not transfer accountability away from the first line.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728"/>
            <w:shd w:fill="17365D"/>
            <w:vAlign w:val="center"/>
            <w:tcMar>
              <w:top w:w="80" w:type="dxa"/>
              <w:start w:w="90" w:type="dxa"/>
              <w:bottom w:w="80" w:type="dxa"/>
              <w:end w:w="90" w:type="dxa"/>
            </w:tcMar>
          </w:tcPr>
          <w:p>
            <w:r>
              <w:rPr>
                <w:rFonts w:ascii="Aptos" w:hAnsi="Aptos"/>
                <w:b/>
                <w:color w:val="FFFFFF"/>
                <w:sz w:val="16"/>
              </w:rPr>
              <w:t>Line</w:t>
            </w:r>
          </w:p>
        </w:tc>
        <w:tc>
          <w:tcPr>
            <w:tcW w:type="dxa" w:w="4032"/>
            <w:shd w:fill="17365D"/>
            <w:vAlign w:val="center"/>
            <w:tcMar>
              <w:top w:w="80" w:type="dxa"/>
              <w:start w:w="90" w:type="dxa"/>
              <w:bottom w:w="80" w:type="dxa"/>
              <w:end w:w="90" w:type="dxa"/>
            </w:tcMar>
          </w:tcPr>
          <w:p>
            <w:r>
              <w:rPr>
                <w:rFonts w:ascii="Aptos" w:hAnsi="Aptos"/>
                <w:b/>
                <w:color w:val="FFFFFF"/>
                <w:sz w:val="16"/>
              </w:rPr>
              <w:t>Functions</w:t>
            </w:r>
          </w:p>
        </w:tc>
        <w:tc>
          <w:tcPr>
            <w:tcW w:type="dxa" w:w="4608"/>
            <w:shd w:fill="17365D"/>
            <w:vAlign w:val="center"/>
            <w:tcMar>
              <w:top w:w="80" w:type="dxa"/>
              <w:start w:w="90" w:type="dxa"/>
              <w:bottom w:w="80" w:type="dxa"/>
              <w:end w:w="90" w:type="dxa"/>
            </w:tcMar>
          </w:tcPr>
          <w:p>
            <w:r>
              <w:rPr>
                <w:rFonts w:ascii="Aptos" w:hAnsi="Aptos"/>
                <w:b/>
                <w:color w:val="FFFFFF"/>
                <w:sz w:val="16"/>
              </w:rPr>
              <w:t>Accountability</w:t>
            </w:r>
          </w:p>
        </w:tc>
      </w:tr>
      <w:tr>
        <w:tc>
          <w:tcPr>
            <w:tcW w:type="dxa" w:w="1728"/>
            <w:tcMar>
              <w:top w:w="80" w:type="dxa"/>
              <w:start w:w="90" w:type="dxa"/>
              <w:bottom w:w="80" w:type="dxa"/>
              <w:end w:w="90" w:type="dxa"/>
            </w:tcMar>
            <w:vAlign w:val="top"/>
          </w:tcPr>
          <w:p>
            <w:r>
              <w:rPr>
                <w:rFonts w:ascii="Aptos" w:hAnsi="Aptos"/>
                <w:b w:val="0"/>
                <w:sz w:val="16"/>
              </w:rPr>
              <w:t>First line</w:t>
            </w:r>
          </w:p>
        </w:tc>
        <w:tc>
          <w:tcPr>
            <w:tcW w:type="dxa" w:w="4032"/>
            <w:tcMar>
              <w:top w:w="80" w:type="dxa"/>
              <w:start w:w="90" w:type="dxa"/>
              <w:bottom w:w="80" w:type="dxa"/>
              <w:end w:w="90" w:type="dxa"/>
            </w:tcMar>
            <w:vAlign w:val="top"/>
          </w:tcPr>
          <w:p>
            <w:r>
              <w:rPr>
                <w:rFonts w:ascii="Aptos" w:hAnsi="Aptos"/>
                <w:b w:val="0"/>
                <w:sz w:val="16"/>
              </w:rPr>
              <w:t>Lending, Operations, Treasury, Technology, Customer Service, business units</w:t>
            </w:r>
          </w:p>
        </w:tc>
        <w:tc>
          <w:tcPr>
            <w:tcW w:type="dxa" w:w="4608"/>
            <w:tcMar>
              <w:top w:w="80" w:type="dxa"/>
              <w:start w:w="90" w:type="dxa"/>
              <w:bottom w:w="80" w:type="dxa"/>
              <w:end w:w="90" w:type="dxa"/>
            </w:tcMar>
            <w:vAlign w:val="top"/>
          </w:tcPr>
          <w:p>
            <w:r>
              <w:rPr>
                <w:rFonts w:ascii="Aptos" w:hAnsi="Aptos"/>
                <w:b w:val="0"/>
                <w:sz w:val="16"/>
              </w:rPr>
              <w:t>Own risks, execute controls, remediate issues, report incidents</w:t>
            </w:r>
          </w:p>
        </w:tc>
      </w:tr>
      <w:tr>
        <w:tc>
          <w:tcPr>
            <w:tcW w:type="dxa" w:w="1728"/>
            <w:tcMar>
              <w:top w:w="80" w:type="dxa"/>
              <w:start w:w="90" w:type="dxa"/>
              <w:bottom w:w="80" w:type="dxa"/>
              <w:end w:w="90" w:type="dxa"/>
            </w:tcMar>
            <w:vAlign w:val="top"/>
            <w:shd w:fill="F7FAFC"/>
          </w:tcPr>
          <w:p>
            <w:r>
              <w:rPr>
                <w:rFonts w:ascii="Aptos" w:hAnsi="Aptos"/>
                <w:b w:val="0"/>
                <w:sz w:val="16"/>
              </w:rPr>
              <w:t>Second line</w:t>
            </w:r>
          </w:p>
        </w:tc>
        <w:tc>
          <w:tcPr>
            <w:tcW w:type="dxa" w:w="4032"/>
            <w:tcMar>
              <w:top w:w="80" w:type="dxa"/>
              <w:start w:w="90" w:type="dxa"/>
              <w:bottom w:w="80" w:type="dxa"/>
              <w:end w:w="90" w:type="dxa"/>
            </w:tcMar>
            <w:vAlign w:val="top"/>
            <w:shd w:fill="F7FAFC"/>
          </w:tcPr>
          <w:p>
            <w:r>
              <w:rPr>
                <w:rFonts w:ascii="Aptos" w:hAnsi="Aptos"/>
                <w:b w:val="0"/>
                <w:sz w:val="16"/>
              </w:rPr>
              <w:t>Enterprise Risk, Credit Risk, Compliance, AML Compliance, Information Security risk oversight</w:t>
            </w:r>
          </w:p>
        </w:tc>
        <w:tc>
          <w:tcPr>
            <w:tcW w:type="dxa" w:w="4608"/>
            <w:tcMar>
              <w:top w:w="80" w:type="dxa"/>
              <w:start w:w="90" w:type="dxa"/>
              <w:bottom w:w="80" w:type="dxa"/>
              <w:end w:w="90" w:type="dxa"/>
            </w:tcMar>
            <w:vAlign w:val="top"/>
            <w:shd w:fill="F7FAFC"/>
          </w:tcPr>
          <w:p>
            <w:r>
              <w:rPr>
                <w:rFonts w:ascii="Aptos" w:hAnsi="Aptos"/>
                <w:b w:val="0"/>
                <w:sz w:val="16"/>
              </w:rPr>
              <w:t>Set risk frameworks, advise/challenge, monitor, aggregate and escalate</w:t>
            </w:r>
          </w:p>
        </w:tc>
      </w:tr>
      <w:tr>
        <w:tc>
          <w:tcPr>
            <w:tcW w:type="dxa" w:w="1728"/>
            <w:tcMar>
              <w:top w:w="80" w:type="dxa"/>
              <w:start w:w="90" w:type="dxa"/>
              <w:bottom w:w="80" w:type="dxa"/>
              <w:end w:w="90" w:type="dxa"/>
            </w:tcMar>
            <w:vAlign w:val="top"/>
          </w:tcPr>
          <w:p>
            <w:r>
              <w:rPr>
                <w:rFonts w:ascii="Aptos" w:hAnsi="Aptos"/>
                <w:b w:val="0"/>
                <w:sz w:val="16"/>
              </w:rPr>
              <w:t>Third line</w:t>
            </w:r>
          </w:p>
        </w:tc>
        <w:tc>
          <w:tcPr>
            <w:tcW w:type="dxa" w:w="4032"/>
            <w:tcMar>
              <w:top w:w="80" w:type="dxa"/>
              <w:start w:w="90" w:type="dxa"/>
              <w:bottom w:w="80" w:type="dxa"/>
              <w:end w:w="90" w:type="dxa"/>
            </w:tcMar>
            <w:vAlign w:val="top"/>
          </w:tcPr>
          <w:p>
            <w:r>
              <w:rPr>
                <w:rFonts w:ascii="Aptos" w:hAnsi="Aptos"/>
                <w:b w:val="0"/>
                <w:sz w:val="16"/>
              </w:rPr>
              <w:t>Internal Audit</w:t>
            </w:r>
          </w:p>
        </w:tc>
        <w:tc>
          <w:tcPr>
            <w:tcW w:type="dxa" w:w="4608"/>
            <w:tcMar>
              <w:top w:w="80" w:type="dxa"/>
              <w:start w:w="90" w:type="dxa"/>
              <w:bottom w:w="80" w:type="dxa"/>
              <w:end w:w="90" w:type="dxa"/>
            </w:tcMar>
            <w:vAlign w:val="top"/>
          </w:tcPr>
          <w:p>
            <w:r>
              <w:rPr>
                <w:rFonts w:ascii="Aptos" w:hAnsi="Aptos"/>
                <w:b w:val="0"/>
                <w:sz w:val="16"/>
              </w:rPr>
              <w:t>Independent assurance to Audit/Board governance</w:t>
            </w:r>
          </w:p>
        </w:tc>
      </w:tr>
    </w:tbl>
    <w:p/>
    <w:p>
      <w:pPr>
        <w:pStyle w:val="Heading1"/>
        <w:keepNext/>
      </w:pPr>
      <w:r>
        <w:t>5. Enterprise Risk Taxonomy</w:t>
      </w:r>
    </w:p>
    <w:p>
      <w:r>
        <w:t>The enterprise taxonomy enables consistent aggregation while permitting specialist detail. A risk event may belong to more than one category; the primary category is the one that best represents the underlying cause, while secondary impacts may be tagged separately.</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880"/>
            <w:shd w:fill="17365D"/>
            <w:vAlign w:val="center"/>
            <w:tcMar>
              <w:top w:w="80" w:type="dxa"/>
              <w:start w:w="90" w:type="dxa"/>
              <w:bottom w:w="80" w:type="dxa"/>
              <w:end w:w="90" w:type="dxa"/>
            </w:tcMar>
          </w:tcPr>
          <w:p>
            <w:r>
              <w:rPr>
                <w:rFonts w:ascii="Aptos" w:hAnsi="Aptos"/>
                <w:b/>
                <w:color w:val="FFFFFF"/>
                <w:sz w:val="16"/>
              </w:rPr>
              <w:t>Risk Type</w:t>
            </w:r>
          </w:p>
        </w:tc>
        <w:tc>
          <w:tcPr>
            <w:tcW w:type="dxa" w:w="7488"/>
            <w:shd w:fill="17365D"/>
            <w:vAlign w:val="center"/>
            <w:tcMar>
              <w:top w:w="80" w:type="dxa"/>
              <w:start w:w="90" w:type="dxa"/>
              <w:bottom w:w="80" w:type="dxa"/>
              <w:end w:w="90" w:type="dxa"/>
            </w:tcMar>
          </w:tcPr>
          <w:p>
            <w:r>
              <w:rPr>
                <w:rFonts w:ascii="Aptos" w:hAnsi="Aptos"/>
                <w:b/>
                <w:color w:val="FFFFFF"/>
                <w:sz w:val="16"/>
              </w:rPr>
              <w:t>Definition / Examples</w:t>
            </w:r>
          </w:p>
        </w:tc>
      </w:tr>
      <w:tr>
        <w:tc>
          <w:tcPr>
            <w:tcW w:type="dxa" w:w="2880"/>
            <w:tcMar>
              <w:top w:w="80" w:type="dxa"/>
              <w:start w:w="90" w:type="dxa"/>
              <w:bottom w:w="80" w:type="dxa"/>
              <w:end w:w="90" w:type="dxa"/>
            </w:tcMar>
            <w:vAlign w:val="top"/>
          </w:tcPr>
          <w:p>
            <w:r>
              <w:rPr>
                <w:rFonts w:ascii="Aptos" w:hAnsi="Aptos"/>
                <w:b w:val="0"/>
                <w:sz w:val="16"/>
              </w:rPr>
              <w:t>Credit</w:t>
            </w:r>
          </w:p>
        </w:tc>
        <w:tc>
          <w:tcPr>
            <w:tcW w:type="dxa" w:w="7488"/>
            <w:tcMar>
              <w:top w:w="80" w:type="dxa"/>
              <w:start w:w="90" w:type="dxa"/>
              <w:bottom w:w="80" w:type="dxa"/>
              <w:end w:w="90" w:type="dxa"/>
            </w:tcMar>
            <w:vAlign w:val="top"/>
          </w:tcPr>
          <w:p>
            <w:r>
              <w:rPr>
                <w:rFonts w:ascii="Aptos" w:hAnsi="Aptos"/>
                <w:b w:val="0"/>
                <w:sz w:val="16"/>
              </w:rPr>
              <w:t>Borrower/counterparty failure, concentration, collateral shortfall, underwriting weakness</w:t>
            </w:r>
          </w:p>
        </w:tc>
      </w:tr>
      <w:tr>
        <w:tc>
          <w:tcPr>
            <w:tcW w:type="dxa" w:w="2880"/>
            <w:tcMar>
              <w:top w:w="80" w:type="dxa"/>
              <w:start w:w="90" w:type="dxa"/>
              <w:bottom w:w="80" w:type="dxa"/>
              <w:end w:w="90" w:type="dxa"/>
            </w:tcMar>
            <w:vAlign w:val="top"/>
            <w:shd w:fill="F7FAFC"/>
          </w:tcPr>
          <w:p>
            <w:r>
              <w:rPr>
                <w:rFonts w:ascii="Aptos" w:hAnsi="Aptos"/>
                <w:b w:val="0"/>
                <w:sz w:val="16"/>
              </w:rPr>
              <w:t>Market</w:t>
            </w:r>
          </w:p>
        </w:tc>
        <w:tc>
          <w:tcPr>
            <w:tcW w:type="dxa" w:w="7488"/>
            <w:tcMar>
              <w:top w:w="80" w:type="dxa"/>
              <w:start w:w="90" w:type="dxa"/>
              <w:bottom w:w="80" w:type="dxa"/>
              <w:end w:w="90" w:type="dxa"/>
            </w:tcMar>
            <w:vAlign w:val="top"/>
            <w:shd w:fill="F7FAFC"/>
          </w:tcPr>
          <w:p>
            <w:r>
              <w:rPr>
                <w:rFonts w:ascii="Aptos" w:hAnsi="Aptos"/>
                <w:b w:val="0"/>
                <w:sz w:val="16"/>
              </w:rPr>
              <w:t>Interest rate, spread, price and foreign-exchange movements affecting positions</w:t>
            </w:r>
          </w:p>
        </w:tc>
      </w:tr>
      <w:tr>
        <w:tc>
          <w:tcPr>
            <w:tcW w:type="dxa" w:w="2880"/>
            <w:tcMar>
              <w:top w:w="80" w:type="dxa"/>
              <w:start w:w="90" w:type="dxa"/>
              <w:bottom w:w="80" w:type="dxa"/>
              <w:end w:w="90" w:type="dxa"/>
            </w:tcMar>
            <w:vAlign w:val="top"/>
          </w:tcPr>
          <w:p>
            <w:r>
              <w:rPr>
                <w:rFonts w:ascii="Aptos" w:hAnsi="Aptos"/>
                <w:b w:val="0"/>
                <w:sz w:val="16"/>
              </w:rPr>
              <w:t>Liquidity</w:t>
            </w:r>
          </w:p>
        </w:tc>
        <w:tc>
          <w:tcPr>
            <w:tcW w:type="dxa" w:w="7488"/>
            <w:tcMar>
              <w:top w:w="80" w:type="dxa"/>
              <w:start w:w="90" w:type="dxa"/>
              <w:bottom w:w="80" w:type="dxa"/>
              <w:end w:w="90" w:type="dxa"/>
            </w:tcMar>
            <w:vAlign w:val="top"/>
          </w:tcPr>
          <w:p>
            <w:r>
              <w:rPr>
                <w:rFonts w:ascii="Aptos" w:hAnsi="Aptos"/>
                <w:b w:val="0"/>
                <w:sz w:val="16"/>
              </w:rPr>
              <w:t>Inability to meet obligations or fund assets without unacceptable cost/loss</w:t>
            </w:r>
          </w:p>
        </w:tc>
      </w:tr>
      <w:tr>
        <w:tc>
          <w:tcPr>
            <w:tcW w:type="dxa" w:w="2880"/>
            <w:tcMar>
              <w:top w:w="80" w:type="dxa"/>
              <w:start w:w="90" w:type="dxa"/>
              <w:bottom w:w="80" w:type="dxa"/>
              <w:end w:w="90" w:type="dxa"/>
            </w:tcMar>
            <w:vAlign w:val="top"/>
            <w:shd w:fill="F7FAFC"/>
          </w:tcPr>
          <w:p>
            <w:r>
              <w:rPr>
                <w:rFonts w:ascii="Aptos" w:hAnsi="Aptos"/>
                <w:b w:val="0"/>
                <w:sz w:val="16"/>
              </w:rPr>
              <w:t>Operational</w:t>
            </w:r>
          </w:p>
        </w:tc>
        <w:tc>
          <w:tcPr>
            <w:tcW w:type="dxa" w:w="7488"/>
            <w:tcMar>
              <w:top w:w="80" w:type="dxa"/>
              <w:start w:w="90" w:type="dxa"/>
              <w:bottom w:w="80" w:type="dxa"/>
              <w:end w:w="90" w:type="dxa"/>
            </w:tcMar>
            <w:vAlign w:val="top"/>
            <w:shd w:fill="F7FAFC"/>
          </w:tcPr>
          <w:p>
            <w:r>
              <w:rPr>
                <w:rFonts w:ascii="Aptos" w:hAnsi="Aptos"/>
                <w:b w:val="0"/>
                <w:sz w:val="16"/>
              </w:rPr>
              <w:t>Process, people, systems or external-event failure</w:t>
            </w:r>
          </w:p>
        </w:tc>
      </w:tr>
      <w:tr>
        <w:tc>
          <w:tcPr>
            <w:tcW w:type="dxa" w:w="2880"/>
            <w:tcMar>
              <w:top w:w="80" w:type="dxa"/>
              <w:start w:w="90" w:type="dxa"/>
              <w:bottom w:w="80" w:type="dxa"/>
              <w:end w:w="90" w:type="dxa"/>
            </w:tcMar>
            <w:vAlign w:val="top"/>
          </w:tcPr>
          <w:p>
            <w:r>
              <w:rPr>
                <w:rFonts w:ascii="Aptos" w:hAnsi="Aptos"/>
                <w:b w:val="0"/>
                <w:sz w:val="16"/>
              </w:rPr>
              <w:t>Fraud</w:t>
            </w:r>
          </w:p>
        </w:tc>
        <w:tc>
          <w:tcPr>
            <w:tcW w:type="dxa" w:w="7488"/>
            <w:tcMar>
              <w:top w:w="80" w:type="dxa"/>
              <w:start w:w="90" w:type="dxa"/>
              <w:bottom w:w="80" w:type="dxa"/>
              <w:end w:w="90" w:type="dxa"/>
            </w:tcMar>
            <w:vAlign w:val="top"/>
          </w:tcPr>
          <w:p>
            <w:r>
              <w:rPr>
                <w:rFonts w:ascii="Aptos" w:hAnsi="Aptos"/>
                <w:b w:val="0"/>
                <w:sz w:val="16"/>
              </w:rPr>
              <w:t>Internal or external intentional deception causing loss or control compromise</w:t>
            </w:r>
          </w:p>
        </w:tc>
      </w:tr>
      <w:tr>
        <w:tc>
          <w:tcPr>
            <w:tcW w:type="dxa" w:w="2880"/>
            <w:tcMar>
              <w:top w:w="80" w:type="dxa"/>
              <w:start w:w="90" w:type="dxa"/>
              <w:bottom w:w="80" w:type="dxa"/>
              <w:end w:w="90" w:type="dxa"/>
            </w:tcMar>
            <w:vAlign w:val="top"/>
            <w:shd w:fill="F7FAFC"/>
          </w:tcPr>
          <w:p>
            <w:r>
              <w:rPr>
                <w:rFonts w:ascii="Aptos" w:hAnsi="Aptos"/>
                <w:b w:val="0"/>
                <w:sz w:val="16"/>
              </w:rPr>
              <w:t>Compliance</w:t>
            </w:r>
          </w:p>
        </w:tc>
        <w:tc>
          <w:tcPr>
            <w:tcW w:type="dxa" w:w="7488"/>
            <w:tcMar>
              <w:top w:w="80" w:type="dxa"/>
              <w:start w:w="90" w:type="dxa"/>
              <w:bottom w:w="80" w:type="dxa"/>
              <w:end w:w="90" w:type="dxa"/>
            </w:tcMar>
            <w:vAlign w:val="top"/>
            <w:shd w:fill="F7FAFC"/>
          </w:tcPr>
          <w:p>
            <w:r>
              <w:rPr>
                <w:rFonts w:ascii="Aptos" w:hAnsi="Aptos"/>
                <w:b w:val="0"/>
                <w:sz w:val="16"/>
              </w:rPr>
              <w:t>Failure to meet internal or external obligations, conduct expectations or control standards</w:t>
            </w:r>
          </w:p>
        </w:tc>
      </w:tr>
      <w:tr>
        <w:tc>
          <w:tcPr>
            <w:tcW w:type="dxa" w:w="2880"/>
            <w:tcMar>
              <w:top w:w="80" w:type="dxa"/>
              <w:start w:w="90" w:type="dxa"/>
              <w:bottom w:w="80" w:type="dxa"/>
              <w:end w:w="90" w:type="dxa"/>
            </w:tcMar>
            <w:vAlign w:val="top"/>
          </w:tcPr>
          <w:p>
            <w:r>
              <w:rPr>
                <w:rFonts w:ascii="Aptos" w:hAnsi="Aptos"/>
                <w:b w:val="0"/>
                <w:sz w:val="16"/>
              </w:rPr>
              <w:t>AML / Financial Crime</w:t>
            </w:r>
          </w:p>
        </w:tc>
        <w:tc>
          <w:tcPr>
            <w:tcW w:type="dxa" w:w="7488"/>
            <w:tcMar>
              <w:top w:w="80" w:type="dxa"/>
              <w:start w:w="90" w:type="dxa"/>
              <w:bottom w:w="80" w:type="dxa"/>
              <w:end w:w="90" w:type="dxa"/>
            </w:tcMar>
            <w:vAlign w:val="top"/>
          </w:tcPr>
          <w:p>
            <w:r>
              <w:rPr>
                <w:rFonts w:ascii="Aptos" w:hAnsi="Aptos"/>
                <w:b w:val="0"/>
                <w:sz w:val="16"/>
              </w:rPr>
              <w:t>Money laundering, terrorist-financing, sanctions, KYC and related financial-crime exposure</w:t>
            </w:r>
          </w:p>
        </w:tc>
      </w:tr>
      <w:tr>
        <w:tc>
          <w:tcPr>
            <w:tcW w:type="dxa" w:w="2880"/>
            <w:tcMar>
              <w:top w:w="80" w:type="dxa"/>
              <w:start w:w="90" w:type="dxa"/>
              <w:bottom w:w="80" w:type="dxa"/>
              <w:end w:w="90" w:type="dxa"/>
            </w:tcMar>
            <w:vAlign w:val="top"/>
            <w:shd w:fill="F7FAFC"/>
          </w:tcPr>
          <w:p>
            <w:r>
              <w:rPr>
                <w:rFonts w:ascii="Aptos" w:hAnsi="Aptos"/>
                <w:b w:val="0"/>
                <w:sz w:val="16"/>
              </w:rPr>
              <w:t>Cyber / Information Security</w:t>
            </w:r>
          </w:p>
        </w:tc>
        <w:tc>
          <w:tcPr>
            <w:tcW w:type="dxa" w:w="7488"/>
            <w:tcMar>
              <w:top w:w="80" w:type="dxa"/>
              <w:start w:w="90" w:type="dxa"/>
              <w:bottom w:w="80" w:type="dxa"/>
              <w:end w:w="90" w:type="dxa"/>
            </w:tcMar>
            <w:vAlign w:val="top"/>
            <w:shd w:fill="F7FAFC"/>
          </w:tcPr>
          <w:p>
            <w:r>
              <w:rPr>
                <w:rFonts w:ascii="Aptos" w:hAnsi="Aptos"/>
                <w:b w:val="0"/>
                <w:sz w:val="16"/>
              </w:rPr>
              <w:t>Confidentiality, integrity, availability, access and cyber-event risk</w:t>
            </w:r>
          </w:p>
        </w:tc>
      </w:tr>
      <w:tr>
        <w:tc>
          <w:tcPr>
            <w:tcW w:type="dxa" w:w="2880"/>
            <w:tcMar>
              <w:top w:w="80" w:type="dxa"/>
              <w:start w:w="90" w:type="dxa"/>
              <w:bottom w:w="80" w:type="dxa"/>
              <w:end w:w="90" w:type="dxa"/>
            </w:tcMar>
            <w:vAlign w:val="top"/>
          </w:tcPr>
          <w:p>
            <w:r>
              <w:rPr>
                <w:rFonts w:ascii="Aptos" w:hAnsi="Aptos"/>
                <w:b w:val="0"/>
                <w:sz w:val="16"/>
              </w:rPr>
              <w:t>Model</w:t>
            </w:r>
          </w:p>
        </w:tc>
        <w:tc>
          <w:tcPr>
            <w:tcW w:type="dxa" w:w="7488"/>
            <w:tcMar>
              <w:top w:w="80" w:type="dxa"/>
              <w:start w:w="90" w:type="dxa"/>
              <w:bottom w:w="80" w:type="dxa"/>
              <w:end w:w="90" w:type="dxa"/>
            </w:tcMar>
            <w:vAlign w:val="top"/>
          </w:tcPr>
          <w:p>
            <w:r>
              <w:rPr>
                <w:rFonts w:ascii="Aptos" w:hAnsi="Aptos"/>
                <w:b w:val="0"/>
                <w:sz w:val="16"/>
              </w:rPr>
              <w:t>Incorrect design, implementation, data, use or interpretation of models/automated decisioning</w:t>
            </w:r>
          </w:p>
        </w:tc>
      </w:tr>
      <w:tr>
        <w:tc>
          <w:tcPr>
            <w:tcW w:type="dxa" w:w="2880"/>
            <w:tcMar>
              <w:top w:w="80" w:type="dxa"/>
              <w:start w:w="90" w:type="dxa"/>
              <w:bottom w:w="80" w:type="dxa"/>
              <w:end w:w="90" w:type="dxa"/>
            </w:tcMar>
            <w:vAlign w:val="top"/>
            <w:shd w:fill="F7FAFC"/>
          </w:tcPr>
          <w:p>
            <w:r>
              <w:rPr>
                <w:rFonts w:ascii="Aptos" w:hAnsi="Aptos"/>
                <w:b w:val="0"/>
                <w:sz w:val="16"/>
              </w:rPr>
              <w:t>Reputational</w:t>
            </w:r>
          </w:p>
        </w:tc>
        <w:tc>
          <w:tcPr>
            <w:tcW w:type="dxa" w:w="7488"/>
            <w:tcMar>
              <w:top w:w="80" w:type="dxa"/>
              <w:start w:w="90" w:type="dxa"/>
              <w:bottom w:w="80" w:type="dxa"/>
              <w:end w:w="90" w:type="dxa"/>
            </w:tcMar>
            <w:vAlign w:val="top"/>
            <w:shd w:fill="F7FAFC"/>
          </w:tcPr>
          <w:p>
            <w:r>
              <w:rPr>
                <w:rFonts w:ascii="Aptos" w:hAnsi="Aptos"/>
                <w:b w:val="0"/>
                <w:sz w:val="16"/>
              </w:rPr>
              <w:t>Loss of trust from customers, partners, employees or other stakeholders</w:t>
            </w:r>
          </w:p>
        </w:tc>
      </w:tr>
      <w:tr>
        <w:tc>
          <w:tcPr>
            <w:tcW w:type="dxa" w:w="2880"/>
            <w:tcMar>
              <w:top w:w="80" w:type="dxa"/>
              <w:start w:w="90" w:type="dxa"/>
              <w:bottom w:w="80" w:type="dxa"/>
              <w:end w:w="90" w:type="dxa"/>
            </w:tcMar>
            <w:vAlign w:val="top"/>
          </w:tcPr>
          <w:p>
            <w:r>
              <w:rPr>
                <w:rFonts w:ascii="Aptos" w:hAnsi="Aptos"/>
                <w:b w:val="0"/>
                <w:sz w:val="16"/>
              </w:rPr>
              <w:t>Strategic</w:t>
            </w:r>
          </w:p>
        </w:tc>
        <w:tc>
          <w:tcPr>
            <w:tcW w:type="dxa" w:w="7488"/>
            <w:tcMar>
              <w:top w:w="80" w:type="dxa"/>
              <w:start w:w="90" w:type="dxa"/>
              <w:bottom w:w="80" w:type="dxa"/>
              <w:end w:w="90" w:type="dxa"/>
            </w:tcMar>
            <w:vAlign w:val="top"/>
          </w:tcPr>
          <w:p>
            <w:r>
              <w:rPr>
                <w:rFonts w:ascii="Aptos" w:hAnsi="Aptos"/>
                <w:b w:val="0"/>
                <w:sz w:val="16"/>
              </w:rPr>
              <w:t>Adverse outcomes from business choices, execution failure or external change</w:t>
            </w:r>
          </w:p>
        </w:tc>
      </w:tr>
    </w:tbl>
    <w:p/>
    <w:p>
      <w:pPr>
        <w:pStyle w:val="Heading1"/>
        <w:keepNext/>
      </w:pPr>
      <w:r>
        <w:t>6. Risk Appetite and Limit Architecture</w:t>
      </w:r>
    </w:p>
    <w:p>
      <w:r>
        <w:t>Risk appetite defines the aggregate level and type of risk Northstar is willing to accept in pursuit of objectives. The Risk Appetite Statement converts appetite into quantitative limits, qualitative statements, early-warning thresholds and zero-tolerance positions.</w:t>
      </w:r>
    </w:p>
    <w:p>
      <w:pPr>
        <w:pStyle w:val="ControlBullet"/>
      </w:pPr>
      <w:r>
        <w:rPr>
          <w:b/>
        </w:rPr>
        <w:t xml:space="preserve">• </w:t>
      </w:r>
      <w:r>
        <w:t>A policy threshold is not automatically an enterprise appetite limit; some are operating controls or management triggers.</w:t>
      </w:r>
    </w:p>
    <w:p>
      <w:pPr>
        <w:pStyle w:val="ControlBullet"/>
      </w:pPr>
      <w:r>
        <w:rPr>
          <w:b/>
        </w:rPr>
        <w:t xml:space="preserve">• </w:t>
      </w:r>
      <w:r>
        <w:t>A higher delegated authority does not permit a transaction that breaches a product or appetite limit unless the relevant controlled exception route permits it.</w:t>
      </w:r>
    </w:p>
    <w:p>
      <w:pPr>
        <w:pStyle w:val="ControlBullet"/>
      </w:pPr>
      <w:r>
        <w:rPr>
          <w:b/>
        </w:rPr>
        <w:t xml:space="preserve">• </w:t>
      </w:r>
      <w:r>
        <w:t>Early-warning thresholds shall trigger management attention before a formal limit breach.</w:t>
      </w:r>
    </w:p>
    <w:p>
      <w:pPr>
        <w:pStyle w:val="ControlBullet"/>
      </w:pPr>
      <w:r>
        <w:rPr>
          <w:b/>
        </w:rPr>
        <w:t xml:space="preserve">• </w:t>
      </w:r>
      <w:r>
        <w:t>Breaches require timely escalation, root-cause analysis and a documented action or acceptance decision.</w:t>
      </w:r>
    </w:p>
    <w:p>
      <w:pPr>
        <w:pStyle w:val="Heading1"/>
        <w:keepNext/>
      </w:pPr>
      <w:r>
        <w:t>7. Risk Identification</w:t>
      </w:r>
    </w:p>
    <w:p>
      <w:r>
        <w:t>Risk identification occurs through business planning, new products, change projects, incidents, complaints, audit findings, monitoring, portfolio analysis, vendor reviews, threat intelligence and external developments. Risk registers shall identify causes, events, impacts, controls and owners.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880"/>
            <w:shd w:fill="17365D"/>
            <w:vAlign w:val="center"/>
            <w:tcMar>
              <w:top w:w="80" w:type="dxa"/>
              <w:start w:w="90" w:type="dxa"/>
              <w:bottom w:w="80" w:type="dxa"/>
              <w:end w:w="90" w:type="dxa"/>
            </w:tcMar>
          </w:tcPr>
          <w:p>
            <w:r>
              <w:rPr>
                <w:rFonts w:ascii="Aptos" w:hAnsi="Aptos"/>
                <w:b/>
                <w:color w:val="FFFFFF"/>
                <w:sz w:val="16"/>
              </w:rPr>
              <w:t>Identification Source</w:t>
            </w:r>
          </w:p>
        </w:tc>
        <w:tc>
          <w:tcPr>
            <w:tcW w:type="dxa" w:w="4320"/>
            <w:shd w:fill="17365D"/>
            <w:vAlign w:val="center"/>
            <w:tcMar>
              <w:top w:w="80" w:type="dxa"/>
              <w:start w:w="90" w:type="dxa"/>
              <w:bottom w:w="80" w:type="dxa"/>
              <w:end w:w="90" w:type="dxa"/>
            </w:tcMar>
          </w:tcPr>
          <w:p>
            <w:r>
              <w:rPr>
                <w:rFonts w:ascii="Aptos" w:hAnsi="Aptos"/>
                <w:b/>
                <w:color w:val="FFFFFF"/>
                <w:sz w:val="16"/>
              </w:rPr>
              <w:t>Examples</w:t>
            </w:r>
          </w:p>
        </w:tc>
        <w:tc>
          <w:tcPr>
            <w:tcW w:type="dxa" w:w="3168"/>
            <w:shd w:fill="17365D"/>
            <w:vAlign w:val="center"/>
            <w:tcMar>
              <w:top w:w="80" w:type="dxa"/>
              <w:start w:w="90" w:type="dxa"/>
              <w:bottom w:w="80" w:type="dxa"/>
              <w:end w:w="90" w:type="dxa"/>
            </w:tcMar>
          </w:tcPr>
          <w:p>
            <w:r>
              <w:rPr>
                <w:rFonts w:ascii="Aptos" w:hAnsi="Aptos"/>
                <w:b/>
                <w:color w:val="FFFFFF"/>
                <w:sz w:val="16"/>
              </w:rPr>
              <w:t>Expected Output</w:t>
            </w:r>
          </w:p>
        </w:tc>
      </w:tr>
      <w:tr>
        <w:tc>
          <w:tcPr>
            <w:tcW w:type="dxa" w:w="2880"/>
            <w:tcMar>
              <w:top w:w="80" w:type="dxa"/>
              <w:start w:w="90" w:type="dxa"/>
              <w:bottom w:w="80" w:type="dxa"/>
              <w:end w:w="90" w:type="dxa"/>
            </w:tcMar>
            <w:vAlign w:val="top"/>
          </w:tcPr>
          <w:p>
            <w:r>
              <w:rPr>
                <w:rFonts w:ascii="Aptos" w:hAnsi="Aptos"/>
                <w:b w:val="0"/>
                <w:sz w:val="16"/>
              </w:rPr>
              <w:t>New product/change</w:t>
            </w:r>
          </w:p>
        </w:tc>
        <w:tc>
          <w:tcPr>
            <w:tcW w:type="dxa" w:w="4320"/>
            <w:tcMar>
              <w:top w:w="80" w:type="dxa"/>
              <w:start w:w="90" w:type="dxa"/>
              <w:bottom w:w="80" w:type="dxa"/>
              <w:end w:w="90" w:type="dxa"/>
            </w:tcMar>
            <w:vAlign w:val="top"/>
          </w:tcPr>
          <w:p>
            <w:r>
              <w:rPr>
                <w:rFonts w:ascii="Aptos" w:hAnsi="Aptos"/>
                <w:b w:val="0"/>
                <w:sz w:val="16"/>
              </w:rPr>
              <w:t>New channel, automation, vendor, product feature</w:t>
            </w:r>
          </w:p>
        </w:tc>
        <w:tc>
          <w:tcPr>
            <w:tcW w:type="dxa" w:w="3168"/>
            <w:tcMar>
              <w:top w:w="80" w:type="dxa"/>
              <w:start w:w="90" w:type="dxa"/>
              <w:bottom w:w="80" w:type="dxa"/>
              <w:end w:w="90" w:type="dxa"/>
            </w:tcMar>
            <w:vAlign w:val="top"/>
          </w:tcPr>
          <w:p>
            <w:r>
              <w:rPr>
                <w:rFonts w:ascii="Aptos" w:hAnsi="Aptos"/>
                <w:b w:val="0"/>
                <w:sz w:val="16"/>
              </w:rPr>
              <w:t>Pre-implementation risk assessment and controls</w:t>
            </w:r>
          </w:p>
        </w:tc>
      </w:tr>
      <w:tr>
        <w:tc>
          <w:tcPr>
            <w:tcW w:type="dxa" w:w="2880"/>
            <w:tcMar>
              <w:top w:w="80" w:type="dxa"/>
              <w:start w:w="90" w:type="dxa"/>
              <w:bottom w:w="80" w:type="dxa"/>
              <w:end w:w="90" w:type="dxa"/>
            </w:tcMar>
            <w:vAlign w:val="top"/>
            <w:shd w:fill="F7FAFC"/>
          </w:tcPr>
          <w:p>
            <w:r>
              <w:rPr>
                <w:rFonts w:ascii="Aptos" w:hAnsi="Aptos"/>
                <w:b w:val="0"/>
                <w:sz w:val="16"/>
              </w:rPr>
              <w:t>Operations/incidents</w:t>
            </w:r>
          </w:p>
        </w:tc>
        <w:tc>
          <w:tcPr>
            <w:tcW w:type="dxa" w:w="4320"/>
            <w:tcMar>
              <w:top w:w="80" w:type="dxa"/>
              <w:start w:w="90" w:type="dxa"/>
              <w:bottom w:w="80" w:type="dxa"/>
              <w:end w:w="90" w:type="dxa"/>
            </w:tcMar>
            <w:vAlign w:val="top"/>
            <w:shd w:fill="F7FAFC"/>
          </w:tcPr>
          <w:p>
            <w:r>
              <w:rPr>
                <w:rFonts w:ascii="Aptos" w:hAnsi="Aptos"/>
                <w:b w:val="0"/>
                <w:sz w:val="16"/>
              </w:rPr>
              <w:t>Processing error, payment issue, system outage</w:t>
            </w:r>
          </w:p>
        </w:tc>
        <w:tc>
          <w:tcPr>
            <w:tcW w:type="dxa" w:w="3168"/>
            <w:tcMar>
              <w:top w:w="80" w:type="dxa"/>
              <w:start w:w="90" w:type="dxa"/>
              <w:bottom w:w="80" w:type="dxa"/>
              <w:end w:w="90" w:type="dxa"/>
            </w:tcMar>
            <w:vAlign w:val="top"/>
            <w:shd w:fill="F7FAFC"/>
          </w:tcPr>
          <w:p>
            <w:r>
              <w:rPr>
                <w:rFonts w:ascii="Aptos" w:hAnsi="Aptos"/>
                <w:b w:val="0"/>
                <w:sz w:val="16"/>
              </w:rPr>
              <w:t>Incident record and control remediation</w:t>
            </w:r>
          </w:p>
        </w:tc>
      </w:tr>
      <w:tr>
        <w:tc>
          <w:tcPr>
            <w:tcW w:type="dxa" w:w="2880"/>
            <w:tcMar>
              <w:top w:w="80" w:type="dxa"/>
              <w:start w:w="90" w:type="dxa"/>
              <w:bottom w:w="80" w:type="dxa"/>
              <w:end w:w="90" w:type="dxa"/>
            </w:tcMar>
            <w:vAlign w:val="top"/>
          </w:tcPr>
          <w:p>
            <w:r>
              <w:rPr>
                <w:rFonts w:ascii="Aptos" w:hAnsi="Aptos"/>
                <w:b w:val="0"/>
                <w:sz w:val="16"/>
              </w:rPr>
              <w:t>Portfolio monitoring</w:t>
            </w:r>
          </w:p>
        </w:tc>
        <w:tc>
          <w:tcPr>
            <w:tcW w:type="dxa" w:w="4320"/>
            <w:tcMar>
              <w:top w:w="80" w:type="dxa"/>
              <w:start w:w="90" w:type="dxa"/>
              <w:bottom w:w="80" w:type="dxa"/>
              <w:end w:w="90" w:type="dxa"/>
            </w:tcMar>
            <w:vAlign w:val="top"/>
          </w:tcPr>
          <w:p>
            <w:r>
              <w:rPr>
                <w:rFonts w:ascii="Aptos" w:hAnsi="Aptos"/>
                <w:b w:val="0"/>
                <w:sz w:val="16"/>
              </w:rPr>
              <w:t>DPD, NPA, exceptions, concentrations</w:t>
            </w:r>
          </w:p>
        </w:tc>
        <w:tc>
          <w:tcPr>
            <w:tcW w:type="dxa" w:w="3168"/>
            <w:tcMar>
              <w:top w:w="80" w:type="dxa"/>
              <w:start w:w="90" w:type="dxa"/>
              <w:bottom w:w="80" w:type="dxa"/>
              <w:end w:w="90" w:type="dxa"/>
            </w:tcMar>
            <w:vAlign w:val="top"/>
          </w:tcPr>
          <w:p>
            <w:r>
              <w:rPr>
                <w:rFonts w:ascii="Aptos" w:hAnsi="Aptos"/>
                <w:b w:val="0"/>
                <w:sz w:val="16"/>
              </w:rPr>
              <w:t>Credit risk action / limit review</w:t>
            </w:r>
          </w:p>
        </w:tc>
      </w:tr>
      <w:tr>
        <w:tc>
          <w:tcPr>
            <w:tcW w:type="dxa" w:w="2880"/>
            <w:tcMar>
              <w:top w:w="80" w:type="dxa"/>
              <w:start w:w="90" w:type="dxa"/>
              <w:bottom w:w="80" w:type="dxa"/>
              <w:end w:w="90" w:type="dxa"/>
            </w:tcMar>
            <w:vAlign w:val="top"/>
            <w:shd w:fill="F7FAFC"/>
          </w:tcPr>
          <w:p>
            <w:r>
              <w:rPr>
                <w:rFonts w:ascii="Aptos" w:hAnsi="Aptos"/>
                <w:b w:val="0"/>
                <w:sz w:val="16"/>
              </w:rPr>
              <w:t>AML/KYC monitoring</w:t>
            </w:r>
          </w:p>
        </w:tc>
        <w:tc>
          <w:tcPr>
            <w:tcW w:type="dxa" w:w="4320"/>
            <w:tcMar>
              <w:top w:w="80" w:type="dxa"/>
              <w:start w:w="90" w:type="dxa"/>
              <w:bottom w:w="80" w:type="dxa"/>
              <w:end w:w="90" w:type="dxa"/>
            </w:tcMar>
            <w:vAlign w:val="top"/>
            <w:shd w:fill="F7FAFC"/>
          </w:tcPr>
          <w:p>
            <w:r>
              <w:rPr>
                <w:rFonts w:ascii="Aptos" w:hAnsi="Aptos"/>
                <w:b w:val="0"/>
                <w:sz w:val="16"/>
              </w:rPr>
              <w:t>Alert backlog, overdue reviews, repeat defects</w:t>
            </w:r>
          </w:p>
        </w:tc>
        <w:tc>
          <w:tcPr>
            <w:tcW w:type="dxa" w:w="3168"/>
            <w:tcMar>
              <w:top w:w="80" w:type="dxa"/>
              <w:start w:w="90" w:type="dxa"/>
              <w:bottom w:w="80" w:type="dxa"/>
              <w:end w:w="90" w:type="dxa"/>
            </w:tcMar>
            <w:vAlign w:val="top"/>
            <w:shd w:fill="F7FAFC"/>
          </w:tcPr>
          <w:p>
            <w:r>
              <w:rPr>
                <w:rFonts w:ascii="Aptos" w:hAnsi="Aptos"/>
                <w:b w:val="0"/>
                <w:sz w:val="16"/>
              </w:rPr>
              <w:t>Financial-crime risk action</w:t>
            </w:r>
          </w:p>
        </w:tc>
      </w:tr>
      <w:tr>
        <w:tc>
          <w:tcPr>
            <w:tcW w:type="dxa" w:w="2880"/>
            <w:tcMar>
              <w:top w:w="80" w:type="dxa"/>
              <w:start w:w="90" w:type="dxa"/>
              <w:bottom w:w="80" w:type="dxa"/>
              <w:end w:w="90" w:type="dxa"/>
            </w:tcMar>
            <w:vAlign w:val="top"/>
          </w:tcPr>
          <w:p>
            <w:r>
              <w:rPr>
                <w:rFonts w:ascii="Aptos" w:hAnsi="Aptos"/>
                <w:b w:val="0"/>
                <w:sz w:val="16"/>
              </w:rPr>
              <w:t>Security monitoring</w:t>
            </w:r>
          </w:p>
        </w:tc>
        <w:tc>
          <w:tcPr>
            <w:tcW w:type="dxa" w:w="4320"/>
            <w:tcMar>
              <w:top w:w="80" w:type="dxa"/>
              <w:start w:w="90" w:type="dxa"/>
              <w:bottom w:w="80" w:type="dxa"/>
              <w:end w:w="90" w:type="dxa"/>
            </w:tcMar>
            <w:vAlign w:val="top"/>
          </w:tcPr>
          <w:p>
            <w:r>
              <w:rPr>
                <w:rFonts w:ascii="Aptos" w:hAnsi="Aptos"/>
                <w:b w:val="0"/>
                <w:sz w:val="16"/>
              </w:rPr>
              <w:t>Access anomalies, vulnerabilities, incidents</w:t>
            </w:r>
          </w:p>
        </w:tc>
        <w:tc>
          <w:tcPr>
            <w:tcW w:type="dxa" w:w="3168"/>
            <w:tcMar>
              <w:top w:w="80" w:type="dxa"/>
              <w:start w:w="90" w:type="dxa"/>
              <w:bottom w:w="80" w:type="dxa"/>
              <w:end w:w="90" w:type="dxa"/>
            </w:tcMar>
            <w:vAlign w:val="top"/>
          </w:tcPr>
          <w:p>
            <w:r>
              <w:rPr>
                <w:rFonts w:ascii="Aptos" w:hAnsi="Aptos"/>
                <w:b w:val="0"/>
                <w:sz w:val="16"/>
              </w:rPr>
              <w:t>Security risk assessment</w:t>
            </w:r>
          </w:p>
        </w:tc>
      </w:tr>
      <w:tr>
        <w:tc>
          <w:tcPr>
            <w:tcW w:type="dxa" w:w="2880"/>
            <w:tcMar>
              <w:top w:w="80" w:type="dxa"/>
              <w:start w:w="90" w:type="dxa"/>
              <w:bottom w:w="80" w:type="dxa"/>
              <w:end w:w="90" w:type="dxa"/>
            </w:tcMar>
            <w:vAlign w:val="top"/>
            <w:shd w:fill="F7FAFC"/>
          </w:tcPr>
          <w:p>
            <w:r>
              <w:rPr>
                <w:rFonts w:ascii="Aptos" w:hAnsi="Aptos"/>
                <w:b w:val="0"/>
                <w:sz w:val="16"/>
              </w:rPr>
              <w:t>Audit/Compliance testing</w:t>
            </w:r>
          </w:p>
        </w:tc>
        <w:tc>
          <w:tcPr>
            <w:tcW w:type="dxa" w:w="4320"/>
            <w:tcMar>
              <w:top w:w="80" w:type="dxa"/>
              <w:start w:w="90" w:type="dxa"/>
              <w:bottom w:w="80" w:type="dxa"/>
              <w:end w:w="90" w:type="dxa"/>
            </w:tcMar>
            <w:vAlign w:val="top"/>
            <w:shd w:fill="F7FAFC"/>
          </w:tcPr>
          <w:p>
            <w:r>
              <w:rPr>
                <w:rFonts w:ascii="Aptos" w:hAnsi="Aptos"/>
                <w:b w:val="0"/>
                <w:sz w:val="16"/>
              </w:rPr>
              <w:t>Control design or operating failure</w:t>
            </w:r>
          </w:p>
        </w:tc>
        <w:tc>
          <w:tcPr>
            <w:tcW w:type="dxa" w:w="3168"/>
            <w:tcMar>
              <w:top w:w="80" w:type="dxa"/>
              <w:start w:w="90" w:type="dxa"/>
              <w:bottom w:w="80" w:type="dxa"/>
              <w:end w:w="90" w:type="dxa"/>
            </w:tcMar>
            <w:vAlign w:val="top"/>
            <w:shd w:fill="F7FAFC"/>
          </w:tcPr>
          <w:p>
            <w:r>
              <w:rPr>
                <w:rFonts w:ascii="Aptos" w:hAnsi="Aptos"/>
                <w:b w:val="0"/>
                <w:sz w:val="16"/>
              </w:rPr>
              <w:t>Issue record and remediation plan</w:t>
            </w:r>
          </w:p>
        </w:tc>
      </w:tr>
    </w:tbl>
    <w:p/>
    <w:p>
      <w:pPr>
        <w:pStyle w:val="Heading1"/>
        <w:keepNext/>
      </w:pPr>
      <w:r>
        <w:t>8. Risk Assessment Methodology</w:t>
      </w:r>
    </w:p>
    <w:p>
      <w:r>
        <w:t>Risks are assessed using inherent risk, control effectiveness and residual risk. Quantitative metrics should be used where meaningful; qualitative judgment remains necessary for low-frequency/high-impact risks.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304"/>
            <w:shd w:fill="17365D"/>
            <w:vAlign w:val="center"/>
            <w:tcMar>
              <w:top w:w="80" w:type="dxa"/>
              <w:start w:w="90" w:type="dxa"/>
              <w:bottom w:w="80" w:type="dxa"/>
              <w:end w:w="90" w:type="dxa"/>
            </w:tcMar>
          </w:tcPr>
          <w:p>
            <w:r>
              <w:rPr>
                <w:rFonts w:ascii="Aptos" w:hAnsi="Aptos"/>
                <w:b/>
                <w:color w:val="FFFFFF"/>
                <w:sz w:val="16"/>
              </w:rPr>
              <w:t>Likelihood</w:t>
            </w:r>
          </w:p>
        </w:tc>
        <w:tc>
          <w:tcPr>
            <w:tcW w:type="dxa" w:w="8064"/>
            <w:shd w:fill="17365D"/>
            <w:vAlign w:val="center"/>
            <w:tcMar>
              <w:top w:w="80" w:type="dxa"/>
              <w:start w:w="90" w:type="dxa"/>
              <w:bottom w:w="80" w:type="dxa"/>
              <w:end w:w="90" w:type="dxa"/>
            </w:tcMar>
          </w:tcPr>
          <w:p>
            <w:r>
              <w:rPr>
                <w:rFonts w:ascii="Aptos" w:hAnsi="Aptos"/>
                <w:b/>
                <w:color w:val="FFFFFF"/>
                <w:sz w:val="16"/>
              </w:rPr>
              <w:t>Definition</w:t>
            </w:r>
          </w:p>
        </w:tc>
      </w:tr>
      <w:tr>
        <w:tc>
          <w:tcPr>
            <w:tcW w:type="dxa" w:w="2304"/>
            <w:tcMar>
              <w:top w:w="80" w:type="dxa"/>
              <w:start w:w="90" w:type="dxa"/>
              <w:bottom w:w="80" w:type="dxa"/>
              <w:end w:w="90" w:type="dxa"/>
            </w:tcMar>
            <w:vAlign w:val="top"/>
          </w:tcPr>
          <w:p>
            <w:r>
              <w:rPr>
                <w:rFonts w:ascii="Aptos" w:hAnsi="Aptos"/>
                <w:b w:val="0"/>
                <w:sz w:val="16"/>
              </w:rPr>
              <w:t>1 — Rare</w:t>
            </w:r>
          </w:p>
        </w:tc>
        <w:tc>
          <w:tcPr>
            <w:tcW w:type="dxa" w:w="8064"/>
            <w:tcMar>
              <w:top w:w="80" w:type="dxa"/>
              <w:start w:w="90" w:type="dxa"/>
              <w:bottom w:w="80" w:type="dxa"/>
              <w:end w:w="90" w:type="dxa"/>
            </w:tcMar>
            <w:vAlign w:val="top"/>
          </w:tcPr>
          <w:p>
            <w:r>
              <w:rPr>
                <w:rFonts w:ascii="Aptos" w:hAnsi="Aptos"/>
                <w:b w:val="0"/>
                <w:sz w:val="16"/>
              </w:rPr>
              <w:t>Not expected in normal planning horizon; exceptional conditions required</w:t>
            </w:r>
          </w:p>
        </w:tc>
      </w:tr>
      <w:tr>
        <w:tc>
          <w:tcPr>
            <w:tcW w:type="dxa" w:w="2304"/>
            <w:tcMar>
              <w:top w:w="80" w:type="dxa"/>
              <w:start w:w="90" w:type="dxa"/>
              <w:bottom w:w="80" w:type="dxa"/>
              <w:end w:w="90" w:type="dxa"/>
            </w:tcMar>
            <w:vAlign w:val="top"/>
            <w:shd w:fill="F7FAFC"/>
          </w:tcPr>
          <w:p>
            <w:r>
              <w:rPr>
                <w:rFonts w:ascii="Aptos" w:hAnsi="Aptos"/>
                <w:b w:val="0"/>
                <w:sz w:val="16"/>
              </w:rPr>
              <w:t>2 — Unlikely</w:t>
            </w:r>
          </w:p>
        </w:tc>
        <w:tc>
          <w:tcPr>
            <w:tcW w:type="dxa" w:w="8064"/>
            <w:tcMar>
              <w:top w:w="80" w:type="dxa"/>
              <w:start w:w="90" w:type="dxa"/>
              <w:bottom w:w="80" w:type="dxa"/>
              <w:end w:w="90" w:type="dxa"/>
            </w:tcMar>
            <w:vAlign w:val="top"/>
            <w:shd w:fill="F7FAFC"/>
          </w:tcPr>
          <w:p>
            <w:r>
              <w:rPr>
                <w:rFonts w:ascii="Aptos" w:hAnsi="Aptos"/>
                <w:b w:val="0"/>
                <w:sz w:val="16"/>
              </w:rPr>
              <w:t>Could occur but not common under current conditions</w:t>
            </w:r>
          </w:p>
        </w:tc>
      </w:tr>
      <w:tr>
        <w:tc>
          <w:tcPr>
            <w:tcW w:type="dxa" w:w="2304"/>
            <w:tcMar>
              <w:top w:w="80" w:type="dxa"/>
              <w:start w:w="90" w:type="dxa"/>
              <w:bottom w:w="80" w:type="dxa"/>
              <w:end w:w="90" w:type="dxa"/>
            </w:tcMar>
            <w:vAlign w:val="top"/>
          </w:tcPr>
          <w:p>
            <w:r>
              <w:rPr>
                <w:rFonts w:ascii="Aptos" w:hAnsi="Aptos"/>
                <w:b w:val="0"/>
                <w:sz w:val="16"/>
              </w:rPr>
              <w:t>3 — Possible</w:t>
            </w:r>
          </w:p>
        </w:tc>
        <w:tc>
          <w:tcPr>
            <w:tcW w:type="dxa" w:w="8064"/>
            <w:tcMar>
              <w:top w:w="80" w:type="dxa"/>
              <w:start w:w="90" w:type="dxa"/>
              <w:bottom w:w="80" w:type="dxa"/>
              <w:end w:w="90" w:type="dxa"/>
            </w:tcMar>
            <w:vAlign w:val="top"/>
          </w:tcPr>
          <w:p>
            <w:r>
              <w:rPr>
                <w:rFonts w:ascii="Aptos" w:hAnsi="Aptos"/>
                <w:b w:val="0"/>
                <w:sz w:val="16"/>
              </w:rPr>
              <w:t>Credible occurrence during planning horizon</w:t>
            </w:r>
          </w:p>
        </w:tc>
      </w:tr>
      <w:tr>
        <w:tc>
          <w:tcPr>
            <w:tcW w:type="dxa" w:w="2304"/>
            <w:tcMar>
              <w:top w:w="80" w:type="dxa"/>
              <w:start w:w="90" w:type="dxa"/>
              <w:bottom w:w="80" w:type="dxa"/>
              <w:end w:w="90" w:type="dxa"/>
            </w:tcMar>
            <w:vAlign w:val="top"/>
            <w:shd w:fill="F7FAFC"/>
          </w:tcPr>
          <w:p>
            <w:r>
              <w:rPr>
                <w:rFonts w:ascii="Aptos" w:hAnsi="Aptos"/>
                <w:b w:val="0"/>
                <w:sz w:val="16"/>
              </w:rPr>
              <w:t>4 — Likely</w:t>
            </w:r>
          </w:p>
        </w:tc>
        <w:tc>
          <w:tcPr>
            <w:tcW w:type="dxa" w:w="8064"/>
            <w:tcMar>
              <w:top w:w="80" w:type="dxa"/>
              <w:start w:w="90" w:type="dxa"/>
              <w:bottom w:w="80" w:type="dxa"/>
              <w:end w:w="90" w:type="dxa"/>
            </w:tcMar>
            <w:vAlign w:val="top"/>
            <w:shd w:fill="F7FAFC"/>
          </w:tcPr>
          <w:p>
            <w:r>
              <w:rPr>
                <w:rFonts w:ascii="Aptos" w:hAnsi="Aptos"/>
                <w:b w:val="0"/>
                <w:sz w:val="16"/>
              </w:rPr>
              <w:t>Expected to occur or recur without stronger controls</w:t>
            </w:r>
          </w:p>
        </w:tc>
      </w:tr>
      <w:tr>
        <w:tc>
          <w:tcPr>
            <w:tcW w:type="dxa" w:w="2304"/>
            <w:tcMar>
              <w:top w:w="80" w:type="dxa"/>
              <w:start w:w="90" w:type="dxa"/>
              <w:bottom w:w="80" w:type="dxa"/>
              <w:end w:w="90" w:type="dxa"/>
            </w:tcMar>
            <w:vAlign w:val="top"/>
          </w:tcPr>
          <w:p>
            <w:r>
              <w:rPr>
                <w:rFonts w:ascii="Aptos" w:hAnsi="Aptos"/>
                <w:b w:val="0"/>
                <w:sz w:val="16"/>
              </w:rPr>
              <w:t>5 — Almost certain</w:t>
            </w:r>
          </w:p>
        </w:tc>
        <w:tc>
          <w:tcPr>
            <w:tcW w:type="dxa" w:w="8064"/>
            <w:tcMar>
              <w:top w:w="80" w:type="dxa"/>
              <w:start w:w="90" w:type="dxa"/>
              <w:bottom w:w="80" w:type="dxa"/>
              <w:end w:w="90" w:type="dxa"/>
            </w:tcMar>
            <w:vAlign w:val="top"/>
          </w:tcPr>
          <w:p>
            <w:r>
              <w:rPr>
                <w:rFonts w:ascii="Aptos" w:hAnsi="Aptos"/>
                <w:b w:val="0"/>
                <w:sz w:val="16"/>
              </w:rPr>
              <w:t>Frequent or ongoing exposure</w:t>
            </w:r>
          </w:p>
        </w:tc>
      </w:tr>
    </w:tbl>
    <w:p/>
    <w:p>
      <w:pPr>
        <w:pStyle w:val="Heading1"/>
        <w:keepNext/>
      </w:pPr>
      <w:r>
        <w:t>9. Impact Assessment</w:t>
      </w:r>
    </w:p>
    <w:p>
      <w:r>
        <w:t>Impact shall consider financial loss, customer harm, legal/compliance effect, data/security effect, operational disruption and reputation. The highest material dimension may determine the impact rating even where direct financial loss is small.</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304"/>
            <w:shd w:fill="17365D"/>
            <w:vAlign w:val="center"/>
            <w:tcMar>
              <w:top w:w="80" w:type="dxa"/>
              <w:start w:w="90" w:type="dxa"/>
              <w:bottom w:w="80" w:type="dxa"/>
              <w:end w:w="90" w:type="dxa"/>
            </w:tcMar>
          </w:tcPr>
          <w:p>
            <w:r>
              <w:rPr>
                <w:rFonts w:ascii="Aptos" w:hAnsi="Aptos"/>
                <w:b/>
                <w:color w:val="FFFFFF"/>
                <w:sz w:val="16"/>
              </w:rPr>
              <w:t>Impact</w:t>
            </w:r>
          </w:p>
        </w:tc>
        <w:tc>
          <w:tcPr>
            <w:tcW w:type="dxa" w:w="8064"/>
            <w:shd w:fill="17365D"/>
            <w:vAlign w:val="center"/>
            <w:tcMar>
              <w:top w:w="80" w:type="dxa"/>
              <w:start w:w="90" w:type="dxa"/>
              <w:bottom w:w="80" w:type="dxa"/>
              <w:end w:w="90" w:type="dxa"/>
            </w:tcMar>
          </w:tcPr>
          <w:p>
            <w:r>
              <w:rPr>
                <w:rFonts w:ascii="Aptos" w:hAnsi="Aptos"/>
                <w:b/>
                <w:color w:val="FFFFFF"/>
                <w:sz w:val="16"/>
              </w:rPr>
              <w:t>Illustrative Internal Interpretation</w:t>
            </w:r>
          </w:p>
        </w:tc>
      </w:tr>
      <w:tr>
        <w:tc>
          <w:tcPr>
            <w:tcW w:type="dxa" w:w="2304"/>
            <w:tcMar>
              <w:top w:w="80" w:type="dxa"/>
              <w:start w:w="90" w:type="dxa"/>
              <w:bottom w:w="80" w:type="dxa"/>
              <w:end w:w="90" w:type="dxa"/>
            </w:tcMar>
            <w:vAlign w:val="top"/>
          </w:tcPr>
          <w:p>
            <w:r>
              <w:rPr>
                <w:rFonts w:ascii="Aptos" w:hAnsi="Aptos"/>
                <w:b w:val="0"/>
                <w:sz w:val="16"/>
              </w:rPr>
              <w:t>1 — Minor</w:t>
            </w:r>
          </w:p>
        </w:tc>
        <w:tc>
          <w:tcPr>
            <w:tcW w:type="dxa" w:w="8064"/>
            <w:tcMar>
              <w:top w:w="80" w:type="dxa"/>
              <w:start w:w="90" w:type="dxa"/>
              <w:bottom w:w="80" w:type="dxa"/>
              <w:end w:w="90" w:type="dxa"/>
            </w:tcMar>
            <w:vAlign w:val="top"/>
          </w:tcPr>
          <w:p>
            <w:r>
              <w:rPr>
                <w:rFonts w:ascii="Aptos" w:hAnsi="Aptos"/>
                <w:b w:val="0"/>
                <w:sz w:val="16"/>
              </w:rPr>
              <w:t>Localized error; limited customer/financial effect; routine remediation</w:t>
            </w:r>
          </w:p>
        </w:tc>
      </w:tr>
      <w:tr>
        <w:tc>
          <w:tcPr>
            <w:tcW w:type="dxa" w:w="2304"/>
            <w:tcMar>
              <w:top w:w="80" w:type="dxa"/>
              <w:start w:w="90" w:type="dxa"/>
              <w:bottom w:w="80" w:type="dxa"/>
              <w:end w:w="90" w:type="dxa"/>
            </w:tcMar>
            <w:vAlign w:val="top"/>
            <w:shd w:fill="F7FAFC"/>
          </w:tcPr>
          <w:p>
            <w:r>
              <w:rPr>
                <w:rFonts w:ascii="Aptos" w:hAnsi="Aptos"/>
                <w:b w:val="0"/>
                <w:sz w:val="16"/>
              </w:rPr>
              <w:t>2 — Moderate</w:t>
            </w:r>
          </w:p>
        </w:tc>
        <w:tc>
          <w:tcPr>
            <w:tcW w:type="dxa" w:w="8064"/>
            <w:tcMar>
              <w:top w:w="80" w:type="dxa"/>
              <w:start w:w="90" w:type="dxa"/>
              <w:bottom w:w="80" w:type="dxa"/>
              <w:end w:w="90" w:type="dxa"/>
            </w:tcMar>
            <w:vAlign w:val="top"/>
            <w:shd w:fill="F7FAFC"/>
          </w:tcPr>
          <w:p>
            <w:r>
              <w:rPr>
                <w:rFonts w:ascii="Aptos" w:hAnsi="Aptos"/>
                <w:b w:val="0"/>
                <w:sz w:val="16"/>
              </w:rPr>
              <w:t>Noticeable operational/customer impact; manageable within function</w:t>
            </w:r>
          </w:p>
        </w:tc>
      </w:tr>
      <w:tr>
        <w:tc>
          <w:tcPr>
            <w:tcW w:type="dxa" w:w="2304"/>
            <w:tcMar>
              <w:top w:w="80" w:type="dxa"/>
              <w:start w:w="90" w:type="dxa"/>
              <w:bottom w:w="80" w:type="dxa"/>
              <w:end w:w="90" w:type="dxa"/>
            </w:tcMar>
            <w:vAlign w:val="top"/>
          </w:tcPr>
          <w:p>
            <w:r>
              <w:rPr>
                <w:rFonts w:ascii="Aptos" w:hAnsi="Aptos"/>
                <w:b w:val="0"/>
                <w:sz w:val="16"/>
              </w:rPr>
              <w:t>3 — Significant</w:t>
            </w:r>
          </w:p>
        </w:tc>
        <w:tc>
          <w:tcPr>
            <w:tcW w:type="dxa" w:w="8064"/>
            <w:tcMar>
              <w:top w:w="80" w:type="dxa"/>
              <w:start w:w="90" w:type="dxa"/>
              <w:bottom w:w="80" w:type="dxa"/>
              <w:end w:w="90" w:type="dxa"/>
            </w:tcMar>
            <w:vAlign w:val="top"/>
          </w:tcPr>
          <w:p>
            <w:r>
              <w:rPr>
                <w:rFonts w:ascii="Aptos" w:hAnsi="Aptos"/>
                <w:b w:val="0"/>
                <w:sz w:val="16"/>
              </w:rPr>
              <w:t>Material business-unit impact, recurring customers affected or senior management attention</w:t>
            </w:r>
          </w:p>
        </w:tc>
      </w:tr>
      <w:tr>
        <w:tc>
          <w:tcPr>
            <w:tcW w:type="dxa" w:w="2304"/>
            <w:tcMar>
              <w:top w:w="80" w:type="dxa"/>
              <w:start w:w="90" w:type="dxa"/>
              <w:bottom w:w="80" w:type="dxa"/>
              <w:end w:w="90" w:type="dxa"/>
            </w:tcMar>
            <w:vAlign w:val="top"/>
            <w:shd w:fill="F7FAFC"/>
          </w:tcPr>
          <w:p>
            <w:r>
              <w:rPr>
                <w:rFonts w:ascii="Aptos" w:hAnsi="Aptos"/>
                <w:b w:val="0"/>
                <w:sz w:val="16"/>
              </w:rPr>
              <w:t>4 — Major</w:t>
            </w:r>
          </w:p>
        </w:tc>
        <w:tc>
          <w:tcPr>
            <w:tcW w:type="dxa" w:w="8064"/>
            <w:tcMar>
              <w:top w:w="80" w:type="dxa"/>
              <w:start w:w="90" w:type="dxa"/>
              <w:bottom w:w="80" w:type="dxa"/>
              <w:end w:w="90" w:type="dxa"/>
            </w:tcMar>
            <w:vAlign w:val="top"/>
            <w:shd w:fill="F7FAFC"/>
          </w:tcPr>
          <w:p>
            <w:r>
              <w:rPr>
                <w:rFonts w:ascii="Aptos" w:hAnsi="Aptos"/>
                <w:b w:val="0"/>
                <w:sz w:val="16"/>
              </w:rPr>
              <w:t>Enterprise impact, major control failure, significant financial/reputation consequence</w:t>
            </w:r>
          </w:p>
        </w:tc>
      </w:tr>
      <w:tr>
        <w:tc>
          <w:tcPr>
            <w:tcW w:type="dxa" w:w="2304"/>
            <w:tcMar>
              <w:top w:w="80" w:type="dxa"/>
              <w:start w:w="90" w:type="dxa"/>
              <w:bottom w:w="80" w:type="dxa"/>
              <w:end w:w="90" w:type="dxa"/>
            </w:tcMar>
            <w:vAlign w:val="top"/>
          </w:tcPr>
          <w:p>
            <w:r>
              <w:rPr>
                <w:rFonts w:ascii="Aptos" w:hAnsi="Aptos"/>
                <w:b w:val="0"/>
                <w:sz w:val="16"/>
              </w:rPr>
              <w:t>5 — Severe</w:t>
            </w:r>
          </w:p>
        </w:tc>
        <w:tc>
          <w:tcPr>
            <w:tcW w:type="dxa" w:w="8064"/>
            <w:tcMar>
              <w:top w:w="80" w:type="dxa"/>
              <w:start w:w="90" w:type="dxa"/>
              <w:bottom w:w="80" w:type="dxa"/>
              <w:end w:w="90" w:type="dxa"/>
            </w:tcMar>
            <w:vAlign w:val="top"/>
          </w:tcPr>
          <w:p>
            <w:r>
              <w:rPr>
                <w:rFonts w:ascii="Aptos" w:hAnsi="Aptos"/>
                <w:b w:val="0"/>
                <w:sz w:val="16"/>
              </w:rPr>
              <w:t>Threat to critical services, material financial resilience or enterprise viability</w:t>
            </w:r>
          </w:p>
        </w:tc>
      </w:tr>
    </w:tbl>
    <w:p/>
    <w:p>
      <w:pPr>
        <w:pStyle w:val="Heading1"/>
        <w:keepNext/>
      </w:pPr>
      <w:r>
        <w:t>10. Control Design and Control Effectiveness</w:t>
      </w:r>
    </w:p>
    <w:p>
      <w:r>
        <w:t>Controls may be preventive, detective, corrective or directive. Control assessment shall consider design suitability, execution consistency, evidence, ownership, system dependency and whether exceptions are controlled.</w:t>
      </w:r>
    </w:p>
    <w:p>
      <w:pPr>
        <w:pStyle w:val="ControlBullet"/>
      </w:pPr>
      <w:r>
        <w:rPr>
          <w:b/>
        </w:rPr>
        <w:t xml:space="preserve">• </w:t>
      </w:r>
      <w:r>
        <w:t>Maker-checker controls shall identify independent checker responsibility and evidence of release.</w:t>
      </w:r>
    </w:p>
    <w:p>
      <w:pPr>
        <w:pStyle w:val="ControlBullet"/>
      </w:pPr>
      <w:r>
        <w:rPr>
          <w:b/>
        </w:rPr>
        <w:t xml:space="preserve">• </w:t>
      </w:r>
      <w:r>
        <w:t>Automated controls require change management, access restriction, monitoring and fallback arrangements.</w:t>
      </w:r>
    </w:p>
    <w:p>
      <w:pPr>
        <w:pStyle w:val="ControlBullet"/>
      </w:pPr>
      <w:r>
        <w:rPr>
          <w:b/>
        </w:rPr>
        <w:t xml:space="preserve">• </w:t>
      </w:r>
      <w:r>
        <w:t>A control that exists only as policy text without operating evidence is not effective.</w:t>
      </w:r>
    </w:p>
    <w:p>
      <w:pPr>
        <w:pStyle w:val="ControlBullet"/>
      </w:pPr>
      <w:r>
        <w:rPr>
          <w:b/>
        </w:rPr>
        <w:t xml:space="preserve">• </w:t>
      </w:r>
      <w:r>
        <w:t>Repeated exceptions may indicate a control-design issue even when each individual exception was properly approved.</w:t>
      </w:r>
    </w:p>
    <w:p>
      <w:pPr>
        <w:pStyle w:val="Heading1"/>
        <w:keepNext/>
      </w:pPr>
      <w:r>
        <w:t>11. Residual Risk and Risk Acceptance</w:t>
      </w:r>
    </w:p>
    <w:p>
      <w:r>
        <w:t>Residual risk is the risk remaining after current controls. Risks above appetite shall normally be reduced, avoided or transferred; temporary acceptance may be permitted by the appropriate authority where remediation is defined and time-bound.</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160"/>
            <w:shd w:fill="17365D"/>
            <w:vAlign w:val="center"/>
            <w:tcMar>
              <w:top w:w="80" w:type="dxa"/>
              <w:start w:w="90" w:type="dxa"/>
              <w:bottom w:w="80" w:type="dxa"/>
              <w:end w:w="90" w:type="dxa"/>
            </w:tcMar>
          </w:tcPr>
          <w:p>
            <w:r>
              <w:rPr>
                <w:rFonts w:ascii="Aptos" w:hAnsi="Aptos"/>
                <w:b/>
                <w:color w:val="FFFFFF"/>
                <w:sz w:val="16"/>
              </w:rPr>
              <w:t>Residual Risk</w:t>
            </w:r>
          </w:p>
        </w:tc>
        <w:tc>
          <w:tcPr>
            <w:tcW w:type="dxa" w:w="5040"/>
            <w:shd w:fill="17365D"/>
            <w:vAlign w:val="center"/>
            <w:tcMar>
              <w:top w:w="80" w:type="dxa"/>
              <w:start w:w="90" w:type="dxa"/>
              <w:bottom w:w="80" w:type="dxa"/>
              <w:end w:w="90" w:type="dxa"/>
            </w:tcMar>
          </w:tcPr>
          <w:p>
            <w:r>
              <w:rPr>
                <w:rFonts w:ascii="Aptos" w:hAnsi="Aptos"/>
                <w:b/>
                <w:color w:val="FFFFFF"/>
                <w:sz w:val="16"/>
              </w:rPr>
              <w:t>Typical Action</w:t>
            </w:r>
          </w:p>
        </w:tc>
        <w:tc>
          <w:tcPr>
            <w:tcW w:type="dxa" w:w="3168"/>
            <w:shd w:fill="17365D"/>
            <w:vAlign w:val="center"/>
            <w:tcMar>
              <w:top w:w="80" w:type="dxa"/>
              <w:start w:w="90" w:type="dxa"/>
              <w:bottom w:w="80" w:type="dxa"/>
              <w:end w:w="90" w:type="dxa"/>
            </w:tcMar>
          </w:tcPr>
          <w:p>
            <w:r>
              <w:rPr>
                <w:rFonts w:ascii="Aptos" w:hAnsi="Aptos"/>
                <w:b/>
                <w:color w:val="FFFFFF"/>
                <w:sz w:val="16"/>
              </w:rPr>
              <w:t>Acceptance Authority</w:t>
            </w:r>
          </w:p>
        </w:tc>
      </w:tr>
      <w:tr>
        <w:tc>
          <w:tcPr>
            <w:tcW w:type="dxa" w:w="2160"/>
            <w:tcMar>
              <w:top w:w="80" w:type="dxa"/>
              <w:start w:w="90" w:type="dxa"/>
              <w:bottom w:w="80" w:type="dxa"/>
              <w:end w:w="90" w:type="dxa"/>
            </w:tcMar>
            <w:vAlign w:val="top"/>
          </w:tcPr>
          <w:p>
            <w:r>
              <w:rPr>
                <w:rFonts w:ascii="Aptos" w:hAnsi="Aptos"/>
                <w:b w:val="0"/>
                <w:sz w:val="16"/>
              </w:rPr>
              <w:t>Low</w:t>
            </w:r>
          </w:p>
        </w:tc>
        <w:tc>
          <w:tcPr>
            <w:tcW w:type="dxa" w:w="5040"/>
            <w:tcMar>
              <w:top w:w="80" w:type="dxa"/>
              <w:start w:w="90" w:type="dxa"/>
              <w:bottom w:w="80" w:type="dxa"/>
              <w:end w:w="90" w:type="dxa"/>
            </w:tcMar>
            <w:vAlign w:val="top"/>
          </w:tcPr>
          <w:p>
            <w:r>
              <w:rPr>
                <w:rFonts w:ascii="Aptos" w:hAnsi="Aptos"/>
                <w:b w:val="0"/>
                <w:sz w:val="16"/>
              </w:rPr>
              <w:t>Manage within function</w:t>
            </w:r>
          </w:p>
        </w:tc>
        <w:tc>
          <w:tcPr>
            <w:tcW w:type="dxa" w:w="3168"/>
            <w:tcMar>
              <w:top w:w="80" w:type="dxa"/>
              <w:start w:w="90" w:type="dxa"/>
              <w:bottom w:w="80" w:type="dxa"/>
              <w:end w:w="90" w:type="dxa"/>
            </w:tcMar>
            <w:vAlign w:val="top"/>
          </w:tcPr>
          <w:p>
            <w:r>
              <w:rPr>
                <w:rFonts w:ascii="Aptos" w:hAnsi="Aptos"/>
                <w:b w:val="0"/>
                <w:sz w:val="16"/>
              </w:rPr>
              <w:t>Risk owner</w:t>
            </w:r>
          </w:p>
        </w:tc>
      </w:tr>
      <w:tr>
        <w:tc>
          <w:tcPr>
            <w:tcW w:type="dxa" w:w="2160"/>
            <w:tcMar>
              <w:top w:w="80" w:type="dxa"/>
              <w:start w:w="90" w:type="dxa"/>
              <w:bottom w:w="80" w:type="dxa"/>
              <w:end w:w="90" w:type="dxa"/>
            </w:tcMar>
            <w:vAlign w:val="top"/>
            <w:shd w:fill="F7FAFC"/>
          </w:tcPr>
          <w:p>
            <w:r>
              <w:rPr>
                <w:rFonts w:ascii="Aptos" w:hAnsi="Aptos"/>
                <w:b w:val="0"/>
                <w:sz w:val="16"/>
              </w:rPr>
              <w:t>Moderate</w:t>
            </w:r>
          </w:p>
        </w:tc>
        <w:tc>
          <w:tcPr>
            <w:tcW w:type="dxa" w:w="5040"/>
            <w:tcMar>
              <w:top w:w="80" w:type="dxa"/>
              <w:start w:w="90" w:type="dxa"/>
              <w:bottom w:w="80" w:type="dxa"/>
              <w:end w:w="90" w:type="dxa"/>
            </w:tcMar>
            <w:vAlign w:val="top"/>
            <w:shd w:fill="F7FAFC"/>
          </w:tcPr>
          <w:p>
            <w:r>
              <w:rPr>
                <w:rFonts w:ascii="Aptos" w:hAnsi="Aptos"/>
                <w:b w:val="0"/>
                <w:sz w:val="16"/>
              </w:rPr>
              <w:t>Monitor; targeted improvement where cost-effective</w:t>
            </w:r>
          </w:p>
        </w:tc>
        <w:tc>
          <w:tcPr>
            <w:tcW w:type="dxa" w:w="3168"/>
            <w:tcMar>
              <w:top w:w="80" w:type="dxa"/>
              <w:start w:w="90" w:type="dxa"/>
              <w:bottom w:w="80" w:type="dxa"/>
              <w:end w:w="90" w:type="dxa"/>
            </w:tcMar>
            <w:vAlign w:val="top"/>
            <w:shd w:fill="F7FAFC"/>
          </w:tcPr>
          <w:p>
            <w:r>
              <w:rPr>
                <w:rFonts w:ascii="Aptos" w:hAnsi="Aptos"/>
                <w:b w:val="0"/>
                <w:sz w:val="16"/>
              </w:rPr>
              <w:t>Business head / risk function concurrence as applicable</w:t>
            </w:r>
          </w:p>
        </w:tc>
      </w:tr>
      <w:tr>
        <w:tc>
          <w:tcPr>
            <w:tcW w:type="dxa" w:w="2160"/>
            <w:tcMar>
              <w:top w:w="80" w:type="dxa"/>
              <w:start w:w="90" w:type="dxa"/>
              <w:bottom w:w="80" w:type="dxa"/>
              <w:end w:w="90" w:type="dxa"/>
            </w:tcMar>
            <w:vAlign w:val="top"/>
          </w:tcPr>
          <w:p>
            <w:r>
              <w:rPr>
                <w:rFonts w:ascii="Aptos" w:hAnsi="Aptos"/>
                <w:b w:val="0"/>
                <w:sz w:val="16"/>
              </w:rPr>
              <w:t>High</w:t>
            </w:r>
          </w:p>
        </w:tc>
        <w:tc>
          <w:tcPr>
            <w:tcW w:type="dxa" w:w="5040"/>
            <w:tcMar>
              <w:top w:w="80" w:type="dxa"/>
              <w:start w:w="90" w:type="dxa"/>
              <w:bottom w:w="80" w:type="dxa"/>
              <w:end w:w="90" w:type="dxa"/>
            </w:tcMar>
            <w:vAlign w:val="top"/>
          </w:tcPr>
          <w:p>
            <w:r>
              <w:rPr>
                <w:rFonts w:ascii="Aptos" w:hAnsi="Aptos"/>
                <w:b w:val="0"/>
                <w:sz w:val="16"/>
              </w:rPr>
              <w:t>Formal action plan; enhanced monitoring; senior acceptance if temporary</w:t>
            </w:r>
          </w:p>
        </w:tc>
        <w:tc>
          <w:tcPr>
            <w:tcW w:type="dxa" w:w="3168"/>
            <w:tcMar>
              <w:top w:w="80" w:type="dxa"/>
              <w:start w:w="90" w:type="dxa"/>
              <w:bottom w:w="80" w:type="dxa"/>
              <w:end w:w="90" w:type="dxa"/>
            </w:tcMar>
            <w:vAlign w:val="top"/>
          </w:tcPr>
          <w:p>
            <w:r>
              <w:rPr>
                <w:rFonts w:ascii="Aptos" w:hAnsi="Aptos"/>
                <w:b w:val="0"/>
                <w:sz w:val="16"/>
              </w:rPr>
              <w:t>CRO / relevant specialist executive</w:t>
            </w:r>
          </w:p>
        </w:tc>
      </w:tr>
      <w:tr>
        <w:tc>
          <w:tcPr>
            <w:tcW w:type="dxa" w:w="2160"/>
            <w:tcMar>
              <w:top w:w="80" w:type="dxa"/>
              <w:start w:w="90" w:type="dxa"/>
              <w:bottom w:w="80" w:type="dxa"/>
              <w:end w:w="90" w:type="dxa"/>
            </w:tcMar>
            <w:vAlign w:val="top"/>
            <w:shd w:fill="F7FAFC"/>
          </w:tcPr>
          <w:p>
            <w:r>
              <w:rPr>
                <w:rFonts w:ascii="Aptos" w:hAnsi="Aptos"/>
                <w:b w:val="0"/>
                <w:sz w:val="16"/>
              </w:rPr>
              <w:t>Severe</w:t>
            </w:r>
          </w:p>
        </w:tc>
        <w:tc>
          <w:tcPr>
            <w:tcW w:type="dxa" w:w="5040"/>
            <w:tcMar>
              <w:top w:w="80" w:type="dxa"/>
              <w:start w:w="90" w:type="dxa"/>
              <w:bottom w:w="80" w:type="dxa"/>
              <w:end w:w="90" w:type="dxa"/>
            </w:tcMar>
            <w:vAlign w:val="top"/>
            <w:shd w:fill="F7FAFC"/>
          </w:tcPr>
          <w:p>
            <w:r>
              <w:rPr>
                <w:rFonts w:ascii="Aptos" w:hAnsi="Aptos"/>
                <w:b w:val="0"/>
                <w:sz w:val="16"/>
              </w:rPr>
              <w:t>Immediate escalation; normally stop/avoid exposure</w:t>
            </w:r>
          </w:p>
        </w:tc>
        <w:tc>
          <w:tcPr>
            <w:tcW w:type="dxa" w:w="3168"/>
            <w:tcMar>
              <w:top w:w="80" w:type="dxa"/>
              <w:start w:w="90" w:type="dxa"/>
              <w:bottom w:w="80" w:type="dxa"/>
              <w:end w:w="90" w:type="dxa"/>
            </w:tcMar>
            <w:vAlign w:val="top"/>
            <w:shd w:fill="F7FAFC"/>
          </w:tcPr>
          <w:p>
            <w:r>
              <w:rPr>
                <w:rFonts w:ascii="Aptos" w:hAnsi="Aptos"/>
                <w:b w:val="0"/>
                <w:sz w:val="16"/>
              </w:rPr>
              <w:t>CEO / Board Risk Committee depending matter</w:t>
            </w:r>
          </w:p>
        </w:tc>
      </w:tr>
    </w:tbl>
    <w:p/>
    <w:p>
      <w:pPr>
        <w:pStyle w:val="Heading1"/>
        <w:keepNext/>
      </w:pPr>
      <w:r>
        <w:t>12. Key Risk Indicators and Limits</w:t>
      </w:r>
    </w:p>
    <w:p>
      <w:r>
        <w:t>KRIs provide forward-looking or current indicators of risk exposure and control performance. Metrics shall have an owner, data source, frequency, threshold, escalation route and action expectation.</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448"/>
            <w:shd w:fill="17365D"/>
            <w:vAlign w:val="center"/>
            <w:tcMar>
              <w:top w:w="80" w:type="dxa"/>
              <w:start w:w="90" w:type="dxa"/>
              <w:bottom w:w="80" w:type="dxa"/>
              <w:end w:w="90" w:type="dxa"/>
            </w:tcMar>
          </w:tcPr>
          <w:p>
            <w:r>
              <w:rPr>
                <w:rFonts w:ascii="Aptos" w:hAnsi="Aptos"/>
                <w:b/>
                <w:color w:val="FFFFFF"/>
                <w:sz w:val="16"/>
              </w:rPr>
              <w:t>Metric Type</w:t>
            </w:r>
          </w:p>
        </w:tc>
        <w:tc>
          <w:tcPr>
            <w:tcW w:type="dxa" w:w="5040"/>
            <w:shd w:fill="17365D"/>
            <w:vAlign w:val="center"/>
            <w:tcMar>
              <w:top w:w="80" w:type="dxa"/>
              <w:start w:w="90" w:type="dxa"/>
              <w:bottom w:w="80" w:type="dxa"/>
              <w:end w:w="90" w:type="dxa"/>
            </w:tcMar>
          </w:tcPr>
          <w:p>
            <w:r>
              <w:rPr>
                <w:rFonts w:ascii="Aptos" w:hAnsi="Aptos"/>
                <w:b/>
                <w:color w:val="FFFFFF"/>
                <w:sz w:val="16"/>
              </w:rPr>
              <w:t>Examples from Current Repository</w:t>
            </w:r>
          </w:p>
        </w:tc>
        <w:tc>
          <w:tcPr>
            <w:tcW w:type="dxa" w:w="2880"/>
            <w:shd w:fill="17365D"/>
            <w:vAlign w:val="center"/>
            <w:tcMar>
              <w:top w:w="80" w:type="dxa"/>
              <w:start w:w="90" w:type="dxa"/>
              <w:bottom w:w="80" w:type="dxa"/>
              <w:end w:w="90" w:type="dxa"/>
            </w:tcMar>
          </w:tcPr>
          <w:p>
            <w:r>
              <w:rPr>
                <w:rFonts w:ascii="Aptos" w:hAnsi="Aptos"/>
                <w:b/>
                <w:color w:val="FFFFFF"/>
                <w:sz w:val="16"/>
              </w:rPr>
              <w:t>Treatment</w:t>
            </w:r>
          </w:p>
        </w:tc>
      </w:tr>
      <w:tr>
        <w:tc>
          <w:tcPr>
            <w:tcW w:type="dxa" w:w="2448"/>
            <w:tcMar>
              <w:top w:w="80" w:type="dxa"/>
              <w:start w:w="90" w:type="dxa"/>
              <w:bottom w:w="80" w:type="dxa"/>
              <w:end w:w="90" w:type="dxa"/>
            </w:tcMar>
            <w:vAlign w:val="top"/>
          </w:tcPr>
          <w:p>
            <w:r>
              <w:rPr>
                <w:rFonts w:ascii="Aptos" w:hAnsi="Aptos"/>
                <w:b w:val="0"/>
                <w:sz w:val="16"/>
              </w:rPr>
              <w:t>Policy limit</w:t>
            </w:r>
          </w:p>
        </w:tc>
        <w:tc>
          <w:tcPr>
            <w:tcW w:type="dxa" w:w="5040"/>
            <w:tcMar>
              <w:top w:w="80" w:type="dxa"/>
              <w:start w:w="90" w:type="dxa"/>
              <w:bottom w:w="80" w:type="dxa"/>
              <w:end w:w="90" w:type="dxa"/>
            </w:tcMar>
            <w:vAlign w:val="top"/>
          </w:tcPr>
          <w:p>
            <w:r>
              <w:rPr>
                <w:rFonts w:ascii="Aptos" w:hAnsi="Aptos"/>
                <w:b w:val="0"/>
                <w:sz w:val="16"/>
              </w:rPr>
              <w:t>Personal-loan standard DTI ≤45%; product-specific LTV limits</w:t>
            </w:r>
          </w:p>
        </w:tc>
        <w:tc>
          <w:tcPr>
            <w:tcW w:type="dxa" w:w="2880"/>
            <w:tcMar>
              <w:top w:w="80" w:type="dxa"/>
              <w:start w:w="90" w:type="dxa"/>
              <w:bottom w:w="80" w:type="dxa"/>
              <w:end w:w="90" w:type="dxa"/>
            </w:tcMar>
            <w:vAlign w:val="top"/>
          </w:tcPr>
          <w:p>
            <w:r>
              <w:rPr>
                <w:rFonts w:ascii="Aptos" w:hAnsi="Aptos"/>
                <w:b w:val="0"/>
                <w:sz w:val="16"/>
              </w:rPr>
              <w:t>Binding unless controlled exception route applies</w:t>
            </w:r>
          </w:p>
        </w:tc>
      </w:tr>
      <w:tr>
        <w:tc>
          <w:tcPr>
            <w:tcW w:type="dxa" w:w="2448"/>
            <w:tcMar>
              <w:top w:w="80" w:type="dxa"/>
              <w:start w:w="90" w:type="dxa"/>
              <w:bottom w:w="80" w:type="dxa"/>
              <w:end w:w="90" w:type="dxa"/>
            </w:tcMar>
            <w:vAlign w:val="top"/>
            <w:shd w:fill="F7FAFC"/>
          </w:tcPr>
          <w:p>
            <w:r>
              <w:rPr>
                <w:rFonts w:ascii="Aptos" w:hAnsi="Aptos"/>
                <w:b w:val="0"/>
                <w:sz w:val="16"/>
              </w:rPr>
              <w:t>Exception monitoring</w:t>
            </w:r>
          </w:p>
        </w:tc>
        <w:tc>
          <w:tcPr>
            <w:tcW w:type="dxa" w:w="5040"/>
            <w:tcMar>
              <w:top w:w="80" w:type="dxa"/>
              <w:start w:w="90" w:type="dxa"/>
              <w:bottom w:w="80" w:type="dxa"/>
              <w:end w:w="90" w:type="dxa"/>
            </w:tcMar>
            <w:vAlign w:val="top"/>
            <w:shd w:fill="F7FAFC"/>
          </w:tcPr>
          <w:p>
            <w:r>
              <w:rPr>
                <w:rFonts w:ascii="Aptos" w:hAnsi="Aptos"/>
                <w:b w:val="0"/>
                <w:sz w:val="16"/>
              </w:rPr>
              <w:t>DTI 45.01–48% approved exception bands; material exception rate</w:t>
            </w:r>
          </w:p>
        </w:tc>
        <w:tc>
          <w:tcPr>
            <w:tcW w:type="dxa" w:w="2880"/>
            <w:tcMar>
              <w:top w:w="80" w:type="dxa"/>
              <w:start w:w="90" w:type="dxa"/>
              <w:bottom w:w="80" w:type="dxa"/>
              <w:end w:w="90" w:type="dxa"/>
            </w:tcMar>
            <w:vAlign w:val="top"/>
            <w:shd w:fill="F7FAFC"/>
          </w:tcPr>
          <w:p>
            <w:r>
              <w:rPr>
                <w:rFonts w:ascii="Aptos" w:hAnsi="Aptos"/>
                <w:b w:val="0"/>
                <w:sz w:val="16"/>
              </w:rPr>
              <w:t>Track volume, cause and concentration</w:t>
            </w:r>
          </w:p>
        </w:tc>
      </w:tr>
      <w:tr>
        <w:tc>
          <w:tcPr>
            <w:tcW w:type="dxa" w:w="2448"/>
            <w:tcMar>
              <w:top w:w="80" w:type="dxa"/>
              <w:start w:w="90" w:type="dxa"/>
              <w:bottom w:w="80" w:type="dxa"/>
              <w:end w:w="90" w:type="dxa"/>
            </w:tcMar>
            <w:vAlign w:val="top"/>
          </w:tcPr>
          <w:p>
            <w:r>
              <w:rPr>
                <w:rFonts w:ascii="Aptos" w:hAnsi="Aptos"/>
                <w:b w:val="0"/>
                <w:sz w:val="16"/>
              </w:rPr>
              <w:t>Portfolio trigger</w:t>
            </w:r>
          </w:p>
        </w:tc>
        <w:tc>
          <w:tcPr>
            <w:tcW w:type="dxa" w:w="5040"/>
            <w:tcMar>
              <w:top w:w="80" w:type="dxa"/>
              <w:start w:w="90" w:type="dxa"/>
              <w:bottom w:w="80" w:type="dxa"/>
              <w:end w:w="90" w:type="dxa"/>
            </w:tcMar>
            <w:vAlign w:val="top"/>
          </w:tcPr>
          <w:p>
            <w:r>
              <w:rPr>
                <w:rFonts w:ascii="Aptos" w:hAnsi="Aptos"/>
                <w:b w:val="0"/>
                <w:sz w:val="16"/>
              </w:rPr>
              <w:t>Sourcing partner &gt;15% quarterly new originations; district unsecured &gt;10%</w:t>
            </w:r>
          </w:p>
        </w:tc>
        <w:tc>
          <w:tcPr>
            <w:tcW w:type="dxa" w:w="2880"/>
            <w:tcMar>
              <w:top w:w="80" w:type="dxa"/>
              <w:start w:w="90" w:type="dxa"/>
              <w:bottom w:w="80" w:type="dxa"/>
              <w:end w:w="90" w:type="dxa"/>
            </w:tcMar>
            <w:vAlign w:val="top"/>
          </w:tcPr>
          <w:p>
            <w:r>
              <w:rPr>
                <w:rFonts w:ascii="Aptos" w:hAnsi="Aptos"/>
                <w:b w:val="0"/>
                <w:sz w:val="16"/>
              </w:rPr>
              <w:t>Management review; may inform appetite action</w:t>
            </w:r>
          </w:p>
        </w:tc>
      </w:tr>
      <w:tr>
        <w:tc>
          <w:tcPr>
            <w:tcW w:type="dxa" w:w="2448"/>
            <w:tcMar>
              <w:top w:w="80" w:type="dxa"/>
              <w:start w:w="90" w:type="dxa"/>
              <w:bottom w:w="80" w:type="dxa"/>
              <w:end w:w="90" w:type="dxa"/>
            </w:tcMar>
            <w:vAlign w:val="top"/>
            <w:shd w:fill="F7FAFC"/>
          </w:tcPr>
          <w:p>
            <w:r>
              <w:rPr>
                <w:rFonts w:ascii="Aptos" w:hAnsi="Aptos"/>
                <w:b w:val="0"/>
                <w:sz w:val="16"/>
              </w:rPr>
              <w:t>KYC/AML control KRI</w:t>
            </w:r>
          </w:p>
        </w:tc>
        <w:tc>
          <w:tcPr>
            <w:tcW w:type="dxa" w:w="5040"/>
            <w:tcMar>
              <w:top w:w="80" w:type="dxa"/>
              <w:start w:w="90" w:type="dxa"/>
              <w:bottom w:w="80" w:type="dxa"/>
              <w:end w:w="90" w:type="dxa"/>
            </w:tcMar>
            <w:vAlign w:val="top"/>
            <w:shd w:fill="F7FAFC"/>
          </w:tcPr>
          <w:p>
            <w:r>
              <w:rPr>
                <w:rFonts w:ascii="Aptos" w:hAnsi="Aptos"/>
                <w:b w:val="0"/>
                <w:sz w:val="16"/>
              </w:rPr>
              <w:t>High-risk overdue reviews; unresolved sanctions cases; alert backlog</w:t>
            </w:r>
          </w:p>
        </w:tc>
        <w:tc>
          <w:tcPr>
            <w:tcW w:type="dxa" w:w="2880"/>
            <w:tcMar>
              <w:top w:w="80" w:type="dxa"/>
              <w:start w:w="90" w:type="dxa"/>
              <w:bottom w:w="80" w:type="dxa"/>
              <w:end w:w="90" w:type="dxa"/>
            </w:tcMar>
            <w:vAlign w:val="top"/>
            <w:shd w:fill="F7FAFC"/>
          </w:tcPr>
          <w:p>
            <w:r>
              <w:rPr>
                <w:rFonts w:ascii="Aptos" w:hAnsi="Aptos"/>
                <w:b w:val="0"/>
                <w:sz w:val="16"/>
              </w:rPr>
              <w:t>Escalate against RAS-009 thresholds</w:t>
            </w:r>
          </w:p>
        </w:tc>
      </w:tr>
      <w:tr>
        <w:tc>
          <w:tcPr>
            <w:tcW w:type="dxa" w:w="2448"/>
            <w:tcMar>
              <w:top w:w="80" w:type="dxa"/>
              <w:start w:w="90" w:type="dxa"/>
              <w:bottom w:w="80" w:type="dxa"/>
              <w:end w:w="90" w:type="dxa"/>
            </w:tcMar>
            <w:vAlign w:val="top"/>
          </w:tcPr>
          <w:p>
            <w:r>
              <w:rPr>
                <w:rFonts w:ascii="Aptos" w:hAnsi="Aptos"/>
                <w:b w:val="0"/>
                <w:sz w:val="16"/>
              </w:rPr>
              <w:t>Authority control</w:t>
            </w:r>
          </w:p>
        </w:tc>
        <w:tc>
          <w:tcPr>
            <w:tcW w:type="dxa" w:w="5040"/>
            <w:tcMar>
              <w:top w:w="80" w:type="dxa"/>
              <w:start w:w="90" w:type="dxa"/>
              <w:bottom w:w="80" w:type="dxa"/>
              <w:end w:w="90" w:type="dxa"/>
            </w:tcMar>
            <w:vAlign w:val="top"/>
          </w:tcPr>
          <w:p>
            <w:r>
              <w:rPr>
                <w:rFonts w:ascii="Aptos" w:hAnsi="Aptos"/>
                <w:b w:val="0"/>
                <w:sz w:val="16"/>
              </w:rPr>
              <w:t>Decision above delegated authority</w:t>
            </w:r>
          </w:p>
        </w:tc>
        <w:tc>
          <w:tcPr>
            <w:tcW w:type="dxa" w:w="2880"/>
            <w:tcMar>
              <w:top w:w="80" w:type="dxa"/>
              <w:start w:w="90" w:type="dxa"/>
              <w:bottom w:w="80" w:type="dxa"/>
              <w:end w:w="90" w:type="dxa"/>
            </w:tcMar>
            <w:vAlign w:val="top"/>
          </w:tcPr>
          <w:p>
            <w:r>
              <w:rPr>
                <w:rFonts w:ascii="Aptos" w:hAnsi="Aptos"/>
                <w:b w:val="0"/>
                <w:sz w:val="16"/>
              </w:rPr>
              <w:t>Breach; system entitlement is not authority</w:t>
            </w:r>
          </w:p>
        </w:tc>
      </w:tr>
    </w:tbl>
    <w:p/>
    <w:p>
      <w:pPr>
        <w:pStyle w:val="Heading1"/>
        <w:keepNext/>
      </w:pPr>
      <w:r>
        <w:t>13. Credit Risk Management</w:t>
      </w:r>
    </w:p>
    <w:p>
      <w:r>
        <w:t>Credit risk is governed through CRP-001, product procedures, delegated authorities, exception governance and portfolio monitoring. The RMF aggregates credit risk with other enterprise risks and governs escalation where patterns become material.</w:t>
      </w:r>
    </w:p>
    <w:p>
      <w:pPr>
        <w:pStyle w:val="ControlBullet"/>
      </w:pPr>
      <w:r>
        <w:rPr>
          <w:b/>
        </w:rPr>
        <w:t xml:space="preserve">• </w:t>
      </w:r>
      <w:r>
        <w:t>Portfolio monitoring shall include delinquency/DPD, NPA, ECL movement, approval rates, score bands, DTI/FOIR, LTV, exceptions and concentrations.</w:t>
      </w:r>
    </w:p>
    <w:p>
      <w:pPr>
        <w:pStyle w:val="ControlBullet"/>
      </w:pPr>
      <w:r>
        <w:rPr>
          <w:b/>
        </w:rPr>
        <w:t xml:space="preserve">• </w:t>
      </w:r>
      <w:r>
        <w:t>Material exception patterns shall be escalated even when individual cases were correctly approved.</w:t>
      </w:r>
    </w:p>
    <w:p>
      <w:pPr>
        <w:pStyle w:val="ControlBullet"/>
      </w:pPr>
      <w:r>
        <w:rPr>
          <w:b/>
        </w:rPr>
        <w:t xml:space="preserve">• </w:t>
      </w:r>
      <w:r>
        <w:t>Concentration limits may be tighter by product, geography, industry, sourcing partner or collateral type.</w:t>
      </w:r>
    </w:p>
    <w:p>
      <w:pPr>
        <w:pStyle w:val="ControlBullet"/>
      </w:pPr>
      <w:r>
        <w:rPr>
          <w:b/>
        </w:rPr>
        <w:t xml:space="preserve">• </w:t>
      </w:r>
      <w:r>
        <w:t>Stress testing shall consider income shocks, default migration, collateral deterioration and concentration events.</w:t>
      </w:r>
    </w:p>
    <w:p>
      <w:pPr>
        <w:pStyle w:val="Heading1"/>
        <w:keepNext/>
      </w:pPr>
      <w:r>
        <w:t>14. Market and Investment Risk</w:t>
      </w:r>
    </w:p>
    <w:p>
      <w:r>
        <w:t>Market and investment risks arise from interest rates, spreads, foreign exchange, valuation, issuer/counterparty credit and concentration. Detailed investment controls will be established in Batch 4 documents; until then, Treasury and Investment Management shall operate within approved internal mandates and escalation routes.</w:t>
      </w:r>
    </w:p>
    <w:p>
      <w:pPr>
        <w:pStyle w:val="ControlBullet"/>
      </w:pPr>
      <w:r>
        <w:rPr>
          <w:b/>
        </w:rPr>
        <w:t xml:space="preserve">• </w:t>
      </w:r>
      <w:r>
        <w:t>Independent valuation or price verification shall be used where market prices are not straightforward.</w:t>
      </w:r>
    </w:p>
    <w:p>
      <w:pPr>
        <w:pStyle w:val="ControlBullet"/>
      </w:pPr>
      <w:r>
        <w:rPr>
          <w:b/>
        </w:rPr>
        <w:t xml:space="preserve">• </w:t>
      </w:r>
      <w:r>
        <w:t>Duration, liquidity and concentration shall be monitored together rather than independently.</w:t>
      </w:r>
    </w:p>
    <w:p>
      <w:pPr>
        <w:pStyle w:val="ControlBullet"/>
      </w:pPr>
      <w:r>
        <w:rPr>
          <w:b/>
        </w:rPr>
        <w:t xml:space="preserve">• </w:t>
      </w:r>
      <w:r>
        <w:t>Counterparty deterioration may require reduced limits before a formal default occurs.</w:t>
      </w:r>
    </w:p>
    <w:p>
      <w:pPr>
        <w:pStyle w:val="ControlBullet"/>
      </w:pPr>
      <w:r>
        <w:rPr>
          <w:b/>
        </w:rPr>
        <w:t xml:space="preserve">• </w:t>
      </w:r>
      <w:r>
        <w:t>Material valuation uncertainty shall be reported as risk, not hidden through stale pricing.</w:t>
      </w:r>
    </w:p>
    <w:p>
      <w:pPr>
        <w:pStyle w:val="Heading1"/>
        <w:keepNext/>
      </w:pPr>
      <w:r>
        <w:t>15. Liquidity Risk</w:t>
      </w:r>
    </w:p>
    <w:p>
      <w:r>
        <w:t>Liquidity risk management shall ensure Northstar can meet obligations under normal and stressed conditions without unacceptable loss. Treasury owns day-to-day liquidity management; Enterprise Risk provides independent monitoring and challenge.</w:t>
      </w:r>
    </w:p>
    <w:p>
      <w:pPr>
        <w:pStyle w:val="ControlBullet"/>
      </w:pPr>
      <w:r>
        <w:rPr>
          <w:b/>
        </w:rPr>
        <w:t xml:space="preserve">• </w:t>
      </w:r>
      <w:r>
        <w:t>Maintain internal liquidity buffers above minimum operational needs.</w:t>
      </w:r>
    </w:p>
    <w:p>
      <w:pPr>
        <w:pStyle w:val="ControlBullet"/>
      </w:pPr>
      <w:r>
        <w:rPr>
          <w:b/>
        </w:rPr>
        <w:t xml:space="preserve">• </w:t>
      </w:r>
      <w:r>
        <w:t>Monitor funding concentration, maturity mismatch, deposit/borrowing behaviour and asset liquidity.</w:t>
      </w:r>
    </w:p>
    <w:p>
      <w:pPr>
        <w:pStyle w:val="ControlBullet"/>
      </w:pPr>
      <w:r>
        <w:rPr>
          <w:b/>
        </w:rPr>
        <w:t xml:space="preserve">• </w:t>
      </w:r>
      <w:r>
        <w:t>Stress scenarios shall consider sudden outflows, reduced market access, collateral haircuts and operational disruptions.</w:t>
      </w:r>
    </w:p>
    <w:p>
      <w:pPr>
        <w:pStyle w:val="ControlBullet"/>
      </w:pPr>
      <w:r>
        <w:rPr>
          <w:b/>
        </w:rPr>
        <w:t xml:space="preserve">• </w:t>
      </w:r>
      <w:r>
        <w:t>Contingency actions shall have clear ownership, sequencing and authority.</w:t>
      </w:r>
    </w:p>
    <w:p>
      <w:pPr>
        <w:pStyle w:val="Heading1"/>
        <w:keepNext/>
      </w:pPr>
      <w:r>
        <w:t>16. Operational Risk</w:t>
      </w:r>
    </w:p>
    <w:p>
      <w:r>
        <w:t>Operational risk covers failures of process, people, systems and external events. Incidents, near misses, manual workarounds, control overrides and recurring processing defects shall be recorded according to materiality.</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304"/>
            <w:shd w:fill="17365D"/>
            <w:vAlign w:val="center"/>
            <w:tcMar>
              <w:top w:w="80" w:type="dxa"/>
              <w:start w:w="90" w:type="dxa"/>
              <w:bottom w:w="80" w:type="dxa"/>
              <w:end w:w="90" w:type="dxa"/>
            </w:tcMar>
          </w:tcPr>
          <w:p>
            <w:r>
              <w:rPr>
                <w:rFonts w:ascii="Aptos" w:hAnsi="Aptos"/>
                <w:b/>
                <w:color w:val="FFFFFF"/>
                <w:sz w:val="16"/>
              </w:rPr>
              <w:t>Operational Theme</w:t>
            </w:r>
          </w:p>
        </w:tc>
        <w:tc>
          <w:tcPr>
            <w:tcW w:type="dxa" w:w="4320"/>
            <w:shd w:fill="17365D"/>
            <w:vAlign w:val="center"/>
            <w:tcMar>
              <w:top w:w="80" w:type="dxa"/>
              <w:start w:w="90" w:type="dxa"/>
              <w:bottom w:w="80" w:type="dxa"/>
              <w:end w:w="90" w:type="dxa"/>
            </w:tcMar>
          </w:tcPr>
          <w:p>
            <w:r>
              <w:rPr>
                <w:rFonts w:ascii="Aptos" w:hAnsi="Aptos"/>
                <w:b/>
                <w:color w:val="FFFFFF"/>
                <w:sz w:val="16"/>
              </w:rPr>
              <w:t>Examples</w:t>
            </w:r>
          </w:p>
        </w:tc>
        <w:tc>
          <w:tcPr>
            <w:tcW w:type="dxa" w:w="3744"/>
            <w:shd w:fill="17365D"/>
            <w:vAlign w:val="center"/>
            <w:tcMar>
              <w:top w:w="80" w:type="dxa"/>
              <w:start w:w="90" w:type="dxa"/>
              <w:bottom w:w="80" w:type="dxa"/>
              <w:end w:w="90" w:type="dxa"/>
            </w:tcMar>
          </w:tcPr>
          <w:p>
            <w:r>
              <w:rPr>
                <w:rFonts w:ascii="Aptos" w:hAnsi="Aptos"/>
                <w:b/>
                <w:color w:val="FFFFFF"/>
                <w:sz w:val="16"/>
              </w:rPr>
              <w:t>Primary Control Focus</w:t>
            </w:r>
          </w:p>
        </w:tc>
      </w:tr>
      <w:tr>
        <w:tc>
          <w:tcPr>
            <w:tcW w:type="dxa" w:w="2304"/>
            <w:tcMar>
              <w:top w:w="80" w:type="dxa"/>
              <w:start w:w="90" w:type="dxa"/>
              <w:bottom w:w="80" w:type="dxa"/>
              <w:end w:w="90" w:type="dxa"/>
            </w:tcMar>
            <w:vAlign w:val="top"/>
          </w:tcPr>
          <w:p>
            <w:r>
              <w:rPr>
                <w:rFonts w:ascii="Aptos" w:hAnsi="Aptos"/>
                <w:b w:val="0"/>
                <w:sz w:val="16"/>
              </w:rPr>
              <w:t>Processing</w:t>
            </w:r>
          </w:p>
        </w:tc>
        <w:tc>
          <w:tcPr>
            <w:tcW w:type="dxa" w:w="4320"/>
            <w:tcMar>
              <w:top w:w="80" w:type="dxa"/>
              <w:start w:w="90" w:type="dxa"/>
              <w:bottom w:w="80" w:type="dxa"/>
              <w:end w:w="90" w:type="dxa"/>
            </w:tcMar>
            <w:vAlign w:val="top"/>
          </w:tcPr>
          <w:p>
            <w:r>
              <w:rPr>
                <w:rFonts w:ascii="Aptos" w:hAnsi="Aptos"/>
                <w:b w:val="0"/>
                <w:sz w:val="16"/>
              </w:rPr>
              <w:t>Incorrect disbursement, duplicate application, document gap</w:t>
            </w:r>
          </w:p>
        </w:tc>
        <w:tc>
          <w:tcPr>
            <w:tcW w:type="dxa" w:w="3744"/>
            <w:tcMar>
              <w:top w:w="80" w:type="dxa"/>
              <w:start w:w="90" w:type="dxa"/>
              <w:bottom w:w="80" w:type="dxa"/>
              <w:end w:w="90" w:type="dxa"/>
            </w:tcMar>
            <w:vAlign w:val="top"/>
          </w:tcPr>
          <w:p>
            <w:r>
              <w:rPr>
                <w:rFonts w:ascii="Aptos" w:hAnsi="Aptos"/>
                <w:b w:val="0"/>
                <w:sz w:val="16"/>
              </w:rPr>
              <w:t>Maker-checker, reconciliations, exception queues</w:t>
            </w:r>
          </w:p>
        </w:tc>
      </w:tr>
      <w:tr>
        <w:tc>
          <w:tcPr>
            <w:tcW w:type="dxa" w:w="2304"/>
            <w:tcMar>
              <w:top w:w="80" w:type="dxa"/>
              <w:start w:w="90" w:type="dxa"/>
              <w:bottom w:w="80" w:type="dxa"/>
              <w:end w:w="90" w:type="dxa"/>
            </w:tcMar>
            <w:vAlign w:val="top"/>
            <w:shd w:fill="F7FAFC"/>
          </w:tcPr>
          <w:p>
            <w:r>
              <w:rPr>
                <w:rFonts w:ascii="Aptos" w:hAnsi="Aptos"/>
                <w:b w:val="0"/>
                <w:sz w:val="16"/>
              </w:rPr>
              <w:t>People</w:t>
            </w:r>
          </w:p>
        </w:tc>
        <w:tc>
          <w:tcPr>
            <w:tcW w:type="dxa" w:w="4320"/>
            <w:tcMar>
              <w:top w:w="80" w:type="dxa"/>
              <w:start w:w="90" w:type="dxa"/>
              <w:bottom w:w="80" w:type="dxa"/>
              <w:end w:w="90" w:type="dxa"/>
            </w:tcMar>
            <w:vAlign w:val="top"/>
            <w:shd w:fill="F7FAFC"/>
          </w:tcPr>
          <w:p>
            <w:r>
              <w:rPr>
                <w:rFonts w:ascii="Aptos" w:hAnsi="Aptos"/>
                <w:b w:val="0"/>
                <w:sz w:val="16"/>
              </w:rPr>
              <w:t>Unauthorized decision, training gap, conduct issue</w:t>
            </w:r>
          </w:p>
        </w:tc>
        <w:tc>
          <w:tcPr>
            <w:tcW w:type="dxa" w:w="3744"/>
            <w:tcMar>
              <w:top w:w="80" w:type="dxa"/>
              <w:start w:w="90" w:type="dxa"/>
              <w:bottom w:w="80" w:type="dxa"/>
              <w:end w:w="90" w:type="dxa"/>
            </w:tcMar>
            <w:vAlign w:val="top"/>
            <w:shd w:fill="F7FAFC"/>
          </w:tcPr>
          <w:p>
            <w:r>
              <w:rPr>
                <w:rFonts w:ascii="Aptos" w:hAnsi="Aptos"/>
                <w:b w:val="0"/>
                <w:sz w:val="16"/>
              </w:rPr>
              <w:t>Delegated authority, supervision, training</w:t>
            </w:r>
          </w:p>
        </w:tc>
      </w:tr>
      <w:tr>
        <w:tc>
          <w:tcPr>
            <w:tcW w:type="dxa" w:w="2304"/>
            <w:tcMar>
              <w:top w:w="80" w:type="dxa"/>
              <w:start w:w="90" w:type="dxa"/>
              <w:bottom w:w="80" w:type="dxa"/>
              <w:end w:w="90" w:type="dxa"/>
            </w:tcMar>
            <w:vAlign w:val="top"/>
          </w:tcPr>
          <w:p>
            <w:r>
              <w:rPr>
                <w:rFonts w:ascii="Aptos" w:hAnsi="Aptos"/>
                <w:b w:val="0"/>
                <w:sz w:val="16"/>
              </w:rPr>
              <w:t>Systems</w:t>
            </w:r>
          </w:p>
        </w:tc>
        <w:tc>
          <w:tcPr>
            <w:tcW w:type="dxa" w:w="4320"/>
            <w:tcMar>
              <w:top w:w="80" w:type="dxa"/>
              <w:start w:w="90" w:type="dxa"/>
              <w:bottom w:w="80" w:type="dxa"/>
              <w:end w:w="90" w:type="dxa"/>
            </w:tcMar>
            <w:vAlign w:val="top"/>
          </w:tcPr>
          <w:p>
            <w:r>
              <w:rPr>
                <w:rFonts w:ascii="Aptos" w:hAnsi="Aptos"/>
                <w:b w:val="0"/>
                <w:sz w:val="16"/>
              </w:rPr>
              <w:t>Workflow outage, stale configuration, interface failure</w:t>
            </w:r>
          </w:p>
        </w:tc>
        <w:tc>
          <w:tcPr>
            <w:tcW w:type="dxa" w:w="3744"/>
            <w:tcMar>
              <w:top w:w="80" w:type="dxa"/>
              <w:start w:w="90" w:type="dxa"/>
              <w:bottom w:w="80" w:type="dxa"/>
              <w:end w:w="90" w:type="dxa"/>
            </w:tcMar>
            <w:vAlign w:val="top"/>
          </w:tcPr>
          <w:p>
            <w:r>
              <w:rPr>
                <w:rFonts w:ascii="Aptos" w:hAnsi="Aptos"/>
                <w:b w:val="0"/>
                <w:sz w:val="16"/>
              </w:rPr>
              <w:t>Change control, monitoring, fallback/reconciliation</w:t>
            </w:r>
          </w:p>
        </w:tc>
      </w:tr>
      <w:tr>
        <w:tc>
          <w:tcPr>
            <w:tcW w:type="dxa" w:w="2304"/>
            <w:tcMar>
              <w:top w:w="80" w:type="dxa"/>
              <w:start w:w="90" w:type="dxa"/>
              <w:bottom w:w="80" w:type="dxa"/>
              <w:end w:w="90" w:type="dxa"/>
            </w:tcMar>
            <w:vAlign w:val="top"/>
            <w:shd w:fill="F7FAFC"/>
          </w:tcPr>
          <w:p>
            <w:r>
              <w:rPr>
                <w:rFonts w:ascii="Aptos" w:hAnsi="Aptos"/>
                <w:b w:val="0"/>
                <w:sz w:val="16"/>
              </w:rPr>
              <w:t>Third party</w:t>
            </w:r>
          </w:p>
        </w:tc>
        <w:tc>
          <w:tcPr>
            <w:tcW w:type="dxa" w:w="4320"/>
            <w:tcMar>
              <w:top w:w="80" w:type="dxa"/>
              <w:start w:w="90" w:type="dxa"/>
              <w:bottom w:w="80" w:type="dxa"/>
              <w:end w:w="90" w:type="dxa"/>
            </w:tcMar>
            <w:vAlign w:val="top"/>
            <w:shd w:fill="F7FAFC"/>
          </w:tcPr>
          <w:p>
            <w:r>
              <w:rPr>
                <w:rFonts w:ascii="Aptos" w:hAnsi="Aptos"/>
                <w:b w:val="0"/>
                <w:sz w:val="16"/>
              </w:rPr>
              <w:t>Vendor outage, data/control failure</w:t>
            </w:r>
          </w:p>
        </w:tc>
        <w:tc>
          <w:tcPr>
            <w:tcW w:type="dxa" w:w="3744"/>
            <w:tcMar>
              <w:top w:w="80" w:type="dxa"/>
              <w:start w:w="90" w:type="dxa"/>
              <w:bottom w:w="80" w:type="dxa"/>
              <w:end w:w="90" w:type="dxa"/>
            </w:tcMar>
            <w:vAlign w:val="top"/>
            <w:shd w:fill="F7FAFC"/>
          </w:tcPr>
          <w:p>
            <w:r>
              <w:rPr>
                <w:rFonts w:ascii="Aptos" w:hAnsi="Aptos"/>
                <w:b w:val="0"/>
                <w:sz w:val="16"/>
              </w:rPr>
              <w:t>Due diligence, contracts, monitoring, exit plans</w:t>
            </w:r>
          </w:p>
        </w:tc>
      </w:tr>
      <w:tr>
        <w:tc>
          <w:tcPr>
            <w:tcW w:type="dxa" w:w="2304"/>
            <w:tcMar>
              <w:top w:w="80" w:type="dxa"/>
              <w:start w:w="90" w:type="dxa"/>
              <w:bottom w:w="80" w:type="dxa"/>
              <w:end w:w="90" w:type="dxa"/>
            </w:tcMar>
            <w:vAlign w:val="top"/>
          </w:tcPr>
          <w:p>
            <w:r>
              <w:rPr>
                <w:rFonts w:ascii="Aptos" w:hAnsi="Aptos"/>
                <w:b w:val="0"/>
                <w:sz w:val="16"/>
              </w:rPr>
              <w:t>External event</w:t>
            </w:r>
          </w:p>
        </w:tc>
        <w:tc>
          <w:tcPr>
            <w:tcW w:type="dxa" w:w="4320"/>
            <w:tcMar>
              <w:top w:w="80" w:type="dxa"/>
              <w:start w:w="90" w:type="dxa"/>
              <w:bottom w:w="80" w:type="dxa"/>
              <w:end w:w="90" w:type="dxa"/>
            </w:tcMar>
            <w:vAlign w:val="top"/>
          </w:tcPr>
          <w:p>
            <w:r>
              <w:rPr>
                <w:rFonts w:ascii="Aptos" w:hAnsi="Aptos"/>
                <w:b w:val="0"/>
                <w:sz w:val="16"/>
              </w:rPr>
              <w:t>Natural event, infrastructure disruption</w:t>
            </w:r>
          </w:p>
        </w:tc>
        <w:tc>
          <w:tcPr>
            <w:tcW w:type="dxa" w:w="3744"/>
            <w:tcMar>
              <w:top w:w="80" w:type="dxa"/>
              <w:start w:w="90" w:type="dxa"/>
              <w:bottom w:w="80" w:type="dxa"/>
              <w:end w:w="90" w:type="dxa"/>
            </w:tcMar>
            <w:vAlign w:val="top"/>
          </w:tcPr>
          <w:p>
            <w:r>
              <w:rPr>
                <w:rFonts w:ascii="Aptos" w:hAnsi="Aptos"/>
                <w:b w:val="0"/>
                <w:sz w:val="16"/>
              </w:rPr>
              <w:t>Business continuity and recovery</w:t>
            </w:r>
          </w:p>
        </w:tc>
      </w:tr>
    </w:tbl>
    <w:p/>
    <w:p>
      <w:pPr>
        <w:pStyle w:val="Heading1"/>
        <w:keepNext/>
      </w:pPr>
      <w:r>
        <w:t>17. Fraud Risk</w:t>
      </w:r>
    </w:p>
    <w:p>
      <w:r>
        <w:t>Fraud risk includes identity fraud, document manipulation, application fraud, employee misconduct, payment diversion and other intentional deception. Fraud controls interact with credit, KYC, AML and operational controls but retain distinct investigation and reporting ownership.</w:t>
      </w:r>
    </w:p>
    <w:p>
      <w:pPr>
        <w:pStyle w:val="ControlBullet"/>
      </w:pPr>
      <w:r>
        <w:rPr>
          <w:b/>
        </w:rPr>
        <w:t xml:space="preserve">• </w:t>
      </w:r>
      <w:r>
        <w:t>A strong credit score does not neutralize identity or fraud indicators.</w:t>
      </w:r>
    </w:p>
    <w:p>
      <w:pPr>
        <w:pStyle w:val="ControlBullet"/>
      </w:pPr>
      <w:r>
        <w:rPr>
          <w:b/>
        </w:rPr>
        <w:t xml:space="preserve">• </w:t>
      </w:r>
      <w:r>
        <w:t>Duplicate applications across branches/channels shall be assessed for legitimate reapplication, error or deliberate manipulation.</w:t>
      </w:r>
    </w:p>
    <w:p>
      <w:pPr>
        <w:pStyle w:val="ControlBullet"/>
      </w:pPr>
      <w:r>
        <w:rPr>
          <w:b/>
        </w:rPr>
        <w:t xml:space="preserve">• </w:t>
      </w:r>
      <w:r>
        <w:t>Beneficiary or bank-account changes near disbursement require independent verification under LDP-013.</w:t>
      </w:r>
    </w:p>
    <w:p>
      <w:pPr>
        <w:pStyle w:val="ControlBullet"/>
      </w:pPr>
      <w:r>
        <w:rPr>
          <w:b/>
        </w:rPr>
        <w:t xml:space="preserve">• </w:t>
      </w:r>
      <w:r>
        <w:t>Material fraud indicators may require KYC/AML trigger review in addition to fraud escalation.</w:t>
      </w:r>
    </w:p>
    <w:p>
      <w:pPr>
        <w:pStyle w:val="Heading1"/>
        <w:keepNext/>
      </w:pPr>
      <w:r>
        <w:t>18. Compliance and Conduct Risk</w:t>
      </w:r>
    </w:p>
    <w:p>
      <w:r>
        <w:t>Compliance risk includes failure to follow applicable internal obligations, regulatory mapping, customer protection requirements, approval conditions and reporting commitments. The future Compliance Manual will define detailed controls; the RMF governs enterprise escalation and risk acceptance.</w:t>
      </w:r>
    </w:p>
    <w:p>
      <w:pPr>
        <w:pStyle w:val="ControlBullet"/>
      </w:pPr>
      <w:r>
        <w:rPr>
          <w:b/>
        </w:rPr>
        <w:t xml:space="preserve">• </w:t>
      </w:r>
      <w:r>
        <w:t>Exceptions approved under a policy are not automatically compliance breaches; unauthorized deviations may be.</w:t>
      </w:r>
    </w:p>
    <w:p>
      <w:pPr>
        <w:pStyle w:val="ControlBullet"/>
      </w:pPr>
      <w:r>
        <w:rPr>
          <w:b/>
        </w:rPr>
        <w:t xml:space="preserve">• </w:t>
      </w:r>
      <w:r>
        <w:t>Retrospective remediation does not erase the fact that a control was missed at the required time.</w:t>
      </w:r>
    </w:p>
    <w:p>
      <w:pPr>
        <w:pStyle w:val="ControlBullet"/>
      </w:pPr>
      <w:r>
        <w:rPr>
          <w:b/>
        </w:rPr>
        <w:t xml:space="preserve">• </w:t>
      </w:r>
      <w:r>
        <w:t>Customer complaints and conduct outcomes are risk indicators, not only service metrics.</w:t>
      </w:r>
    </w:p>
    <w:p>
      <w:pPr>
        <w:pStyle w:val="ControlBullet"/>
      </w:pPr>
      <w:r>
        <w:rPr>
          <w:b/>
        </w:rPr>
        <w:t xml:space="preserve">• </w:t>
      </w:r>
      <w:r>
        <w:t>Material or systemic compliance issues shall be tracked to closure with accountable executives.</w:t>
      </w:r>
    </w:p>
    <w:p>
      <w:pPr>
        <w:pStyle w:val="Heading1"/>
        <w:keepNext/>
      </w:pPr>
      <w:r>
        <w:t>19. AML, KYC and Financial-Crime Risk</w:t>
      </w:r>
    </w:p>
    <w:p>
      <w:r>
        <w:t>Financial-crime risk is governed through KYC-004, AML-003, CDD-005, EDD-032, CRR-033 and ATM-031. Enterprise Risk shall receive aggregated risk information without taking over specialist case decisions.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744"/>
            <w:shd w:fill="17365D"/>
            <w:vAlign w:val="center"/>
            <w:tcMar>
              <w:top w:w="80" w:type="dxa"/>
              <w:start w:w="90" w:type="dxa"/>
              <w:bottom w:w="80" w:type="dxa"/>
              <w:end w:w="90" w:type="dxa"/>
            </w:tcMar>
          </w:tcPr>
          <w:p>
            <w:r>
              <w:rPr>
                <w:rFonts w:ascii="Aptos" w:hAnsi="Aptos"/>
                <w:b/>
                <w:color w:val="FFFFFF"/>
                <w:sz w:val="16"/>
              </w:rPr>
              <w:t>Risk Indicator</w:t>
            </w:r>
          </w:p>
        </w:tc>
        <w:tc>
          <w:tcPr>
            <w:tcW w:type="dxa" w:w="6624"/>
            <w:shd w:fill="17365D"/>
            <w:vAlign w:val="center"/>
            <w:tcMar>
              <w:top w:w="80" w:type="dxa"/>
              <w:start w:w="90" w:type="dxa"/>
              <w:bottom w:w="80" w:type="dxa"/>
              <w:end w:w="90" w:type="dxa"/>
            </w:tcMar>
          </w:tcPr>
          <w:p>
            <w:r>
              <w:rPr>
                <w:rFonts w:ascii="Aptos" w:hAnsi="Aptos"/>
                <w:b/>
                <w:color w:val="FFFFFF"/>
                <w:sz w:val="16"/>
              </w:rPr>
              <w:t>Enterprise Interpretation</w:t>
            </w:r>
          </w:p>
        </w:tc>
      </w:tr>
      <w:tr>
        <w:tc>
          <w:tcPr>
            <w:tcW w:type="dxa" w:w="3744"/>
            <w:tcMar>
              <w:top w:w="80" w:type="dxa"/>
              <w:start w:w="90" w:type="dxa"/>
              <w:bottom w:w="80" w:type="dxa"/>
              <w:end w:w="90" w:type="dxa"/>
            </w:tcMar>
            <w:vAlign w:val="top"/>
          </w:tcPr>
          <w:p>
            <w:r>
              <w:rPr>
                <w:rFonts w:ascii="Aptos" w:hAnsi="Aptos"/>
                <w:b w:val="0"/>
                <w:sz w:val="16"/>
              </w:rPr>
              <w:t>High-risk customer concentration</w:t>
            </w:r>
          </w:p>
        </w:tc>
        <w:tc>
          <w:tcPr>
            <w:tcW w:type="dxa" w:w="6624"/>
            <w:tcMar>
              <w:top w:w="80" w:type="dxa"/>
              <w:start w:w="90" w:type="dxa"/>
              <w:bottom w:w="80" w:type="dxa"/>
              <w:end w:w="90" w:type="dxa"/>
            </w:tcMar>
            <w:vAlign w:val="top"/>
          </w:tcPr>
          <w:p>
            <w:r>
              <w:rPr>
                <w:rFonts w:ascii="Aptos" w:hAnsi="Aptos"/>
                <w:b w:val="0"/>
                <w:sz w:val="16"/>
              </w:rPr>
              <w:t>Exposure indicator; not inherently a breach if approved and controlled</w:t>
            </w:r>
          </w:p>
        </w:tc>
      </w:tr>
      <w:tr>
        <w:tc>
          <w:tcPr>
            <w:tcW w:type="dxa" w:w="3744"/>
            <w:tcMar>
              <w:top w:w="80" w:type="dxa"/>
              <w:start w:w="90" w:type="dxa"/>
              <w:bottom w:w="80" w:type="dxa"/>
              <w:end w:w="90" w:type="dxa"/>
            </w:tcMar>
            <w:vAlign w:val="top"/>
            <w:shd w:fill="F7FAFC"/>
          </w:tcPr>
          <w:p>
            <w:r>
              <w:rPr>
                <w:rFonts w:ascii="Aptos" w:hAnsi="Aptos"/>
                <w:b w:val="0"/>
                <w:sz w:val="16"/>
              </w:rPr>
              <w:t>Overdue high-risk reviews</w:t>
            </w:r>
          </w:p>
        </w:tc>
        <w:tc>
          <w:tcPr>
            <w:tcW w:type="dxa" w:w="6624"/>
            <w:tcMar>
              <w:top w:w="80" w:type="dxa"/>
              <w:start w:w="90" w:type="dxa"/>
              <w:bottom w:w="80" w:type="dxa"/>
              <w:end w:w="90" w:type="dxa"/>
            </w:tcMar>
            <w:vAlign w:val="top"/>
            <w:shd w:fill="F7FAFC"/>
          </w:tcPr>
          <w:p>
            <w:r>
              <w:rPr>
                <w:rFonts w:ascii="Aptos" w:hAnsi="Aptos"/>
                <w:b w:val="0"/>
                <w:sz w:val="16"/>
              </w:rPr>
              <w:t>Control-performance risk requiring action</w:t>
            </w:r>
          </w:p>
        </w:tc>
      </w:tr>
      <w:tr>
        <w:tc>
          <w:tcPr>
            <w:tcW w:type="dxa" w:w="3744"/>
            <w:tcMar>
              <w:top w:w="80" w:type="dxa"/>
              <w:start w:w="90" w:type="dxa"/>
              <w:bottom w:w="80" w:type="dxa"/>
              <w:end w:w="90" w:type="dxa"/>
            </w:tcMar>
            <w:vAlign w:val="top"/>
          </w:tcPr>
          <w:p>
            <w:r>
              <w:rPr>
                <w:rFonts w:ascii="Aptos" w:hAnsi="Aptos"/>
                <w:b w:val="0"/>
                <w:sz w:val="16"/>
              </w:rPr>
              <w:t>Unresolved sanctions potential matches</w:t>
            </w:r>
          </w:p>
        </w:tc>
        <w:tc>
          <w:tcPr>
            <w:tcW w:type="dxa" w:w="6624"/>
            <w:tcMar>
              <w:top w:w="80" w:type="dxa"/>
              <w:start w:w="90" w:type="dxa"/>
              <w:bottom w:w="80" w:type="dxa"/>
              <w:end w:w="90" w:type="dxa"/>
            </w:tcMar>
            <w:vAlign w:val="top"/>
          </w:tcPr>
          <w:p>
            <w:r>
              <w:rPr>
                <w:rFonts w:ascii="Aptos" w:hAnsi="Aptos"/>
                <w:b w:val="0"/>
                <w:sz w:val="16"/>
              </w:rPr>
              <w:t>Zero-tolerance control status pending specialist decision</w:t>
            </w:r>
          </w:p>
        </w:tc>
      </w:tr>
      <w:tr>
        <w:tc>
          <w:tcPr>
            <w:tcW w:type="dxa" w:w="3744"/>
            <w:tcMar>
              <w:top w:w="80" w:type="dxa"/>
              <w:start w:w="90" w:type="dxa"/>
              <w:bottom w:w="80" w:type="dxa"/>
              <w:end w:w="90" w:type="dxa"/>
            </w:tcMar>
            <w:vAlign w:val="top"/>
            <w:shd w:fill="F7FAFC"/>
          </w:tcPr>
          <w:p>
            <w:r>
              <w:rPr>
                <w:rFonts w:ascii="Aptos" w:hAnsi="Aptos"/>
                <w:b w:val="0"/>
                <w:sz w:val="16"/>
              </w:rPr>
              <w:t>AML alert backlog/ageing</w:t>
            </w:r>
          </w:p>
        </w:tc>
        <w:tc>
          <w:tcPr>
            <w:tcW w:type="dxa" w:w="6624"/>
            <w:tcMar>
              <w:top w:w="80" w:type="dxa"/>
              <w:start w:w="90" w:type="dxa"/>
              <w:bottom w:w="80" w:type="dxa"/>
              <w:end w:w="90" w:type="dxa"/>
            </w:tcMar>
            <w:vAlign w:val="top"/>
            <w:shd w:fill="F7FAFC"/>
          </w:tcPr>
          <w:p>
            <w:r>
              <w:rPr>
                <w:rFonts w:ascii="Aptos" w:hAnsi="Aptos"/>
                <w:b w:val="0"/>
                <w:sz w:val="16"/>
              </w:rPr>
              <w:t>Operational effectiveness and detection-timeliness risk</w:t>
            </w:r>
          </w:p>
        </w:tc>
      </w:tr>
      <w:tr>
        <w:tc>
          <w:tcPr>
            <w:tcW w:type="dxa" w:w="3744"/>
            <w:tcMar>
              <w:top w:w="80" w:type="dxa"/>
              <w:start w:w="90" w:type="dxa"/>
              <w:bottom w:w="80" w:type="dxa"/>
              <w:end w:w="90" w:type="dxa"/>
            </w:tcMar>
            <w:vAlign w:val="top"/>
          </w:tcPr>
          <w:p>
            <w:r>
              <w:rPr>
                <w:rFonts w:ascii="Aptos" w:hAnsi="Aptos"/>
                <w:b w:val="0"/>
                <w:sz w:val="16"/>
              </w:rPr>
              <w:t>Repeat KYC/EDD QA defects</w:t>
            </w:r>
          </w:p>
        </w:tc>
        <w:tc>
          <w:tcPr>
            <w:tcW w:type="dxa" w:w="6624"/>
            <w:tcMar>
              <w:top w:w="80" w:type="dxa"/>
              <w:start w:w="90" w:type="dxa"/>
              <w:bottom w:w="80" w:type="dxa"/>
              <w:end w:w="90" w:type="dxa"/>
            </w:tcMar>
            <w:vAlign w:val="top"/>
          </w:tcPr>
          <w:p>
            <w:r>
              <w:rPr>
                <w:rFonts w:ascii="Aptos" w:hAnsi="Aptos"/>
                <w:b w:val="0"/>
                <w:sz w:val="16"/>
              </w:rPr>
              <w:t>Potential systemic control weakness</w:t>
            </w:r>
          </w:p>
        </w:tc>
      </w:tr>
      <w:tr>
        <w:tc>
          <w:tcPr>
            <w:tcW w:type="dxa" w:w="3744"/>
            <w:tcMar>
              <w:top w:w="80" w:type="dxa"/>
              <w:start w:w="90" w:type="dxa"/>
              <w:bottom w:w="80" w:type="dxa"/>
              <w:end w:w="90" w:type="dxa"/>
            </w:tcMar>
            <w:vAlign w:val="top"/>
            <w:shd w:fill="F7FAFC"/>
          </w:tcPr>
          <w:p>
            <w:r>
              <w:rPr>
                <w:rFonts w:ascii="Aptos" w:hAnsi="Aptos"/>
                <w:b w:val="0"/>
                <w:sz w:val="16"/>
              </w:rPr>
              <w:t>Scenario drift / excessive false positives</w:t>
            </w:r>
          </w:p>
        </w:tc>
        <w:tc>
          <w:tcPr>
            <w:tcW w:type="dxa" w:w="6624"/>
            <w:tcMar>
              <w:top w:w="80" w:type="dxa"/>
              <w:start w:w="90" w:type="dxa"/>
              <w:bottom w:w="80" w:type="dxa"/>
              <w:end w:w="90" w:type="dxa"/>
            </w:tcMar>
            <w:vAlign w:val="top"/>
            <w:shd w:fill="F7FAFC"/>
          </w:tcPr>
          <w:p>
            <w:r>
              <w:rPr>
                <w:rFonts w:ascii="Aptos" w:hAnsi="Aptos"/>
                <w:b w:val="0"/>
                <w:sz w:val="16"/>
              </w:rPr>
              <w:t>Model/control effectiveness issue requiring tuning governance</w:t>
            </w:r>
          </w:p>
        </w:tc>
      </w:tr>
    </w:tbl>
    <w:p/>
    <w:p>
      <w:pPr>
        <w:pStyle w:val="Heading1"/>
        <w:keepNext/>
      </w:pPr>
      <w:r>
        <w:t>20. Cyber and Information Security Risk</w:t>
      </w:r>
    </w:p>
    <w:p>
      <w:r>
        <w:t>Cyber and information-security risk includes unauthorized access, data loss, service compromise, vulnerability exploitation and failure of confidentiality, integrity or availability. Detailed policies will be established in Batch 5; current risk governance requires material incidents and control weaknesses to be escalated through Enterprise Risk.</w:t>
      </w:r>
    </w:p>
    <w:p>
      <w:pPr>
        <w:pStyle w:val="ControlBullet"/>
      </w:pPr>
      <w:r>
        <w:rPr>
          <w:b/>
        </w:rPr>
        <w:t xml:space="preserve">• </w:t>
      </w:r>
      <w:r>
        <w:t>System access does not confer business authority.</w:t>
      </w:r>
    </w:p>
    <w:p>
      <w:pPr>
        <w:pStyle w:val="ControlBullet"/>
      </w:pPr>
      <w:r>
        <w:rPr>
          <w:b/>
        </w:rPr>
        <w:t xml:space="preserve">• </w:t>
      </w:r>
      <w:r>
        <w:t>Privileged access and customer-data access require stronger approval and monitoring than ordinary user access.</w:t>
      </w:r>
    </w:p>
    <w:p>
      <w:pPr>
        <w:pStyle w:val="ControlBullet"/>
      </w:pPr>
      <w:r>
        <w:rPr>
          <w:b/>
        </w:rPr>
        <w:t xml:space="preserve">• </w:t>
      </w:r>
      <w:r>
        <w:t>Critical vulnerabilities or incidents shall have time-bound remediation and executive escalation.</w:t>
      </w:r>
    </w:p>
    <w:p>
      <w:pPr>
        <w:pStyle w:val="ControlBullet"/>
      </w:pPr>
      <w:r>
        <w:rPr>
          <w:b/>
        </w:rPr>
        <w:t xml:space="preserve">• </w:t>
      </w:r>
      <w:r>
        <w:t>Third-party access to customer information shall be included in vendor and security risk assessment.</w:t>
      </w:r>
    </w:p>
    <w:p>
      <w:pPr>
        <w:pStyle w:val="Heading1"/>
        <w:keepNext/>
      </w:pPr>
      <w:r>
        <w:t>21. Model Risk</w:t>
      </w:r>
    </w:p>
    <w:p>
      <w:r>
        <w:t>Model risk arises from incorrect design, data, implementation, assumptions, monitoring or use of models and automated decision tools. Examples include credit scoring, AML customer risk scoring and transaction-monitoring scenarios.</w:t>
      </w:r>
    </w:p>
    <w:p>
      <w:pPr>
        <w:pStyle w:val="ControlBullet"/>
      </w:pPr>
      <w:r>
        <w:rPr>
          <w:b/>
        </w:rPr>
        <w:t xml:space="preserve">• </w:t>
      </w:r>
      <w:r>
        <w:t>Model outputs support but do not replace accountable decisions where manual judgment is required.</w:t>
      </w:r>
    </w:p>
    <w:p>
      <w:pPr>
        <w:pStyle w:val="ControlBullet"/>
      </w:pPr>
      <w:r>
        <w:rPr>
          <w:b/>
        </w:rPr>
        <w:t xml:space="preserve">• </w:t>
      </w:r>
      <w:r>
        <w:t>Parameter changes shall be versioned and impact-assessed.</w:t>
      </w:r>
    </w:p>
    <w:p>
      <w:pPr>
        <w:pStyle w:val="ControlBullet"/>
      </w:pPr>
      <w:r>
        <w:rPr>
          <w:b/>
        </w:rPr>
        <w:t xml:space="preserve">• </w:t>
      </w:r>
      <w:r>
        <w:t>Historical decisions retain the model/scenario version in force at the time.</w:t>
      </w:r>
    </w:p>
    <w:p>
      <w:pPr>
        <w:pStyle w:val="ControlBullet"/>
      </w:pPr>
      <w:r>
        <w:rPr>
          <w:b/>
        </w:rPr>
        <w:t xml:space="preserve">• </w:t>
      </w:r>
      <w:r>
        <w:t>Overrides and exception rates shall be monitored for evidence of model weakness or misuse.</w:t>
      </w:r>
    </w:p>
    <w:p>
      <w:pPr>
        <w:pStyle w:val="Heading1"/>
        <w:keepNext/>
      </w:pPr>
      <w:r>
        <w:t>22. Reputational and Strategic Risk</w:t>
      </w:r>
    </w:p>
    <w:p>
      <w:r>
        <w:t>Reputational risk may arise as an impact of other risks or from stakeholder perception. Strategic risk arises from adverse business decisions, execution failure or external change. Both require management judgment and cannot be reduced to a single metric.</w:t>
      </w:r>
    </w:p>
    <w:p>
      <w:pPr>
        <w:pStyle w:val="ControlBullet"/>
      </w:pPr>
      <w:r>
        <w:rPr>
          <w:b/>
        </w:rPr>
        <w:t xml:space="preserve">• </w:t>
      </w:r>
      <w:r>
        <w:t>Risk assessments shall identify potential customer, investor, employee, partner and public confidence effects where material.</w:t>
      </w:r>
    </w:p>
    <w:p>
      <w:pPr>
        <w:pStyle w:val="ControlBullet"/>
      </w:pPr>
      <w:r>
        <w:rPr>
          <w:b/>
        </w:rPr>
        <w:t xml:space="preserve">• </w:t>
      </w:r>
      <w:r>
        <w:t>Strategic initiatives shall consider downside scenarios, dependency concentration and exit costs.</w:t>
      </w:r>
    </w:p>
    <w:p>
      <w:pPr>
        <w:pStyle w:val="ControlBullet"/>
      </w:pPr>
      <w:r>
        <w:rPr>
          <w:b/>
        </w:rPr>
        <w:t xml:space="preserve">• </w:t>
      </w:r>
      <w:r>
        <w:t>Management shall avoid using “reputational risk” as a substitute for a more specific underlying risk cause.</w:t>
      </w:r>
    </w:p>
    <w:p>
      <w:pPr>
        <w:pStyle w:val="ControlBullet"/>
      </w:pPr>
      <w:r>
        <w:rPr>
          <w:b/>
        </w:rPr>
        <w:t xml:space="preserve">• </w:t>
      </w:r>
      <w:r>
        <w:t>Material strategic assumptions should be monitored through defined indicators and decision gates.</w:t>
      </w:r>
    </w:p>
    <w:p>
      <w:pPr>
        <w:pStyle w:val="Heading1"/>
        <w:keepNext/>
      </w:pPr>
      <w:r>
        <w:t>23. Stress Testing and Scenario Analysis</w:t>
      </w:r>
    </w:p>
    <w:p>
      <w:r>
        <w:t>Stress testing assesses resilience under severe but plausible conditions. Scenarios may be enterprise-wide or risk-specific and should identify management actions, constraints and second-order effects.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880"/>
            <w:shd w:fill="17365D"/>
            <w:vAlign w:val="center"/>
            <w:tcMar>
              <w:top w:w="80" w:type="dxa"/>
              <w:start w:w="90" w:type="dxa"/>
              <w:bottom w:w="80" w:type="dxa"/>
              <w:end w:w="90" w:type="dxa"/>
            </w:tcMar>
          </w:tcPr>
          <w:p>
            <w:r>
              <w:rPr>
                <w:rFonts w:ascii="Aptos" w:hAnsi="Aptos"/>
                <w:b/>
                <w:color w:val="FFFFFF"/>
                <w:sz w:val="16"/>
              </w:rPr>
              <w:t>Scenario</w:t>
            </w:r>
          </w:p>
        </w:tc>
        <w:tc>
          <w:tcPr>
            <w:tcW w:type="dxa" w:w="3744"/>
            <w:shd w:fill="17365D"/>
            <w:vAlign w:val="center"/>
            <w:tcMar>
              <w:top w:w="80" w:type="dxa"/>
              <w:start w:w="90" w:type="dxa"/>
              <w:bottom w:w="80" w:type="dxa"/>
              <w:end w:w="90" w:type="dxa"/>
            </w:tcMar>
          </w:tcPr>
          <w:p>
            <w:r>
              <w:rPr>
                <w:rFonts w:ascii="Aptos" w:hAnsi="Aptos"/>
                <w:b/>
                <w:color w:val="FFFFFF"/>
                <w:sz w:val="16"/>
              </w:rPr>
              <w:t>Primary Risks</w:t>
            </w:r>
          </w:p>
        </w:tc>
        <w:tc>
          <w:tcPr>
            <w:tcW w:type="dxa" w:w="3744"/>
            <w:shd w:fill="17365D"/>
            <w:vAlign w:val="center"/>
            <w:tcMar>
              <w:top w:w="80" w:type="dxa"/>
              <w:start w:w="90" w:type="dxa"/>
              <w:bottom w:w="80" w:type="dxa"/>
              <w:end w:w="90" w:type="dxa"/>
            </w:tcMar>
          </w:tcPr>
          <w:p>
            <w:r>
              <w:rPr>
                <w:rFonts w:ascii="Aptos" w:hAnsi="Aptos"/>
                <w:b/>
                <w:color w:val="FFFFFF"/>
                <w:sz w:val="16"/>
              </w:rPr>
              <w:t>Illustrative Effects</w:t>
            </w:r>
          </w:p>
        </w:tc>
      </w:tr>
      <w:tr>
        <w:tc>
          <w:tcPr>
            <w:tcW w:type="dxa" w:w="2880"/>
            <w:tcMar>
              <w:top w:w="80" w:type="dxa"/>
              <w:start w:w="90" w:type="dxa"/>
              <w:bottom w:w="80" w:type="dxa"/>
              <w:end w:w="90" w:type="dxa"/>
            </w:tcMar>
            <w:vAlign w:val="top"/>
          </w:tcPr>
          <w:p>
            <w:r>
              <w:rPr>
                <w:rFonts w:ascii="Aptos" w:hAnsi="Aptos"/>
                <w:b w:val="0"/>
                <w:sz w:val="16"/>
              </w:rPr>
              <w:t>Retail credit deterioration</w:t>
            </w:r>
          </w:p>
        </w:tc>
        <w:tc>
          <w:tcPr>
            <w:tcW w:type="dxa" w:w="3744"/>
            <w:tcMar>
              <w:top w:w="80" w:type="dxa"/>
              <w:start w:w="90" w:type="dxa"/>
              <w:bottom w:w="80" w:type="dxa"/>
              <w:end w:w="90" w:type="dxa"/>
            </w:tcMar>
            <w:vAlign w:val="top"/>
          </w:tcPr>
          <w:p>
            <w:r>
              <w:rPr>
                <w:rFonts w:ascii="Aptos" w:hAnsi="Aptos"/>
                <w:b w:val="0"/>
                <w:sz w:val="16"/>
              </w:rPr>
              <w:t>Credit, liquidity, operational</w:t>
            </w:r>
          </w:p>
        </w:tc>
        <w:tc>
          <w:tcPr>
            <w:tcW w:type="dxa" w:w="3744"/>
            <w:tcMar>
              <w:top w:w="80" w:type="dxa"/>
              <w:start w:w="90" w:type="dxa"/>
              <w:bottom w:w="80" w:type="dxa"/>
              <w:end w:w="90" w:type="dxa"/>
            </w:tcMar>
            <w:vAlign w:val="top"/>
          </w:tcPr>
          <w:p>
            <w:r>
              <w:rPr>
                <w:rFonts w:ascii="Aptos" w:hAnsi="Aptos"/>
                <w:b w:val="0"/>
                <w:sz w:val="16"/>
              </w:rPr>
              <w:t>Higher DPD/NPA/ECL, collections load, reduced cash inflows</w:t>
            </w:r>
          </w:p>
        </w:tc>
      </w:tr>
      <w:tr>
        <w:tc>
          <w:tcPr>
            <w:tcW w:type="dxa" w:w="2880"/>
            <w:tcMar>
              <w:top w:w="80" w:type="dxa"/>
              <w:start w:w="90" w:type="dxa"/>
              <w:bottom w:w="80" w:type="dxa"/>
              <w:end w:w="90" w:type="dxa"/>
            </w:tcMar>
            <w:vAlign w:val="top"/>
            <w:shd w:fill="F7FAFC"/>
          </w:tcPr>
          <w:p>
            <w:r>
              <w:rPr>
                <w:rFonts w:ascii="Aptos" w:hAnsi="Aptos"/>
                <w:b w:val="0"/>
                <w:sz w:val="16"/>
              </w:rPr>
              <w:t>Funding stress</w:t>
            </w:r>
          </w:p>
        </w:tc>
        <w:tc>
          <w:tcPr>
            <w:tcW w:type="dxa" w:w="3744"/>
            <w:tcMar>
              <w:top w:w="80" w:type="dxa"/>
              <w:start w:w="90" w:type="dxa"/>
              <w:bottom w:w="80" w:type="dxa"/>
              <w:end w:w="90" w:type="dxa"/>
            </w:tcMar>
            <w:vAlign w:val="top"/>
            <w:shd w:fill="F7FAFC"/>
          </w:tcPr>
          <w:p>
            <w:r>
              <w:rPr>
                <w:rFonts w:ascii="Aptos" w:hAnsi="Aptos"/>
                <w:b w:val="0"/>
                <w:sz w:val="16"/>
              </w:rPr>
              <w:t>Liquidity, market, reputation</w:t>
            </w:r>
          </w:p>
        </w:tc>
        <w:tc>
          <w:tcPr>
            <w:tcW w:type="dxa" w:w="3744"/>
            <w:tcMar>
              <w:top w:w="80" w:type="dxa"/>
              <w:start w:w="90" w:type="dxa"/>
              <w:bottom w:w="80" w:type="dxa"/>
              <w:end w:w="90" w:type="dxa"/>
            </w:tcMar>
            <w:vAlign w:val="top"/>
            <w:shd w:fill="F7FAFC"/>
          </w:tcPr>
          <w:p>
            <w:r>
              <w:rPr>
                <w:rFonts w:ascii="Aptos" w:hAnsi="Aptos"/>
                <w:b w:val="0"/>
                <w:sz w:val="16"/>
              </w:rPr>
              <w:t>Outflows, higher funding cost, asset-sale pressure</w:t>
            </w:r>
          </w:p>
        </w:tc>
      </w:tr>
      <w:tr>
        <w:tc>
          <w:tcPr>
            <w:tcW w:type="dxa" w:w="2880"/>
            <w:tcMar>
              <w:top w:w="80" w:type="dxa"/>
              <w:start w:w="90" w:type="dxa"/>
              <w:bottom w:w="80" w:type="dxa"/>
              <w:end w:w="90" w:type="dxa"/>
            </w:tcMar>
            <w:vAlign w:val="top"/>
          </w:tcPr>
          <w:p>
            <w:r>
              <w:rPr>
                <w:rFonts w:ascii="Aptos" w:hAnsi="Aptos"/>
                <w:b w:val="0"/>
                <w:sz w:val="16"/>
              </w:rPr>
              <w:t>Major cyber disruption</w:t>
            </w:r>
          </w:p>
        </w:tc>
        <w:tc>
          <w:tcPr>
            <w:tcW w:type="dxa" w:w="3744"/>
            <w:tcMar>
              <w:top w:w="80" w:type="dxa"/>
              <w:start w:w="90" w:type="dxa"/>
              <w:bottom w:w="80" w:type="dxa"/>
              <w:end w:w="90" w:type="dxa"/>
            </w:tcMar>
            <w:vAlign w:val="top"/>
          </w:tcPr>
          <w:p>
            <w:r>
              <w:rPr>
                <w:rFonts w:ascii="Aptos" w:hAnsi="Aptos"/>
                <w:b w:val="0"/>
                <w:sz w:val="16"/>
              </w:rPr>
              <w:t>Cyber, operational, compliance, reputation</w:t>
            </w:r>
          </w:p>
        </w:tc>
        <w:tc>
          <w:tcPr>
            <w:tcW w:type="dxa" w:w="3744"/>
            <w:tcMar>
              <w:top w:w="80" w:type="dxa"/>
              <w:start w:w="90" w:type="dxa"/>
              <w:bottom w:w="80" w:type="dxa"/>
              <w:end w:w="90" w:type="dxa"/>
            </w:tcMar>
            <w:vAlign w:val="top"/>
          </w:tcPr>
          <w:p>
            <w:r>
              <w:rPr>
                <w:rFonts w:ascii="Aptos" w:hAnsi="Aptos"/>
                <w:b w:val="0"/>
                <w:sz w:val="16"/>
              </w:rPr>
              <w:t>Service outage, data risk, manual processing, customer impact</w:t>
            </w:r>
          </w:p>
        </w:tc>
      </w:tr>
      <w:tr>
        <w:tc>
          <w:tcPr>
            <w:tcW w:type="dxa" w:w="2880"/>
            <w:tcMar>
              <w:top w:w="80" w:type="dxa"/>
              <w:start w:w="90" w:type="dxa"/>
              <w:bottom w:w="80" w:type="dxa"/>
              <w:end w:w="90" w:type="dxa"/>
            </w:tcMar>
            <w:vAlign w:val="top"/>
            <w:shd w:fill="F7FAFC"/>
          </w:tcPr>
          <w:p>
            <w:r>
              <w:rPr>
                <w:rFonts w:ascii="Aptos" w:hAnsi="Aptos"/>
                <w:b w:val="0"/>
                <w:sz w:val="16"/>
              </w:rPr>
              <w:t>AML control failure</w:t>
            </w:r>
          </w:p>
        </w:tc>
        <w:tc>
          <w:tcPr>
            <w:tcW w:type="dxa" w:w="3744"/>
            <w:tcMar>
              <w:top w:w="80" w:type="dxa"/>
              <w:start w:w="90" w:type="dxa"/>
              <w:bottom w:w="80" w:type="dxa"/>
              <w:end w:w="90" w:type="dxa"/>
            </w:tcMar>
            <w:vAlign w:val="top"/>
            <w:shd w:fill="F7FAFC"/>
          </w:tcPr>
          <w:p>
            <w:r>
              <w:rPr>
                <w:rFonts w:ascii="Aptos" w:hAnsi="Aptos"/>
                <w:b w:val="0"/>
                <w:sz w:val="16"/>
              </w:rPr>
              <w:t>AML, compliance, reputation</w:t>
            </w:r>
          </w:p>
        </w:tc>
        <w:tc>
          <w:tcPr>
            <w:tcW w:type="dxa" w:w="3744"/>
            <w:tcMar>
              <w:top w:w="80" w:type="dxa"/>
              <w:start w:w="90" w:type="dxa"/>
              <w:bottom w:w="80" w:type="dxa"/>
              <w:end w:w="90" w:type="dxa"/>
            </w:tcMar>
            <w:vAlign w:val="top"/>
            <w:shd w:fill="F7FAFC"/>
          </w:tcPr>
          <w:p>
            <w:r>
              <w:rPr>
                <w:rFonts w:ascii="Aptos" w:hAnsi="Aptos"/>
                <w:b w:val="0"/>
                <w:sz w:val="16"/>
              </w:rPr>
              <w:t>Backlog, remediation population, restrictions, investigation load</w:t>
            </w:r>
          </w:p>
        </w:tc>
      </w:tr>
      <w:tr>
        <w:tc>
          <w:tcPr>
            <w:tcW w:type="dxa" w:w="2880"/>
            <w:tcMar>
              <w:top w:w="80" w:type="dxa"/>
              <w:start w:w="90" w:type="dxa"/>
              <w:bottom w:w="80" w:type="dxa"/>
              <w:end w:w="90" w:type="dxa"/>
            </w:tcMar>
            <w:vAlign w:val="top"/>
          </w:tcPr>
          <w:p>
            <w:r>
              <w:rPr>
                <w:rFonts w:ascii="Aptos" w:hAnsi="Aptos"/>
                <w:b w:val="0"/>
                <w:sz w:val="16"/>
              </w:rPr>
              <w:t>Concentrated vendor outage</w:t>
            </w:r>
          </w:p>
        </w:tc>
        <w:tc>
          <w:tcPr>
            <w:tcW w:type="dxa" w:w="3744"/>
            <w:tcMar>
              <w:top w:w="80" w:type="dxa"/>
              <w:start w:w="90" w:type="dxa"/>
              <w:bottom w:w="80" w:type="dxa"/>
              <w:end w:w="90" w:type="dxa"/>
            </w:tcMar>
            <w:vAlign w:val="top"/>
          </w:tcPr>
          <w:p>
            <w:r>
              <w:rPr>
                <w:rFonts w:ascii="Aptos" w:hAnsi="Aptos"/>
                <w:b w:val="0"/>
                <w:sz w:val="16"/>
              </w:rPr>
              <w:t>Operational, cyber, strategic</w:t>
            </w:r>
          </w:p>
        </w:tc>
        <w:tc>
          <w:tcPr>
            <w:tcW w:type="dxa" w:w="3744"/>
            <w:tcMar>
              <w:top w:w="80" w:type="dxa"/>
              <w:start w:w="90" w:type="dxa"/>
              <w:bottom w:w="80" w:type="dxa"/>
              <w:end w:w="90" w:type="dxa"/>
            </w:tcMar>
            <w:vAlign w:val="top"/>
          </w:tcPr>
          <w:p>
            <w:r>
              <w:rPr>
                <w:rFonts w:ascii="Aptos" w:hAnsi="Aptos"/>
                <w:b w:val="0"/>
                <w:sz w:val="16"/>
              </w:rPr>
              <w:t>Critical process interruption and workaround risk</w:t>
            </w:r>
          </w:p>
        </w:tc>
      </w:tr>
    </w:tbl>
    <w:p/>
    <w:p>
      <w:pPr>
        <w:pStyle w:val="Heading1"/>
        <w:keepNext/>
      </w:pPr>
      <w:r>
        <w:t>24. Risk Incidents, Issues and Remediation</w:t>
      </w:r>
    </w:p>
    <w:p>
      <w:r>
        <w:t>Material incidents and control failures shall be recorded, assessed for impact and root cause, assigned an accountable owner and tracked to verified closure. Risk acceptance cannot be used to avoid documenting a known issue.</w:t>
      </w:r>
    </w:p>
    <w:p>
      <w:pPr>
        <w:pStyle w:val="ControlBullet"/>
      </w:pPr>
      <w:r>
        <w:rPr>
          <w:b/>
        </w:rPr>
        <w:t xml:space="preserve">• </w:t>
      </w:r>
      <w:r>
        <w:t>Distinguish incident containment from permanent remediation.</w:t>
      </w:r>
    </w:p>
    <w:p>
      <w:pPr>
        <w:pStyle w:val="ControlBullet"/>
      </w:pPr>
      <w:r>
        <w:rPr>
          <w:b/>
        </w:rPr>
        <w:t xml:space="preserve">• </w:t>
      </w:r>
      <w:r>
        <w:t>Set target dates based on risk, complexity and dependency rather than arbitrary uniform timelines.</w:t>
      </w:r>
    </w:p>
    <w:p>
      <w:pPr>
        <w:pStyle w:val="ControlBullet"/>
      </w:pPr>
      <w:r>
        <w:rPr>
          <w:b/>
        </w:rPr>
        <w:t xml:space="preserve">• </w:t>
      </w:r>
      <w:r>
        <w:t>Overdue High or Severe issues require senior escalation and may require additional compensating controls.</w:t>
      </w:r>
    </w:p>
    <w:p>
      <w:pPr>
        <w:pStyle w:val="ControlBullet"/>
      </w:pPr>
      <w:r>
        <w:rPr>
          <w:b/>
        </w:rPr>
        <w:t xml:space="preserve">• </w:t>
      </w:r>
      <w:r>
        <w:t>Closure evidence shall demonstrate that the agreed action is implemented and effective.</w:t>
      </w:r>
    </w:p>
    <w:p>
      <w:pPr>
        <w:pStyle w:val="Heading1"/>
        <w:keepNext/>
      </w:pPr>
      <w:r>
        <w:t>25. Risk Reporting and Escalation</w:t>
      </w:r>
    </w:p>
    <w:p>
      <w:r>
        <w:t>Risk reporting shall prioritize decisions and changes in exposure rather than only static data. Reports shall identify limit status, trend, drivers, exceptions, incidents, overdue actions and management response.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024"/>
            <w:shd w:fill="17365D"/>
            <w:vAlign w:val="center"/>
            <w:tcMar>
              <w:top w:w="80" w:type="dxa"/>
              <w:start w:w="90" w:type="dxa"/>
              <w:bottom w:w="80" w:type="dxa"/>
              <w:end w:w="90" w:type="dxa"/>
            </w:tcMar>
          </w:tcPr>
          <w:p>
            <w:r>
              <w:rPr>
                <w:rFonts w:ascii="Aptos" w:hAnsi="Aptos"/>
                <w:b/>
                <w:color w:val="FFFFFF"/>
                <w:sz w:val="16"/>
              </w:rPr>
              <w:t>Audience</w:t>
            </w:r>
          </w:p>
        </w:tc>
        <w:tc>
          <w:tcPr>
            <w:tcW w:type="dxa" w:w="2304"/>
            <w:shd w:fill="17365D"/>
            <w:vAlign w:val="center"/>
            <w:tcMar>
              <w:top w:w="80" w:type="dxa"/>
              <w:start w:w="90" w:type="dxa"/>
              <w:bottom w:w="80" w:type="dxa"/>
              <w:end w:w="90" w:type="dxa"/>
            </w:tcMar>
          </w:tcPr>
          <w:p>
            <w:r>
              <w:rPr>
                <w:rFonts w:ascii="Aptos" w:hAnsi="Aptos"/>
                <w:b/>
                <w:color w:val="FFFFFF"/>
                <w:sz w:val="16"/>
              </w:rPr>
              <w:t>Typical Frequency</w:t>
            </w:r>
          </w:p>
        </w:tc>
        <w:tc>
          <w:tcPr>
            <w:tcW w:type="dxa" w:w="5040"/>
            <w:shd w:fill="17365D"/>
            <w:vAlign w:val="center"/>
            <w:tcMar>
              <w:top w:w="80" w:type="dxa"/>
              <w:start w:w="90" w:type="dxa"/>
              <w:bottom w:w="80" w:type="dxa"/>
              <w:end w:w="90" w:type="dxa"/>
            </w:tcMar>
          </w:tcPr>
          <w:p>
            <w:r>
              <w:rPr>
                <w:rFonts w:ascii="Aptos" w:hAnsi="Aptos"/>
                <w:b/>
                <w:color w:val="FFFFFF"/>
                <w:sz w:val="16"/>
              </w:rPr>
              <w:t>Minimum Content</w:t>
            </w:r>
          </w:p>
        </w:tc>
      </w:tr>
      <w:tr>
        <w:tc>
          <w:tcPr>
            <w:tcW w:type="dxa" w:w="3024"/>
            <w:tcMar>
              <w:top w:w="80" w:type="dxa"/>
              <w:start w:w="90" w:type="dxa"/>
              <w:bottom w:w="80" w:type="dxa"/>
              <w:end w:w="90" w:type="dxa"/>
            </w:tcMar>
            <w:vAlign w:val="top"/>
          </w:tcPr>
          <w:p>
            <w:r>
              <w:rPr>
                <w:rFonts w:ascii="Aptos" w:hAnsi="Aptos"/>
                <w:b w:val="0"/>
                <w:sz w:val="16"/>
              </w:rPr>
              <w:t>Board Risk Committee</w:t>
            </w:r>
          </w:p>
        </w:tc>
        <w:tc>
          <w:tcPr>
            <w:tcW w:type="dxa" w:w="2304"/>
            <w:tcMar>
              <w:top w:w="80" w:type="dxa"/>
              <w:start w:w="90" w:type="dxa"/>
              <w:bottom w:w="80" w:type="dxa"/>
              <w:end w:w="90" w:type="dxa"/>
            </w:tcMar>
            <w:vAlign w:val="top"/>
          </w:tcPr>
          <w:p>
            <w:r>
              <w:rPr>
                <w:rFonts w:ascii="Aptos" w:hAnsi="Aptos"/>
                <w:b w:val="0"/>
                <w:sz w:val="16"/>
              </w:rPr>
              <w:t>Quarterly / as needed</w:t>
            </w:r>
          </w:p>
        </w:tc>
        <w:tc>
          <w:tcPr>
            <w:tcW w:type="dxa" w:w="5040"/>
            <w:tcMar>
              <w:top w:w="80" w:type="dxa"/>
              <w:start w:w="90" w:type="dxa"/>
              <w:bottom w:w="80" w:type="dxa"/>
              <w:end w:w="90" w:type="dxa"/>
            </w:tcMar>
            <w:vAlign w:val="top"/>
          </w:tcPr>
          <w:p>
            <w:r>
              <w:rPr>
                <w:rFonts w:ascii="Aptos" w:hAnsi="Aptos"/>
                <w:b w:val="0"/>
                <w:sz w:val="16"/>
              </w:rPr>
              <w:t>Risk appetite dashboard, breaches, stress results, material incidents/issues</w:t>
            </w:r>
          </w:p>
        </w:tc>
      </w:tr>
      <w:tr>
        <w:tc>
          <w:tcPr>
            <w:tcW w:type="dxa" w:w="3024"/>
            <w:tcMar>
              <w:top w:w="80" w:type="dxa"/>
              <w:start w:w="90" w:type="dxa"/>
              <w:bottom w:w="80" w:type="dxa"/>
              <w:end w:w="90" w:type="dxa"/>
            </w:tcMar>
            <w:vAlign w:val="top"/>
            <w:shd w:fill="F7FAFC"/>
          </w:tcPr>
          <w:p>
            <w:r>
              <w:rPr>
                <w:rFonts w:ascii="Aptos" w:hAnsi="Aptos"/>
                <w:b w:val="0"/>
                <w:sz w:val="16"/>
              </w:rPr>
              <w:t>Executive Risk Committee</w:t>
            </w:r>
          </w:p>
        </w:tc>
        <w:tc>
          <w:tcPr>
            <w:tcW w:type="dxa" w:w="2304"/>
            <w:tcMar>
              <w:top w:w="80" w:type="dxa"/>
              <w:start w:w="90" w:type="dxa"/>
              <w:bottom w:w="80" w:type="dxa"/>
              <w:end w:w="90" w:type="dxa"/>
            </w:tcMar>
            <w:vAlign w:val="top"/>
            <w:shd w:fill="F7FAFC"/>
          </w:tcPr>
          <w:p>
            <w:r>
              <w:rPr>
                <w:rFonts w:ascii="Aptos" w:hAnsi="Aptos"/>
                <w:b w:val="0"/>
                <w:sz w:val="16"/>
              </w:rPr>
              <w:t>Monthly</w:t>
            </w:r>
          </w:p>
        </w:tc>
        <w:tc>
          <w:tcPr>
            <w:tcW w:type="dxa" w:w="5040"/>
            <w:tcMar>
              <w:top w:w="80" w:type="dxa"/>
              <w:start w:w="90" w:type="dxa"/>
              <w:bottom w:w="80" w:type="dxa"/>
              <w:end w:w="90" w:type="dxa"/>
            </w:tcMar>
            <w:vAlign w:val="top"/>
            <w:shd w:fill="F7FAFC"/>
          </w:tcPr>
          <w:p>
            <w:r>
              <w:rPr>
                <w:rFonts w:ascii="Aptos" w:hAnsi="Aptos"/>
                <w:b w:val="0"/>
                <w:sz w:val="16"/>
              </w:rPr>
              <w:t>Enterprise KRIs, emerging risks, action status, concentration</w:t>
            </w:r>
          </w:p>
        </w:tc>
      </w:tr>
      <w:tr>
        <w:tc>
          <w:tcPr>
            <w:tcW w:type="dxa" w:w="3024"/>
            <w:tcMar>
              <w:top w:w="80" w:type="dxa"/>
              <w:start w:w="90" w:type="dxa"/>
              <w:bottom w:w="80" w:type="dxa"/>
              <w:end w:w="90" w:type="dxa"/>
            </w:tcMar>
            <w:vAlign w:val="top"/>
          </w:tcPr>
          <w:p>
            <w:r>
              <w:rPr>
                <w:rFonts w:ascii="Aptos" w:hAnsi="Aptos"/>
                <w:b w:val="0"/>
                <w:sz w:val="16"/>
              </w:rPr>
              <w:t>Specialist committees</w:t>
            </w:r>
          </w:p>
        </w:tc>
        <w:tc>
          <w:tcPr>
            <w:tcW w:type="dxa" w:w="2304"/>
            <w:tcMar>
              <w:top w:w="80" w:type="dxa"/>
              <w:start w:w="90" w:type="dxa"/>
              <w:bottom w:w="80" w:type="dxa"/>
              <w:end w:w="90" w:type="dxa"/>
            </w:tcMar>
            <w:vAlign w:val="top"/>
          </w:tcPr>
          <w:p>
            <w:r>
              <w:rPr>
                <w:rFonts w:ascii="Aptos" w:hAnsi="Aptos"/>
                <w:b w:val="0"/>
                <w:sz w:val="16"/>
              </w:rPr>
              <w:t>Monthly/quarterly</w:t>
            </w:r>
          </w:p>
        </w:tc>
        <w:tc>
          <w:tcPr>
            <w:tcW w:type="dxa" w:w="5040"/>
            <w:tcMar>
              <w:top w:w="80" w:type="dxa"/>
              <w:start w:w="90" w:type="dxa"/>
              <w:bottom w:w="80" w:type="dxa"/>
              <w:end w:w="90" w:type="dxa"/>
            </w:tcMar>
            <w:vAlign w:val="top"/>
          </w:tcPr>
          <w:p>
            <w:r>
              <w:rPr>
                <w:rFonts w:ascii="Aptos" w:hAnsi="Aptos"/>
                <w:b w:val="0"/>
                <w:sz w:val="16"/>
              </w:rPr>
              <w:t>Domain limits, exceptions, control effectiveness, decisions</w:t>
            </w:r>
          </w:p>
        </w:tc>
      </w:tr>
      <w:tr>
        <w:tc>
          <w:tcPr>
            <w:tcW w:type="dxa" w:w="3024"/>
            <w:tcMar>
              <w:top w:w="80" w:type="dxa"/>
              <w:start w:w="90" w:type="dxa"/>
              <w:bottom w:w="80" w:type="dxa"/>
              <w:end w:w="90" w:type="dxa"/>
            </w:tcMar>
            <w:vAlign w:val="top"/>
            <w:shd w:fill="F7FAFC"/>
          </w:tcPr>
          <w:p>
            <w:r>
              <w:rPr>
                <w:rFonts w:ascii="Aptos" w:hAnsi="Aptos"/>
                <w:b w:val="0"/>
                <w:sz w:val="16"/>
              </w:rPr>
              <w:t>Business management</w:t>
            </w:r>
          </w:p>
        </w:tc>
        <w:tc>
          <w:tcPr>
            <w:tcW w:type="dxa" w:w="2304"/>
            <w:tcMar>
              <w:top w:w="80" w:type="dxa"/>
              <w:start w:w="90" w:type="dxa"/>
              <w:bottom w:w="80" w:type="dxa"/>
              <w:end w:w="90" w:type="dxa"/>
            </w:tcMar>
            <w:vAlign w:val="top"/>
            <w:shd w:fill="F7FAFC"/>
          </w:tcPr>
          <w:p>
            <w:r>
              <w:rPr>
                <w:rFonts w:ascii="Aptos" w:hAnsi="Aptos"/>
                <w:b w:val="0"/>
                <w:sz w:val="16"/>
              </w:rPr>
              <w:t>Weekly/monthly as appropriate</w:t>
            </w:r>
          </w:p>
        </w:tc>
        <w:tc>
          <w:tcPr>
            <w:tcW w:type="dxa" w:w="5040"/>
            <w:tcMar>
              <w:top w:w="80" w:type="dxa"/>
              <w:start w:w="90" w:type="dxa"/>
              <w:bottom w:w="80" w:type="dxa"/>
              <w:end w:w="90" w:type="dxa"/>
            </w:tcMar>
            <w:vAlign w:val="top"/>
            <w:shd w:fill="F7FAFC"/>
          </w:tcPr>
          <w:p>
            <w:r>
              <w:rPr>
                <w:rFonts w:ascii="Aptos" w:hAnsi="Aptos"/>
                <w:b w:val="0"/>
                <w:sz w:val="16"/>
              </w:rPr>
              <w:t>Operational KRIs, incidents, backlogs and remediation</w:t>
            </w:r>
          </w:p>
        </w:tc>
      </w:tr>
    </w:tbl>
    <w:p/>
    <w:p>
      <w:pPr>
        <w:pStyle w:val="Heading1"/>
        <w:keepNext/>
      </w:pPr>
      <w:r>
        <w:t>26. New Product and Change Risk Assessment</w:t>
      </w:r>
    </w:p>
    <w:p>
      <w:r>
        <w:t>Material new products, channels, vendors, models and process changes shall undergo risk assessment before launch. Assessment depth depends on novelty, customer impact, data use, transaction capability and dependencies.</w:t>
      </w:r>
    </w:p>
    <w:p>
      <w:pPr>
        <w:pStyle w:val="ControlBullet"/>
      </w:pPr>
      <w:r>
        <w:rPr>
          <w:b/>
        </w:rPr>
        <w:t xml:space="preserve">• </w:t>
      </w:r>
      <w:r>
        <w:t>Identify affected risk categories and policy requirements.</w:t>
      </w:r>
    </w:p>
    <w:p>
      <w:pPr>
        <w:pStyle w:val="ControlBullet"/>
      </w:pPr>
      <w:r>
        <w:rPr>
          <w:b/>
        </w:rPr>
        <w:t xml:space="preserve">• </w:t>
      </w:r>
      <w:r>
        <w:t>Confirm control ownership, testing, operational capacity and fallback.</w:t>
      </w:r>
    </w:p>
    <w:p>
      <w:pPr>
        <w:pStyle w:val="ControlBullet"/>
      </w:pPr>
      <w:r>
        <w:rPr>
          <w:b/>
        </w:rPr>
        <w:t xml:space="preserve">• </w:t>
      </w:r>
      <w:r>
        <w:t>Assess whether new thresholds or delegated authorities are required.</w:t>
      </w:r>
    </w:p>
    <w:p>
      <w:pPr>
        <w:pStyle w:val="ControlBullet"/>
      </w:pPr>
      <w:r>
        <w:rPr>
          <w:b/>
        </w:rPr>
        <w:t xml:space="preserve">• </w:t>
      </w:r>
      <w:r>
        <w:t>Define post-launch monitoring and review period.</w:t>
      </w:r>
    </w:p>
    <w:p>
      <w:pPr>
        <w:pStyle w:val="ControlBullet"/>
      </w:pPr>
      <w:r>
        <w:rPr>
          <w:b/>
        </w:rPr>
        <w:t xml:space="preserve">• </w:t>
      </w:r>
      <w:r>
        <w:t>Do not treat technology go-live approval as business/risk approval.</w:t>
      </w:r>
    </w:p>
    <w:p>
      <w:pPr>
        <w:pStyle w:val="Heading1"/>
        <w:keepNext/>
      </w:pPr>
      <w:r>
        <w:t>27. Exceptions, Breaches and Escalation Hierarchy</w:t>
      </w:r>
    </w:p>
    <w:p>
      <w:r>
        <w:t>The repository intentionally contains product-specific rules, transitional provisions and stricter procedures. A difference is not automatically a breach. The applicable hierarchy, effective date and scope shall be established before classifying a deviation.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5328"/>
            <w:shd w:fill="17365D"/>
            <w:vAlign w:val="center"/>
            <w:tcMar>
              <w:top w:w="80" w:type="dxa"/>
              <w:start w:w="90" w:type="dxa"/>
              <w:bottom w:w="80" w:type="dxa"/>
              <w:end w:w="90" w:type="dxa"/>
            </w:tcMar>
          </w:tcPr>
          <w:p>
            <w:r>
              <w:rPr>
                <w:rFonts w:ascii="Aptos" w:hAnsi="Aptos"/>
                <w:b/>
                <w:color w:val="FFFFFF"/>
                <w:sz w:val="16"/>
              </w:rPr>
              <w:t>Situation</w:t>
            </w:r>
          </w:p>
        </w:tc>
        <w:tc>
          <w:tcPr>
            <w:tcW w:type="dxa" w:w="5040"/>
            <w:shd w:fill="17365D"/>
            <w:vAlign w:val="center"/>
            <w:tcMar>
              <w:top w:w="80" w:type="dxa"/>
              <w:start w:w="90" w:type="dxa"/>
              <w:bottom w:w="80" w:type="dxa"/>
              <w:end w:w="90" w:type="dxa"/>
            </w:tcMar>
          </w:tcPr>
          <w:p>
            <w:r>
              <w:rPr>
                <w:rFonts w:ascii="Aptos" w:hAnsi="Aptos"/>
                <w:b/>
                <w:color w:val="FFFFFF"/>
                <w:sz w:val="16"/>
              </w:rPr>
              <w:t>Classification</w:t>
            </w:r>
          </w:p>
        </w:tc>
      </w:tr>
      <w:tr>
        <w:tc>
          <w:tcPr>
            <w:tcW w:type="dxa" w:w="5328"/>
            <w:tcMar>
              <w:top w:w="80" w:type="dxa"/>
              <w:start w:w="90" w:type="dxa"/>
              <w:bottom w:w="80" w:type="dxa"/>
              <w:end w:w="90" w:type="dxa"/>
            </w:tcMar>
            <w:vAlign w:val="top"/>
          </w:tcPr>
          <w:p>
            <w:r>
              <w:rPr>
                <w:rFonts w:ascii="Aptos" w:hAnsi="Aptos"/>
                <w:b w:val="0"/>
                <w:sz w:val="16"/>
              </w:rPr>
              <w:t>Procedure more restrictive than policy within its scope</w:t>
            </w:r>
          </w:p>
        </w:tc>
        <w:tc>
          <w:tcPr>
            <w:tcW w:type="dxa" w:w="5040"/>
            <w:tcMar>
              <w:top w:w="80" w:type="dxa"/>
              <w:start w:w="90" w:type="dxa"/>
              <w:bottom w:w="80" w:type="dxa"/>
              <w:end w:w="90" w:type="dxa"/>
            </w:tcMar>
            <w:vAlign w:val="top"/>
          </w:tcPr>
          <w:p>
            <w:r>
              <w:rPr>
                <w:rFonts w:ascii="Aptos" w:hAnsi="Aptos"/>
                <w:b w:val="0"/>
                <w:sz w:val="16"/>
              </w:rPr>
              <w:t>Apply procedure; no conflict requiring correction</w:t>
            </w:r>
          </w:p>
        </w:tc>
      </w:tr>
      <w:tr>
        <w:tc>
          <w:tcPr>
            <w:tcW w:type="dxa" w:w="5328"/>
            <w:tcMar>
              <w:top w:w="80" w:type="dxa"/>
              <w:start w:w="90" w:type="dxa"/>
              <w:bottom w:w="80" w:type="dxa"/>
              <w:end w:w="90" w:type="dxa"/>
            </w:tcMar>
            <w:vAlign w:val="top"/>
            <w:shd w:fill="F7FAFC"/>
          </w:tcPr>
          <w:p>
            <w:r>
              <w:rPr>
                <w:rFonts w:ascii="Aptos" w:hAnsi="Aptos"/>
                <w:b w:val="0"/>
                <w:sz w:val="16"/>
              </w:rPr>
              <w:t>Approved exception within delegated route</w:t>
            </w:r>
          </w:p>
        </w:tc>
        <w:tc>
          <w:tcPr>
            <w:tcW w:type="dxa" w:w="5040"/>
            <w:tcMar>
              <w:top w:w="80" w:type="dxa"/>
              <w:start w:w="90" w:type="dxa"/>
              <w:bottom w:w="80" w:type="dxa"/>
              <w:end w:w="90" w:type="dxa"/>
            </w:tcMar>
            <w:vAlign w:val="top"/>
            <w:shd w:fill="F7FAFC"/>
          </w:tcPr>
          <w:p>
            <w:r>
              <w:rPr>
                <w:rFonts w:ascii="Aptos" w:hAnsi="Aptos"/>
                <w:b w:val="0"/>
                <w:sz w:val="16"/>
              </w:rPr>
              <w:t>Controlled exception; monitor/report as required</w:t>
            </w:r>
          </w:p>
        </w:tc>
      </w:tr>
      <w:tr>
        <w:tc>
          <w:tcPr>
            <w:tcW w:type="dxa" w:w="5328"/>
            <w:tcMar>
              <w:top w:w="80" w:type="dxa"/>
              <w:start w:w="90" w:type="dxa"/>
              <w:bottom w:w="80" w:type="dxa"/>
              <w:end w:w="90" w:type="dxa"/>
            </w:tcMar>
            <w:vAlign w:val="top"/>
          </w:tcPr>
          <w:p>
            <w:r>
              <w:rPr>
                <w:rFonts w:ascii="Aptos" w:hAnsi="Aptos"/>
                <w:b w:val="0"/>
                <w:sz w:val="16"/>
              </w:rPr>
              <w:t>Decision outside delegated authority</w:t>
            </w:r>
          </w:p>
        </w:tc>
        <w:tc>
          <w:tcPr>
            <w:tcW w:type="dxa" w:w="5040"/>
            <w:tcMar>
              <w:top w:w="80" w:type="dxa"/>
              <w:start w:w="90" w:type="dxa"/>
              <w:bottom w:w="80" w:type="dxa"/>
              <w:end w:w="90" w:type="dxa"/>
            </w:tcMar>
            <w:vAlign w:val="top"/>
          </w:tcPr>
          <w:p>
            <w:r>
              <w:rPr>
                <w:rFonts w:ascii="Aptos" w:hAnsi="Aptos"/>
                <w:b w:val="0"/>
                <w:sz w:val="16"/>
              </w:rPr>
              <w:t>Breach; retrospective endorsement may remediate but does not erase timing failure</w:t>
            </w:r>
          </w:p>
        </w:tc>
      </w:tr>
      <w:tr>
        <w:tc>
          <w:tcPr>
            <w:tcW w:type="dxa" w:w="5328"/>
            <w:tcMar>
              <w:top w:w="80" w:type="dxa"/>
              <w:start w:w="90" w:type="dxa"/>
              <w:bottom w:w="80" w:type="dxa"/>
              <w:end w:w="90" w:type="dxa"/>
            </w:tcMar>
            <w:vAlign w:val="top"/>
            <w:shd w:fill="F7FAFC"/>
          </w:tcPr>
          <w:p>
            <w:r>
              <w:rPr>
                <w:rFonts w:ascii="Aptos" w:hAnsi="Aptos"/>
                <w:b w:val="0"/>
                <w:sz w:val="16"/>
              </w:rPr>
              <w:t>Historical threshold applied within valid transition</w:t>
            </w:r>
          </w:p>
        </w:tc>
        <w:tc>
          <w:tcPr>
            <w:tcW w:type="dxa" w:w="5040"/>
            <w:tcMar>
              <w:top w:w="80" w:type="dxa"/>
              <w:start w:w="90" w:type="dxa"/>
              <w:bottom w:w="80" w:type="dxa"/>
              <w:end w:w="90" w:type="dxa"/>
            </w:tcMar>
            <w:vAlign w:val="top"/>
            <w:shd w:fill="F7FAFC"/>
          </w:tcPr>
          <w:p>
            <w:r>
              <w:rPr>
                <w:rFonts w:ascii="Aptos" w:hAnsi="Aptos"/>
                <w:b w:val="0"/>
                <w:sz w:val="16"/>
              </w:rPr>
              <w:t>Valid historical treatment if evidence and dates satisfy transition</w:t>
            </w:r>
          </w:p>
        </w:tc>
      </w:tr>
      <w:tr>
        <w:tc>
          <w:tcPr>
            <w:tcW w:type="dxa" w:w="5328"/>
            <w:tcMar>
              <w:top w:w="80" w:type="dxa"/>
              <w:start w:w="90" w:type="dxa"/>
              <w:bottom w:w="80" w:type="dxa"/>
              <w:end w:w="90" w:type="dxa"/>
            </w:tcMar>
            <w:vAlign w:val="top"/>
          </w:tcPr>
          <w:p>
            <w:r>
              <w:rPr>
                <w:rFonts w:ascii="Aptos" w:hAnsi="Aptos"/>
                <w:b w:val="0"/>
                <w:sz w:val="16"/>
              </w:rPr>
              <w:t>Outdated rule applied after transition ended</w:t>
            </w:r>
          </w:p>
        </w:tc>
        <w:tc>
          <w:tcPr>
            <w:tcW w:type="dxa" w:w="5040"/>
            <w:tcMar>
              <w:top w:w="80" w:type="dxa"/>
              <w:start w:w="90" w:type="dxa"/>
              <w:bottom w:w="80" w:type="dxa"/>
              <w:end w:w="90" w:type="dxa"/>
            </w:tcMar>
            <w:vAlign w:val="top"/>
          </w:tcPr>
          <w:p>
            <w:r>
              <w:rPr>
                <w:rFonts w:ascii="Aptos" w:hAnsi="Aptos"/>
                <w:b w:val="0"/>
                <w:sz w:val="16"/>
              </w:rPr>
              <w:t>Potential policy/procedure breach; assess impact and remediation</w:t>
            </w:r>
          </w:p>
        </w:tc>
      </w:tr>
    </w:tbl>
    <w:p/>
    <w:p>
      <w:pPr>
        <w:pStyle w:val="Heading1"/>
        <w:keepNext/>
      </w:pPr>
      <w:r>
        <w:t>28. Framework Review and Assurance</w:t>
      </w:r>
    </w:p>
    <w:p>
      <w:r>
        <w:t>The CRO shall review this Framework at least annually and after material changes to business model or risk governance. Internal Audit remains independent and may assess both design and operation without assuming management ownership.</w:t>
      </w:r>
    </w:p>
    <w:p>
      <w:pPr>
        <w:pStyle w:val="ControlBullet"/>
      </w:pPr>
      <w:r>
        <w:rPr>
          <w:b/>
        </w:rPr>
        <w:t xml:space="preserve">• </w:t>
      </w:r>
      <w:r>
        <w:t>Second-line monitoring shall not substitute for first-line control execution.</w:t>
      </w:r>
    </w:p>
    <w:p>
      <w:pPr>
        <w:pStyle w:val="ControlBullet"/>
      </w:pPr>
      <w:r>
        <w:rPr>
          <w:b/>
        </w:rPr>
        <w:t xml:space="preserve">• </w:t>
      </w:r>
      <w:r>
        <w:t>Assurance findings shall be risk-rated and linked to remediation owners and due dates.</w:t>
      </w:r>
    </w:p>
    <w:p>
      <w:pPr>
        <w:pStyle w:val="ControlBullet"/>
      </w:pPr>
      <w:r>
        <w:rPr>
          <w:b/>
        </w:rPr>
        <w:t xml:space="preserve">• </w:t>
      </w:r>
      <w:r>
        <w:t>Framework changes shall update the Master Consistency Sheet and relevant cross-references.</w:t>
      </w:r>
    </w:p>
    <w:p>
      <w:pPr>
        <w:pStyle w:val="ControlBullet"/>
      </w:pPr>
      <w:r>
        <w:rPr>
          <w:b/>
        </w:rPr>
        <w:t xml:space="preserve">• </w:t>
      </w:r>
      <w:r>
        <w:t>Material unresolved ambiguity between controlled documents shall be escalated to the document owners rather than silently harmonized.</w:t>
      </w:r>
    </w:p>
    <w:p>
      <w:r>
        <w:br w:type="page"/>
      </w:r>
    </w:p>
    <w:p>
      <w:pPr>
        <w:pStyle w:val="Heading1"/>
      </w:pPr>
      <w:r>
        <w:t>Appendix A — Enterprise Risk Matrix</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2304"/>
            <w:shd w:fill="17365D"/>
            <w:vAlign w:val="center"/>
            <w:tcMar>
              <w:top w:w="80" w:type="dxa"/>
              <w:start w:w="90" w:type="dxa"/>
              <w:bottom w:w="80" w:type="dxa"/>
              <w:end w:w="90" w:type="dxa"/>
            </w:tcMar>
          </w:tcPr>
          <w:p>
            <w:r>
              <w:rPr>
                <w:rFonts w:ascii="Aptos" w:hAnsi="Aptos"/>
                <w:b/>
                <w:color w:val="FFFFFF"/>
                <w:sz w:val="16"/>
              </w:rPr>
              <w:t>Likelihood / Impact</w:t>
            </w:r>
          </w:p>
        </w:tc>
        <w:tc>
          <w:tcPr>
            <w:tcW w:type="dxa" w:w="1584"/>
            <w:shd w:fill="17365D"/>
            <w:vAlign w:val="center"/>
            <w:tcMar>
              <w:top w:w="80" w:type="dxa"/>
              <w:start w:w="90" w:type="dxa"/>
              <w:bottom w:w="80" w:type="dxa"/>
              <w:end w:w="90" w:type="dxa"/>
            </w:tcMar>
          </w:tcPr>
          <w:p>
            <w:r>
              <w:rPr>
                <w:rFonts w:ascii="Aptos" w:hAnsi="Aptos"/>
                <w:b/>
                <w:color w:val="FFFFFF"/>
                <w:sz w:val="16"/>
              </w:rPr>
              <w:t>1 Minor</w:t>
            </w:r>
          </w:p>
        </w:tc>
        <w:tc>
          <w:tcPr>
            <w:tcW w:type="dxa" w:w="1728"/>
            <w:shd w:fill="17365D"/>
            <w:vAlign w:val="center"/>
            <w:tcMar>
              <w:top w:w="80" w:type="dxa"/>
              <w:start w:w="90" w:type="dxa"/>
              <w:bottom w:w="80" w:type="dxa"/>
              <w:end w:w="90" w:type="dxa"/>
            </w:tcMar>
          </w:tcPr>
          <w:p>
            <w:r>
              <w:rPr>
                <w:rFonts w:ascii="Aptos" w:hAnsi="Aptos"/>
                <w:b/>
                <w:color w:val="FFFFFF"/>
                <w:sz w:val="16"/>
              </w:rPr>
              <w:t>2 Moderate</w:t>
            </w:r>
          </w:p>
        </w:tc>
        <w:tc>
          <w:tcPr>
            <w:tcW w:type="dxa" w:w="1872"/>
            <w:shd w:fill="17365D"/>
            <w:vAlign w:val="center"/>
            <w:tcMar>
              <w:top w:w="80" w:type="dxa"/>
              <w:start w:w="90" w:type="dxa"/>
              <w:bottom w:w="80" w:type="dxa"/>
              <w:end w:w="90" w:type="dxa"/>
            </w:tcMar>
          </w:tcPr>
          <w:p>
            <w:r>
              <w:rPr>
                <w:rFonts w:ascii="Aptos" w:hAnsi="Aptos"/>
                <w:b/>
                <w:color w:val="FFFFFF"/>
                <w:sz w:val="16"/>
              </w:rPr>
              <w:t>3 Significant</w:t>
            </w:r>
          </w:p>
        </w:tc>
        <w:tc>
          <w:tcPr>
            <w:tcW w:type="dxa" w:w="1728"/>
            <w:shd w:fill="17365D"/>
            <w:vAlign w:val="center"/>
            <w:tcMar>
              <w:top w:w="80" w:type="dxa"/>
              <w:start w:w="90" w:type="dxa"/>
              <w:bottom w:w="80" w:type="dxa"/>
              <w:end w:w="90" w:type="dxa"/>
            </w:tcMar>
          </w:tcPr>
          <w:p>
            <w:r>
              <w:rPr>
                <w:rFonts w:ascii="Aptos" w:hAnsi="Aptos"/>
                <w:b/>
                <w:color w:val="FFFFFF"/>
                <w:sz w:val="16"/>
              </w:rPr>
              <w:t>4 Major</w:t>
            </w:r>
          </w:p>
        </w:tc>
        <w:tc>
          <w:tcPr>
            <w:tcW w:type="dxa" w:w="1728"/>
            <w:shd w:fill="17365D"/>
            <w:vAlign w:val="center"/>
            <w:tcMar>
              <w:top w:w="80" w:type="dxa"/>
              <w:start w:w="90" w:type="dxa"/>
              <w:bottom w:w="80" w:type="dxa"/>
              <w:end w:w="90" w:type="dxa"/>
            </w:tcMar>
          </w:tcPr>
          <w:p>
            <w:r>
              <w:rPr>
                <w:rFonts w:ascii="Aptos" w:hAnsi="Aptos"/>
                <w:b/>
                <w:color w:val="FFFFFF"/>
                <w:sz w:val="16"/>
              </w:rPr>
              <w:t>5 Severe</w:t>
            </w:r>
          </w:p>
        </w:tc>
      </w:tr>
      <w:tr>
        <w:tc>
          <w:tcPr>
            <w:tcW w:type="dxa" w:w="2304"/>
            <w:tcMar>
              <w:top w:w="80" w:type="dxa"/>
              <w:start w:w="90" w:type="dxa"/>
              <w:bottom w:w="80" w:type="dxa"/>
              <w:end w:w="90" w:type="dxa"/>
            </w:tcMar>
            <w:vAlign w:val="top"/>
          </w:tcPr>
          <w:p>
            <w:r>
              <w:rPr>
                <w:rFonts w:ascii="Aptos" w:hAnsi="Aptos"/>
                <w:b w:val="0"/>
                <w:sz w:val="16"/>
              </w:rPr>
              <w:t>1 Rare</w:t>
            </w:r>
          </w:p>
        </w:tc>
        <w:tc>
          <w:tcPr>
            <w:tcW w:type="dxa" w:w="1584"/>
            <w:tcMar>
              <w:top w:w="80" w:type="dxa"/>
              <w:start w:w="90" w:type="dxa"/>
              <w:bottom w:w="80" w:type="dxa"/>
              <w:end w:w="90" w:type="dxa"/>
            </w:tcMar>
            <w:vAlign w:val="top"/>
          </w:tcPr>
          <w:p>
            <w:r>
              <w:rPr>
                <w:rFonts w:ascii="Aptos" w:hAnsi="Aptos"/>
                <w:b w:val="0"/>
                <w:sz w:val="16"/>
              </w:rPr>
              <w:t>Low</w:t>
            </w:r>
          </w:p>
        </w:tc>
        <w:tc>
          <w:tcPr>
            <w:tcW w:type="dxa" w:w="1728"/>
            <w:tcMar>
              <w:top w:w="80" w:type="dxa"/>
              <w:start w:w="90" w:type="dxa"/>
              <w:bottom w:w="80" w:type="dxa"/>
              <w:end w:w="90" w:type="dxa"/>
            </w:tcMar>
            <w:vAlign w:val="top"/>
          </w:tcPr>
          <w:p>
            <w:r>
              <w:rPr>
                <w:rFonts w:ascii="Aptos" w:hAnsi="Aptos"/>
                <w:b w:val="0"/>
                <w:sz w:val="16"/>
              </w:rPr>
              <w:t>Low</w:t>
            </w:r>
          </w:p>
        </w:tc>
        <w:tc>
          <w:tcPr>
            <w:tcW w:type="dxa" w:w="1872"/>
            <w:tcMar>
              <w:top w:w="80" w:type="dxa"/>
              <w:start w:w="90" w:type="dxa"/>
              <w:bottom w:w="80" w:type="dxa"/>
              <w:end w:w="90" w:type="dxa"/>
            </w:tcMar>
            <w:vAlign w:val="top"/>
          </w:tcPr>
          <w:p>
            <w:r>
              <w:rPr>
                <w:rFonts w:ascii="Aptos" w:hAnsi="Aptos"/>
                <w:b w:val="0"/>
                <w:sz w:val="16"/>
              </w:rPr>
              <w:t>Moderate</w:t>
            </w:r>
          </w:p>
        </w:tc>
        <w:tc>
          <w:tcPr>
            <w:tcW w:type="dxa" w:w="1728"/>
            <w:tcMar>
              <w:top w:w="80" w:type="dxa"/>
              <w:start w:w="90" w:type="dxa"/>
              <w:bottom w:w="80" w:type="dxa"/>
              <w:end w:w="90" w:type="dxa"/>
            </w:tcMar>
            <w:vAlign w:val="top"/>
          </w:tcPr>
          <w:p>
            <w:r>
              <w:rPr>
                <w:rFonts w:ascii="Aptos" w:hAnsi="Aptos"/>
                <w:b w:val="0"/>
                <w:sz w:val="16"/>
              </w:rPr>
              <w:t>Moderate</w:t>
            </w:r>
          </w:p>
        </w:tc>
        <w:tc>
          <w:tcPr>
            <w:tcW w:type="dxa" w:w="1728"/>
            <w:tcMar>
              <w:top w:w="80" w:type="dxa"/>
              <w:start w:w="90" w:type="dxa"/>
              <w:bottom w:w="80" w:type="dxa"/>
              <w:end w:w="90" w:type="dxa"/>
            </w:tcMar>
            <w:vAlign w:val="top"/>
          </w:tcPr>
          <w:p>
            <w:r>
              <w:rPr>
                <w:rFonts w:ascii="Aptos" w:hAnsi="Aptos"/>
                <w:b w:val="0"/>
                <w:sz w:val="16"/>
              </w:rPr>
              <w:t>High</w:t>
            </w:r>
          </w:p>
        </w:tc>
      </w:tr>
      <w:tr>
        <w:tc>
          <w:tcPr>
            <w:tcW w:type="dxa" w:w="2304"/>
            <w:tcMar>
              <w:top w:w="80" w:type="dxa"/>
              <w:start w:w="90" w:type="dxa"/>
              <w:bottom w:w="80" w:type="dxa"/>
              <w:end w:w="90" w:type="dxa"/>
            </w:tcMar>
            <w:vAlign w:val="top"/>
            <w:shd w:fill="F7FAFC"/>
          </w:tcPr>
          <w:p>
            <w:r>
              <w:rPr>
                <w:rFonts w:ascii="Aptos" w:hAnsi="Aptos"/>
                <w:b w:val="0"/>
                <w:sz w:val="16"/>
              </w:rPr>
              <w:t>2 Unlikely</w:t>
            </w:r>
          </w:p>
        </w:tc>
        <w:tc>
          <w:tcPr>
            <w:tcW w:type="dxa" w:w="1584"/>
            <w:tcMar>
              <w:top w:w="80" w:type="dxa"/>
              <w:start w:w="90" w:type="dxa"/>
              <w:bottom w:w="80" w:type="dxa"/>
              <w:end w:w="90" w:type="dxa"/>
            </w:tcMar>
            <w:vAlign w:val="top"/>
            <w:shd w:fill="F7FAFC"/>
          </w:tcPr>
          <w:p>
            <w:r>
              <w:rPr>
                <w:rFonts w:ascii="Aptos" w:hAnsi="Aptos"/>
                <w:b w:val="0"/>
                <w:sz w:val="16"/>
              </w:rPr>
              <w:t>Low</w:t>
            </w:r>
          </w:p>
        </w:tc>
        <w:tc>
          <w:tcPr>
            <w:tcW w:type="dxa" w:w="1728"/>
            <w:tcMar>
              <w:top w:w="80" w:type="dxa"/>
              <w:start w:w="90" w:type="dxa"/>
              <w:bottom w:w="80" w:type="dxa"/>
              <w:end w:w="90" w:type="dxa"/>
            </w:tcMar>
            <w:vAlign w:val="top"/>
            <w:shd w:fill="F7FAFC"/>
          </w:tcPr>
          <w:p>
            <w:r>
              <w:rPr>
                <w:rFonts w:ascii="Aptos" w:hAnsi="Aptos"/>
                <w:b w:val="0"/>
                <w:sz w:val="16"/>
              </w:rPr>
              <w:t>Moderate</w:t>
            </w:r>
          </w:p>
        </w:tc>
        <w:tc>
          <w:tcPr>
            <w:tcW w:type="dxa" w:w="1872"/>
            <w:tcMar>
              <w:top w:w="80" w:type="dxa"/>
              <w:start w:w="90" w:type="dxa"/>
              <w:bottom w:w="80" w:type="dxa"/>
              <w:end w:w="90" w:type="dxa"/>
            </w:tcMar>
            <w:vAlign w:val="top"/>
            <w:shd w:fill="F7FAFC"/>
          </w:tcPr>
          <w:p>
            <w:r>
              <w:rPr>
                <w:rFonts w:ascii="Aptos" w:hAnsi="Aptos"/>
                <w:b w:val="0"/>
                <w:sz w:val="16"/>
              </w:rPr>
              <w:t>Moderate</w:t>
            </w:r>
          </w:p>
        </w:tc>
        <w:tc>
          <w:tcPr>
            <w:tcW w:type="dxa" w:w="1728"/>
            <w:tcMar>
              <w:top w:w="80" w:type="dxa"/>
              <w:start w:w="90" w:type="dxa"/>
              <w:bottom w:w="80" w:type="dxa"/>
              <w:end w:w="90" w:type="dxa"/>
            </w:tcMar>
            <w:vAlign w:val="top"/>
            <w:shd w:fill="F7FAFC"/>
          </w:tcPr>
          <w:p>
            <w:r>
              <w:rPr>
                <w:rFonts w:ascii="Aptos" w:hAnsi="Aptos"/>
                <w:b w:val="0"/>
                <w:sz w:val="16"/>
              </w:rPr>
              <w:t>High</w:t>
            </w:r>
          </w:p>
        </w:tc>
        <w:tc>
          <w:tcPr>
            <w:tcW w:type="dxa" w:w="1728"/>
            <w:tcMar>
              <w:top w:w="80" w:type="dxa"/>
              <w:start w:w="90" w:type="dxa"/>
              <w:bottom w:w="80" w:type="dxa"/>
              <w:end w:w="90" w:type="dxa"/>
            </w:tcMar>
            <w:vAlign w:val="top"/>
            <w:shd w:fill="F7FAFC"/>
          </w:tcPr>
          <w:p>
            <w:r>
              <w:rPr>
                <w:rFonts w:ascii="Aptos" w:hAnsi="Aptos"/>
                <w:b w:val="0"/>
                <w:sz w:val="16"/>
              </w:rPr>
              <w:t>High</w:t>
            </w:r>
          </w:p>
        </w:tc>
      </w:tr>
      <w:tr>
        <w:tc>
          <w:tcPr>
            <w:tcW w:type="dxa" w:w="2304"/>
            <w:tcMar>
              <w:top w:w="80" w:type="dxa"/>
              <w:start w:w="90" w:type="dxa"/>
              <w:bottom w:w="80" w:type="dxa"/>
              <w:end w:w="90" w:type="dxa"/>
            </w:tcMar>
            <w:vAlign w:val="top"/>
          </w:tcPr>
          <w:p>
            <w:r>
              <w:rPr>
                <w:rFonts w:ascii="Aptos" w:hAnsi="Aptos"/>
                <w:b w:val="0"/>
                <w:sz w:val="16"/>
              </w:rPr>
              <w:t>3 Possible</w:t>
            </w:r>
          </w:p>
        </w:tc>
        <w:tc>
          <w:tcPr>
            <w:tcW w:type="dxa" w:w="1584"/>
            <w:tcMar>
              <w:top w:w="80" w:type="dxa"/>
              <w:start w:w="90" w:type="dxa"/>
              <w:bottom w:w="80" w:type="dxa"/>
              <w:end w:w="90" w:type="dxa"/>
            </w:tcMar>
            <w:vAlign w:val="top"/>
          </w:tcPr>
          <w:p>
            <w:r>
              <w:rPr>
                <w:rFonts w:ascii="Aptos" w:hAnsi="Aptos"/>
                <w:b w:val="0"/>
                <w:sz w:val="16"/>
              </w:rPr>
              <w:t>Moderate</w:t>
            </w:r>
          </w:p>
        </w:tc>
        <w:tc>
          <w:tcPr>
            <w:tcW w:type="dxa" w:w="1728"/>
            <w:tcMar>
              <w:top w:w="80" w:type="dxa"/>
              <w:start w:w="90" w:type="dxa"/>
              <w:bottom w:w="80" w:type="dxa"/>
              <w:end w:w="90" w:type="dxa"/>
            </w:tcMar>
            <w:vAlign w:val="top"/>
          </w:tcPr>
          <w:p>
            <w:r>
              <w:rPr>
                <w:rFonts w:ascii="Aptos" w:hAnsi="Aptos"/>
                <w:b w:val="0"/>
                <w:sz w:val="16"/>
              </w:rPr>
              <w:t>Moderate</w:t>
            </w:r>
          </w:p>
        </w:tc>
        <w:tc>
          <w:tcPr>
            <w:tcW w:type="dxa" w:w="1872"/>
            <w:tcMar>
              <w:top w:w="80" w:type="dxa"/>
              <w:start w:w="90" w:type="dxa"/>
              <w:bottom w:w="80" w:type="dxa"/>
              <w:end w:w="90" w:type="dxa"/>
            </w:tcMar>
            <w:vAlign w:val="top"/>
          </w:tcPr>
          <w:p>
            <w:r>
              <w:rPr>
                <w:rFonts w:ascii="Aptos" w:hAnsi="Aptos"/>
                <w:b w:val="0"/>
                <w:sz w:val="16"/>
              </w:rPr>
              <w:t>High</w:t>
            </w:r>
          </w:p>
        </w:tc>
        <w:tc>
          <w:tcPr>
            <w:tcW w:type="dxa" w:w="1728"/>
            <w:tcMar>
              <w:top w:w="80" w:type="dxa"/>
              <w:start w:w="90" w:type="dxa"/>
              <w:bottom w:w="80" w:type="dxa"/>
              <w:end w:w="90" w:type="dxa"/>
            </w:tcMar>
            <w:vAlign w:val="top"/>
          </w:tcPr>
          <w:p>
            <w:r>
              <w:rPr>
                <w:rFonts w:ascii="Aptos" w:hAnsi="Aptos"/>
                <w:b w:val="0"/>
                <w:sz w:val="16"/>
              </w:rPr>
              <w:t>High</w:t>
            </w:r>
          </w:p>
        </w:tc>
        <w:tc>
          <w:tcPr>
            <w:tcW w:type="dxa" w:w="1728"/>
            <w:tcMar>
              <w:top w:w="80" w:type="dxa"/>
              <w:start w:w="90" w:type="dxa"/>
              <w:bottom w:w="80" w:type="dxa"/>
              <w:end w:w="90" w:type="dxa"/>
            </w:tcMar>
            <w:vAlign w:val="top"/>
          </w:tcPr>
          <w:p>
            <w:r>
              <w:rPr>
                <w:rFonts w:ascii="Aptos" w:hAnsi="Aptos"/>
                <w:b w:val="0"/>
                <w:sz w:val="16"/>
              </w:rPr>
              <w:t>Severe</w:t>
            </w:r>
          </w:p>
        </w:tc>
      </w:tr>
      <w:tr>
        <w:tc>
          <w:tcPr>
            <w:tcW w:type="dxa" w:w="2304"/>
            <w:tcMar>
              <w:top w:w="80" w:type="dxa"/>
              <w:start w:w="90" w:type="dxa"/>
              <w:bottom w:w="80" w:type="dxa"/>
              <w:end w:w="90" w:type="dxa"/>
            </w:tcMar>
            <w:vAlign w:val="top"/>
            <w:shd w:fill="F7FAFC"/>
          </w:tcPr>
          <w:p>
            <w:r>
              <w:rPr>
                <w:rFonts w:ascii="Aptos" w:hAnsi="Aptos"/>
                <w:b w:val="0"/>
                <w:sz w:val="16"/>
              </w:rPr>
              <w:t>4 Likely</w:t>
            </w:r>
          </w:p>
        </w:tc>
        <w:tc>
          <w:tcPr>
            <w:tcW w:type="dxa" w:w="1584"/>
            <w:tcMar>
              <w:top w:w="80" w:type="dxa"/>
              <w:start w:w="90" w:type="dxa"/>
              <w:bottom w:w="80" w:type="dxa"/>
              <w:end w:w="90" w:type="dxa"/>
            </w:tcMar>
            <w:vAlign w:val="top"/>
            <w:shd w:fill="F7FAFC"/>
          </w:tcPr>
          <w:p>
            <w:r>
              <w:rPr>
                <w:rFonts w:ascii="Aptos" w:hAnsi="Aptos"/>
                <w:b w:val="0"/>
                <w:sz w:val="16"/>
              </w:rPr>
              <w:t>Moderate</w:t>
            </w:r>
          </w:p>
        </w:tc>
        <w:tc>
          <w:tcPr>
            <w:tcW w:type="dxa" w:w="1728"/>
            <w:tcMar>
              <w:top w:w="80" w:type="dxa"/>
              <w:start w:w="90" w:type="dxa"/>
              <w:bottom w:w="80" w:type="dxa"/>
              <w:end w:w="90" w:type="dxa"/>
            </w:tcMar>
            <w:vAlign w:val="top"/>
            <w:shd w:fill="F7FAFC"/>
          </w:tcPr>
          <w:p>
            <w:r>
              <w:rPr>
                <w:rFonts w:ascii="Aptos" w:hAnsi="Aptos"/>
                <w:b w:val="0"/>
                <w:sz w:val="16"/>
              </w:rPr>
              <w:t>High</w:t>
            </w:r>
          </w:p>
        </w:tc>
        <w:tc>
          <w:tcPr>
            <w:tcW w:type="dxa" w:w="1872"/>
            <w:tcMar>
              <w:top w:w="80" w:type="dxa"/>
              <w:start w:w="90" w:type="dxa"/>
              <w:bottom w:w="80" w:type="dxa"/>
              <w:end w:w="90" w:type="dxa"/>
            </w:tcMar>
            <w:vAlign w:val="top"/>
            <w:shd w:fill="F7FAFC"/>
          </w:tcPr>
          <w:p>
            <w:r>
              <w:rPr>
                <w:rFonts w:ascii="Aptos" w:hAnsi="Aptos"/>
                <w:b w:val="0"/>
                <w:sz w:val="16"/>
              </w:rPr>
              <w:t>High</w:t>
            </w:r>
          </w:p>
        </w:tc>
        <w:tc>
          <w:tcPr>
            <w:tcW w:type="dxa" w:w="1728"/>
            <w:tcMar>
              <w:top w:w="80" w:type="dxa"/>
              <w:start w:w="90" w:type="dxa"/>
              <w:bottom w:w="80" w:type="dxa"/>
              <w:end w:w="90" w:type="dxa"/>
            </w:tcMar>
            <w:vAlign w:val="top"/>
            <w:shd w:fill="F7FAFC"/>
          </w:tcPr>
          <w:p>
            <w:r>
              <w:rPr>
                <w:rFonts w:ascii="Aptos" w:hAnsi="Aptos"/>
                <w:b w:val="0"/>
                <w:sz w:val="16"/>
              </w:rPr>
              <w:t>Severe</w:t>
            </w:r>
          </w:p>
        </w:tc>
        <w:tc>
          <w:tcPr>
            <w:tcW w:type="dxa" w:w="1728"/>
            <w:tcMar>
              <w:top w:w="80" w:type="dxa"/>
              <w:start w:w="90" w:type="dxa"/>
              <w:bottom w:w="80" w:type="dxa"/>
              <w:end w:w="90" w:type="dxa"/>
            </w:tcMar>
            <w:vAlign w:val="top"/>
            <w:shd w:fill="F7FAFC"/>
          </w:tcPr>
          <w:p>
            <w:r>
              <w:rPr>
                <w:rFonts w:ascii="Aptos" w:hAnsi="Aptos"/>
                <w:b w:val="0"/>
                <w:sz w:val="16"/>
              </w:rPr>
              <w:t>Severe</w:t>
            </w:r>
          </w:p>
        </w:tc>
      </w:tr>
      <w:tr>
        <w:tc>
          <w:tcPr>
            <w:tcW w:type="dxa" w:w="2304"/>
            <w:tcMar>
              <w:top w:w="80" w:type="dxa"/>
              <w:start w:w="90" w:type="dxa"/>
              <w:bottom w:w="80" w:type="dxa"/>
              <w:end w:w="90" w:type="dxa"/>
            </w:tcMar>
            <w:vAlign w:val="top"/>
          </w:tcPr>
          <w:p>
            <w:r>
              <w:rPr>
                <w:rFonts w:ascii="Aptos" w:hAnsi="Aptos"/>
                <w:b w:val="0"/>
                <w:sz w:val="16"/>
              </w:rPr>
              <w:t>5 Almost certain</w:t>
            </w:r>
          </w:p>
        </w:tc>
        <w:tc>
          <w:tcPr>
            <w:tcW w:type="dxa" w:w="1584"/>
            <w:tcMar>
              <w:top w:w="80" w:type="dxa"/>
              <w:start w:w="90" w:type="dxa"/>
              <w:bottom w:w="80" w:type="dxa"/>
              <w:end w:w="90" w:type="dxa"/>
            </w:tcMar>
            <w:vAlign w:val="top"/>
          </w:tcPr>
          <w:p>
            <w:r>
              <w:rPr>
                <w:rFonts w:ascii="Aptos" w:hAnsi="Aptos"/>
                <w:b w:val="0"/>
                <w:sz w:val="16"/>
              </w:rPr>
              <w:t>High</w:t>
            </w:r>
          </w:p>
        </w:tc>
        <w:tc>
          <w:tcPr>
            <w:tcW w:type="dxa" w:w="1728"/>
            <w:tcMar>
              <w:top w:w="80" w:type="dxa"/>
              <w:start w:w="90" w:type="dxa"/>
              <w:bottom w:w="80" w:type="dxa"/>
              <w:end w:w="90" w:type="dxa"/>
            </w:tcMar>
            <w:vAlign w:val="top"/>
          </w:tcPr>
          <w:p>
            <w:r>
              <w:rPr>
                <w:rFonts w:ascii="Aptos" w:hAnsi="Aptos"/>
                <w:b w:val="0"/>
                <w:sz w:val="16"/>
              </w:rPr>
              <w:t>High</w:t>
            </w:r>
          </w:p>
        </w:tc>
        <w:tc>
          <w:tcPr>
            <w:tcW w:type="dxa" w:w="1872"/>
            <w:tcMar>
              <w:top w:w="80" w:type="dxa"/>
              <w:start w:w="90" w:type="dxa"/>
              <w:bottom w:w="80" w:type="dxa"/>
              <w:end w:w="90" w:type="dxa"/>
            </w:tcMar>
            <w:vAlign w:val="top"/>
          </w:tcPr>
          <w:p>
            <w:r>
              <w:rPr>
                <w:rFonts w:ascii="Aptos" w:hAnsi="Aptos"/>
                <w:b w:val="0"/>
                <w:sz w:val="16"/>
              </w:rPr>
              <w:t>Severe</w:t>
            </w:r>
          </w:p>
        </w:tc>
        <w:tc>
          <w:tcPr>
            <w:tcW w:type="dxa" w:w="1728"/>
            <w:tcMar>
              <w:top w:w="80" w:type="dxa"/>
              <w:start w:w="90" w:type="dxa"/>
              <w:bottom w:w="80" w:type="dxa"/>
              <w:end w:w="90" w:type="dxa"/>
            </w:tcMar>
            <w:vAlign w:val="top"/>
          </w:tcPr>
          <w:p>
            <w:r>
              <w:rPr>
                <w:rFonts w:ascii="Aptos" w:hAnsi="Aptos"/>
                <w:b w:val="0"/>
                <w:sz w:val="16"/>
              </w:rPr>
              <w:t>Severe</w:t>
            </w:r>
          </w:p>
        </w:tc>
        <w:tc>
          <w:tcPr>
            <w:tcW w:type="dxa" w:w="1728"/>
            <w:tcMar>
              <w:top w:w="80" w:type="dxa"/>
              <w:start w:w="90" w:type="dxa"/>
              <w:bottom w:w="80" w:type="dxa"/>
              <w:end w:w="90" w:type="dxa"/>
            </w:tcMar>
            <w:vAlign w:val="top"/>
          </w:tcPr>
          <w:p>
            <w:r>
              <w:rPr>
                <w:rFonts w:ascii="Aptos" w:hAnsi="Aptos"/>
                <w:b w:val="0"/>
                <w:sz w:val="16"/>
              </w:rPr>
              <w:t>Severe</w:t>
            </w:r>
          </w:p>
        </w:tc>
      </w:tr>
    </w:tbl>
    <w:p/>
    <w:p>
      <w:r>
        <w:br w:type="page"/>
      </w:r>
    </w:p>
    <w:p>
      <w:pPr>
        <w:pStyle w:val="Heading1"/>
      </w:pPr>
      <w:r>
        <w:t>Appendix B — Risk Register Minimum Fields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880"/>
            <w:shd w:fill="17365D"/>
            <w:vAlign w:val="center"/>
            <w:tcMar>
              <w:top w:w="80" w:type="dxa"/>
              <w:start w:w="90" w:type="dxa"/>
              <w:bottom w:w="80" w:type="dxa"/>
              <w:end w:w="90" w:type="dxa"/>
            </w:tcMar>
          </w:tcPr>
          <w:p>
            <w:r>
              <w:rPr>
                <w:rFonts w:ascii="Aptos" w:hAnsi="Aptos"/>
                <w:b/>
                <w:color w:val="FFFFFF"/>
                <w:sz w:val="16"/>
              </w:rPr>
              <w:t>Field</w:t>
            </w:r>
          </w:p>
        </w:tc>
        <w:tc>
          <w:tcPr>
            <w:tcW w:type="dxa" w:w="7488"/>
            <w:shd w:fill="17365D"/>
            <w:vAlign w:val="center"/>
            <w:tcMar>
              <w:top w:w="80" w:type="dxa"/>
              <w:start w:w="90" w:type="dxa"/>
              <w:bottom w:w="80" w:type="dxa"/>
              <w:end w:w="90" w:type="dxa"/>
            </w:tcMar>
          </w:tcPr>
          <w:p>
            <w:r>
              <w:rPr>
                <w:rFonts w:ascii="Aptos" w:hAnsi="Aptos"/>
                <w:b/>
                <w:color w:val="FFFFFF"/>
                <w:sz w:val="16"/>
              </w:rPr>
              <w:t>Requirement</w:t>
            </w:r>
          </w:p>
        </w:tc>
      </w:tr>
      <w:tr>
        <w:tc>
          <w:tcPr>
            <w:tcW w:type="dxa" w:w="2880"/>
            <w:tcMar>
              <w:top w:w="80" w:type="dxa"/>
              <w:start w:w="90" w:type="dxa"/>
              <w:bottom w:w="80" w:type="dxa"/>
              <w:end w:w="90" w:type="dxa"/>
            </w:tcMar>
            <w:vAlign w:val="top"/>
          </w:tcPr>
          <w:p>
            <w:r>
              <w:rPr>
                <w:rFonts w:ascii="Aptos" w:hAnsi="Aptos"/>
                <w:b w:val="0"/>
                <w:sz w:val="16"/>
              </w:rPr>
              <w:t>Risk ID</w:t>
            </w:r>
          </w:p>
        </w:tc>
        <w:tc>
          <w:tcPr>
            <w:tcW w:type="dxa" w:w="7488"/>
            <w:tcMar>
              <w:top w:w="80" w:type="dxa"/>
              <w:start w:w="90" w:type="dxa"/>
              <w:bottom w:w="80" w:type="dxa"/>
              <w:end w:w="90" w:type="dxa"/>
            </w:tcMar>
            <w:vAlign w:val="top"/>
          </w:tcPr>
          <w:p>
            <w:r>
              <w:rPr>
                <w:rFonts w:ascii="Aptos" w:hAnsi="Aptos"/>
                <w:b w:val="0"/>
                <w:sz w:val="16"/>
              </w:rPr>
              <w:t>Unique identifier and risk category</w:t>
            </w:r>
          </w:p>
        </w:tc>
      </w:tr>
      <w:tr>
        <w:tc>
          <w:tcPr>
            <w:tcW w:type="dxa" w:w="2880"/>
            <w:tcMar>
              <w:top w:w="80" w:type="dxa"/>
              <w:start w:w="90" w:type="dxa"/>
              <w:bottom w:w="80" w:type="dxa"/>
              <w:end w:w="90" w:type="dxa"/>
            </w:tcMar>
            <w:vAlign w:val="top"/>
            <w:shd w:fill="F7FAFC"/>
          </w:tcPr>
          <w:p>
            <w:r>
              <w:rPr>
                <w:rFonts w:ascii="Aptos" w:hAnsi="Aptos"/>
                <w:b w:val="0"/>
                <w:sz w:val="16"/>
              </w:rPr>
              <w:t>Risk statement</w:t>
            </w:r>
          </w:p>
        </w:tc>
        <w:tc>
          <w:tcPr>
            <w:tcW w:type="dxa" w:w="7488"/>
            <w:tcMar>
              <w:top w:w="80" w:type="dxa"/>
              <w:start w:w="90" w:type="dxa"/>
              <w:bottom w:w="80" w:type="dxa"/>
              <w:end w:w="90" w:type="dxa"/>
            </w:tcMar>
            <w:vAlign w:val="top"/>
            <w:shd w:fill="F7FAFC"/>
          </w:tcPr>
          <w:p>
            <w:r>
              <w:rPr>
                <w:rFonts w:ascii="Aptos" w:hAnsi="Aptos"/>
                <w:b w:val="0"/>
                <w:sz w:val="16"/>
              </w:rPr>
              <w:t>Cause-event-impact formulation</w:t>
            </w:r>
          </w:p>
        </w:tc>
      </w:tr>
      <w:tr>
        <w:tc>
          <w:tcPr>
            <w:tcW w:type="dxa" w:w="2880"/>
            <w:tcMar>
              <w:top w:w="80" w:type="dxa"/>
              <w:start w:w="90" w:type="dxa"/>
              <w:bottom w:w="80" w:type="dxa"/>
              <w:end w:w="90" w:type="dxa"/>
            </w:tcMar>
            <w:vAlign w:val="top"/>
          </w:tcPr>
          <w:p>
            <w:r>
              <w:rPr>
                <w:rFonts w:ascii="Aptos" w:hAnsi="Aptos"/>
                <w:b w:val="0"/>
                <w:sz w:val="16"/>
              </w:rPr>
              <w:t>Inherent rating</w:t>
            </w:r>
          </w:p>
        </w:tc>
        <w:tc>
          <w:tcPr>
            <w:tcW w:type="dxa" w:w="7488"/>
            <w:tcMar>
              <w:top w:w="80" w:type="dxa"/>
              <w:start w:w="90" w:type="dxa"/>
              <w:bottom w:w="80" w:type="dxa"/>
              <w:end w:w="90" w:type="dxa"/>
            </w:tcMar>
            <w:vAlign w:val="top"/>
          </w:tcPr>
          <w:p>
            <w:r>
              <w:rPr>
                <w:rFonts w:ascii="Aptos" w:hAnsi="Aptos"/>
                <w:b w:val="0"/>
                <w:sz w:val="16"/>
              </w:rPr>
              <w:t>Likelihood and impact before controls</w:t>
            </w:r>
          </w:p>
        </w:tc>
      </w:tr>
      <w:tr>
        <w:tc>
          <w:tcPr>
            <w:tcW w:type="dxa" w:w="2880"/>
            <w:tcMar>
              <w:top w:w="80" w:type="dxa"/>
              <w:start w:w="90" w:type="dxa"/>
              <w:bottom w:w="80" w:type="dxa"/>
              <w:end w:w="90" w:type="dxa"/>
            </w:tcMar>
            <w:vAlign w:val="top"/>
            <w:shd w:fill="F7FAFC"/>
          </w:tcPr>
          <w:p>
            <w:r>
              <w:rPr>
                <w:rFonts w:ascii="Aptos" w:hAnsi="Aptos"/>
                <w:b w:val="0"/>
                <w:sz w:val="16"/>
              </w:rPr>
              <w:t>Key controls</w:t>
            </w:r>
          </w:p>
        </w:tc>
        <w:tc>
          <w:tcPr>
            <w:tcW w:type="dxa" w:w="7488"/>
            <w:tcMar>
              <w:top w:w="80" w:type="dxa"/>
              <w:start w:w="90" w:type="dxa"/>
              <w:bottom w:w="80" w:type="dxa"/>
              <w:end w:w="90" w:type="dxa"/>
            </w:tcMar>
            <w:vAlign w:val="top"/>
            <w:shd w:fill="F7FAFC"/>
          </w:tcPr>
          <w:p>
            <w:r>
              <w:rPr>
                <w:rFonts w:ascii="Aptos" w:hAnsi="Aptos"/>
                <w:b w:val="0"/>
                <w:sz w:val="16"/>
              </w:rPr>
              <w:t>Named preventive/detective/corrective controls</w:t>
            </w:r>
          </w:p>
        </w:tc>
      </w:tr>
      <w:tr>
        <w:tc>
          <w:tcPr>
            <w:tcW w:type="dxa" w:w="2880"/>
            <w:tcMar>
              <w:top w:w="80" w:type="dxa"/>
              <w:start w:w="90" w:type="dxa"/>
              <w:bottom w:w="80" w:type="dxa"/>
              <w:end w:w="90" w:type="dxa"/>
            </w:tcMar>
            <w:vAlign w:val="top"/>
          </w:tcPr>
          <w:p>
            <w:r>
              <w:rPr>
                <w:rFonts w:ascii="Aptos" w:hAnsi="Aptos"/>
                <w:b w:val="0"/>
                <w:sz w:val="16"/>
              </w:rPr>
              <w:t>Control effectiveness</w:t>
            </w:r>
          </w:p>
        </w:tc>
        <w:tc>
          <w:tcPr>
            <w:tcW w:type="dxa" w:w="7488"/>
            <w:tcMar>
              <w:top w:w="80" w:type="dxa"/>
              <w:start w:w="90" w:type="dxa"/>
              <w:bottom w:w="80" w:type="dxa"/>
              <w:end w:w="90" w:type="dxa"/>
            </w:tcMar>
            <w:vAlign w:val="top"/>
          </w:tcPr>
          <w:p>
            <w:r>
              <w:rPr>
                <w:rFonts w:ascii="Aptos" w:hAnsi="Aptos"/>
                <w:b w:val="0"/>
                <w:sz w:val="16"/>
              </w:rPr>
              <w:t>Design and operation conclusion with evidence</w:t>
            </w:r>
          </w:p>
        </w:tc>
      </w:tr>
      <w:tr>
        <w:tc>
          <w:tcPr>
            <w:tcW w:type="dxa" w:w="2880"/>
            <w:tcMar>
              <w:top w:w="80" w:type="dxa"/>
              <w:start w:w="90" w:type="dxa"/>
              <w:bottom w:w="80" w:type="dxa"/>
              <w:end w:w="90" w:type="dxa"/>
            </w:tcMar>
            <w:vAlign w:val="top"/>
            <w:shd w:fill="F7FAFC"/>
          </w:tcPr>
          <w:p>
            <w:r>
              <w:rPr>
                <w:rFonts w:ascii="Aptos" w:hAnsi="Aptos"/>
                <w:b w:val="0"/>
                <w:sz w:val="16"/>
              </w:rPr>
              <w:t>Residual rating</w:t>
            </w:r>
          </w:p>
        </w:tc>
        <w:tc>
          <w:tcPr>
            <w:tcW w:type="dxa" w:w="7488"/>
            <w:tcMar>
              <w:top w:w="80" w:type="dxa"/>
              <w:start w:w="90" w:type="dxa"/>
              <w:bottom w:w="80" w:type="dxa"/>
              <w:end w:w="90" w:type="dxa"/>
            </w:tcMar>
            <w:vAlign w:val="top"/>
            <w:shd w:fill="F7FAFC"/>
          </w:tcPr>
          <w:p>
            <w:r>
              <w:rPr>
                <w:rFonts w:ascii="Aptos" w:hAnsi="Aptos"/>
                <w:b w:val="0"/>
                <w:sz w:val="16"/>
              </w:rPr>
              <w:t>Post-control likelihood/impact</w:t>
            </w:r>
          </w:p>
        </w:tc>
      </w:tr>
      <w:tr>
        <w:tc>
          <w:tcPr>
            <w:tcW w:type="dxa" w:w="2880"/>
            <w:tcMar>
              <w:top w:w="80" w:type="dxa"/>
              <w:start w:w="90" w:type="dxa"/>
              <w:bottom w:w="80" w:type="dxa"/>
              <w:end w:w="90" w:type="dxa"/>
            </w:tcMar>
            <w:vAlign w:val="top"/>
          </w:tcPr>
          <w:p>
            <w:r>
              <w:rPr>
                <w:rFonts w:ascii="Aptos" w:hAnsi="Aptos"/>
                <w:b w:val="0"/>
                <w:sz w:val="16"/>
              </w:rPr>
              <w:t>Appetite status</w:t>
            </w:r>
          </w:p>
        </w:tc>
        <w:tc>
          <w:tcPr>
            <w:tcW w:type="dxa" w:w="7488"/>
            <w:tcMar>
              <w:top w:w="80" w:type="dxa"/>
              <w:start w:w="90" w:type="dxa"/>
              <w:bottom w:w="80" w:type="dxa"/>
              <w:end w:w="90" w:type="dxa"/>
            </w:tcMar>
            <w:vAlign w:val="top"/>
          </w:tcPr>
          <w:p>
            <w:r>
              <w:rPr>
                <w:rFonts w:ascii="Aptos" w:hAnsi="Aptos"/>
                <w:b w:val="0"/>
                <w:sz w:val="16"/>
              </w:rPr>
              <w:t>Within, early warning, breach or accepted temporary excess</w:t>
            </w:r>
          </w:p>
        </w:tc>
      </w:tr>
      <w:tr>
        <w:tc>
          <w:tcPr>
            <w:tcW w:type="dxa" w:w="2880"/>
            <w:tcMar>
              <w:top w:w="80" w:type="dxa"/>
              <w:start w:w="90" w:type="dxa"/>
              <w:bottom w:w="80" w:type="dxa"/>
              <w:end w:w="90" w:type="dxa"/>
            </w:tcMar>
            <w:vAlign w:val="top"/>
            <w:shd w:fill="F7FAFC"/>
          </w:tcPr>
          <w:p>
            <w:r>
              <w:rPr>
                <w:rFonts w:ascii="Aptos" w:hAnsi="Aptos"/>
                <w:b w:val="0"/>
                <w:sz w:val="16"/>
              </w:rPr>
              <w:t>Owner / action</w:t>
            </w:r>
          </w:p>
        </w:tc>
        <w:tc>
          <w:tcPr>
            <w:tcW w:type="dxa" w:w="7488"/>
            <w:tcMar>
              <w:top w:w="80" w:type="dxa"/>
              <w:start w:w="90" w:type="dxa"/>
              <w:bottom w:w="80" w:type="dxa"/>
              <w:end w:w="90" w:type="dxa"/>
            </w:tcMar>
            <w:vAlign w:val="top"/>
            <w:shd w:fill="F7FAFC"/>
          </w:tcPr>
          <w:p>
            <w:r>
              <w:rPr>
                <w:rFonts w:ascii="Aptos" w:hAnsi="Aptos"/>
                <w:b w:val="0"/>
                <w:sz w:val="16"/>
              </w:rPr>
              <w:t>Accountable executive/manager and remediation</w:t>
            </w:r>
          </w:p>
        </w:tc>
      </w:tr>
      <w:tr>
        <w:tc>
          <w:tcPr>
            <w:tcW w:type="dxa" w:w="2880"/>
            <w:tcMar>
              <w:top w:w="80" w:type="dxa"/>
              <w:start w:w="90" w:type="dxa"/>
              <w:bottom w:w="80" w:type="dxa"/>
              <w:end w:w="90" w:type="dxa"/>
            </w:tcMar>
            <w:vAlign w:val="top"/>
          </w:tcPr>
          <w:p>
            <w:r>
              <w:rPr>
                <w:rFonts w:ascii="Aptos" w:hAnsi="Aptos"/>
                <w:b w:val="0"/>
                <w:sz w:val="16"/>
              </w:rPr>
              <w:t>Review date</w:t>
            </w:r>
          </w:p>
        </w:tc>
        <w:tc>
          <w:tcPr>
            <w:tcW w:type="dxa" w:w="7488"/>
            <w:tcMar>
              <w:top w:w="80" w:type="dxa"/>
              <w:start w:w="90" w:type="dxa"/>
              <w:bottom w:w="80" w:type="dxa"/>
              <w:end w:w="90" w:type="dxa"/>
            </w:tcMar>
            <w:vAlign w:val="top"/>
          </w:tcPr>
          <w:p>
            <w:r>
              <w:rPr>
                <w:rFonts w:ascii="Aptos" w:hAnsi="Aptos"/>
                <w:b w:val="0"/>
                <w:sz w:val="16"/>
              </w:rPr>
              <w:t>Risk-based review or trigger date</w:t>
            </w:r>
          </w:p>
        </w:tc>
      </w:tr>
    </w:tbl>
    <w:p/>
    <w:p>
      <w:r>
        <w:br w:type="page"/>
      </w:r>
    </w:p>
    <w:p>
      <w:pPr>
        <w:pStyle w:val="Heading1"/>
      </w:pPr>
      <w:r>
        <w:t>Appendix C — Enterprise Escalation Guide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vAlign w:val="center"/>
            <w:tcMar>
              <w:top w:w="80" w:type="dxa"/>
              <w:start w:w="90" w:type="dxa"/>
              <w:bottom w:w="80" w:type="dxa"/>
              <w:end w:w="90" w:type="dxa"/>
            </w:tcMar>
          </w:tcPr>
          <w:p>
            <w:r>
              <w:rPr>
                <w:rFonts w:ascii="Aptos" w:hAnsi="Aptos"/>
                <w:b/>
                <w:color w:val="FFFFFF"/>
                <w:sz w:val="16"/>
              </w:rPr>
              <w:t>Event</w:t>
            </w:r>
          </w:p>
        </w:tc>
        <w:tc>
          <w:tcPr>
            <w:tcW w:type="dxa" w:w="3024"/>
            <w:shd w:fill="17365D"/>
            <w:vAlign w:val="center"/>
            <w:tcMar>
              <w:top w:w="80" w:type="dxa"/>
              <w:start w:w="90" w:type="dxa"/>
              <w:bottom w:w="80" w:type="dxa"/>
              <w:end w:w="90" w:type="dxa"/>
            </w:tcMar>
          </w:tcPr>
          <w:p>
            <w:r>
              <w:rPr>
                <w:rFonts w:ascii="Aptos" w:hAnsi="Aptos"/>
                <w:b/>
                <w:color w:val="FFFFFF"/>
                <w:sz w:val="16"/>
              </w:rPr>
              <w:t>Immediate Owner</w:t>
            </w:r>
          </w:p>
        </w:tc>
        <w:tc>
          <w:tcPr>
            <w:tcW w:type="dxa" w:w="3888"/>
            <w:shd w:fill="17365D"/>
            <w:vAlign w:val="center"/>
            <w:tcMar>
              <w:top w:w="80" w:type="dxa"/>
              <w:start w:w="90" w:type="dxa"/>
              <w:bottom w:w="80" w:type="dxa"/>
              <w:end w:w="90" w:type="dxa"/>
            </w:tcMar>
          </w:tcPr>
          <w:p>
            <w:r>
              <w:rPr>
                <w:rFonts w:ascii="Aptos" w:hAnsi="Aptos"/>
                <w:b/>
                <w:color w:val="FFFFFF"/>
                <w:sz w:val="16"/>
              </w:rPr>
              <w:t>Escalation</w:t>
            </w:r>
          </w:p>
        </w:tc>
      </w:tr>
      <w:tr>
        <w:tc>
          <w:tcPr>
            <w:tcW w:type="dxa" w:w="3456"/>
            <w:tcMar>
              <w:top w:w="80" w:type="dxa"/>
              <w:start w:w="90" w:type="dxa"/>
              <w:bottom w:w="80" w:type="dxa"/>
              <w:end w:w="90" w:type="dxa"/>
            </w:tcMar>
            <w:vAlign w:val="top"/>
          </w:tcPr>
          <w:p>
            <w:r>
              <w:rPr>
                <w:rFonts w:ascii="Aptos" w:hAnsi="Aptos"/>
                <w:b w:val="0"/>
                <w:sz w:val="16"/>
              </w:rPr>
              <w:t>Severe residual risk</w:t>
            </w:r>
          </w:p>
        </w:tc>
        <w:tc>
          <w:tcPr>
            <w:tcW w:type="dxa" w:w="3024"/>
            <w:tcMar>
              <w:top w:w="80" w:type="dxa"/>
              <w:start w:w="90" w:type="dxa"/>
              <w:bottom w:w="80" w:type="dxa"/>
              <w:end w:w="90" w:type="dxa"/>
            </w:tcMar>
            <w:vAlign w:val="top"/>
          </w:tcPr>
          <w:p>
            <w:r>
              <w:rPr>
                <w:rFonts w:ascii="Aptos" w:hAnsi="Aptos"/>
                <w:b w:val="0"/>
                <w:sz w:val="16"/>
              </w:rPr>
              <w:t>Risk owner</w:t>
            </w:r>
          </w:p>
        </w:tc>
        <w:tc>
          <w:tcPr>
            <w:tcW w:type="dxa" w:w="3888"/>
            <w:tcMar>
              <w:top w:w="80" w:type="dxa"/>
              <w:start w:w="90" w:type="dxa"/>
              <w:bottom w:w="80" w:type="dxa"/>
              <w:end w:w="90" w:type="dxa"/>
            </w:tcMar>
            <w:vAlign w:val="top"/>
          </w:tcPr>
          <w:p>
            <w:r>
              <w:rPr>
                <w:rFonts w:ascii="Aptos" w:hAnsi="Aptos"/>
                <w:b w:val="0"/>
                <w:sz w:val="16"/>
              </w:rPr>
              <w:t>CRO + CEO; Board Risk Committee as applicable</w:t>
            </w:r>
          </w:p>
        </w:tc>
      </w:tr>
      <w:tr>
        <w:tc>
          <w:tcPr>
            <w:tcW w:type="dxa" w:w="3456"/>
            <w:tcMar>
              <w:top w:w="80" w:type="dxa"/>
              <w:start w:w="90" w:type="dxa"/>
              <w:bottom w:w="80" w:type="dxa"/>
              <w:end w:w="90" w:type="dxa"/>
            </w:tcMar>
            <w:vAlign w:val="top"/>
            <w:shd w:fill="F7FAFC"/>
          </w:tcPr>
          <w:p>
            <w:r>
              <w:rPr>
                <w:rFonts w:ascii="Aptos" w:hAnsi="Aptos"/>
                <w:b w:val="0"/>
                <w:sz w:val="16"/>
              </w:rPr>
              <w:t>Material appetite breach</w:t>
            </w:r>
          </w:p>
        </w:tc>
        <w:tc>
          <w:tcPr>
            <w:tcW w:type="dxa" w:w="3024"/>
            <w:tcMar>
              <w:top w:w="80" w:type="dxa"/>
              <w:start w:w="90" w:type="dxa"/>
              <w:bottom w:w="80" w:type="dxa"/>
              <w:end w:w="90" w:type="dxa"/>
            </w:tcMar>
            <w:vAlign w:val="top"/>
            <w:shd w:fill="F7FAFC"/>
          </w:tcPr>
          <w:p>
            <w:r>
              <w:rPr>
                <w:rFonts w:ascii="Aptos" w:hAnsi="Aptos"/>
                <w:b w:val="0"/>
                <w:sz w:val="16"/>
              </w:rPr>
              <w:t>Metric owner</w:t>
            </w:r>
          </w:p>
        </w:tc>
        <w:tc>
          <w:tcPr>
            <w:tcW w:type="dxa" w:w="3888"/>
            <w:tcMar>
              <w:top w:w="80" w:type="dxa"/>
              <w:start w:w="90" w:type="dxa"/>
              <w:bottom w:w="80" w:type="dxa"/>
              <w:end w:w="90" w:type="dxa"/>
            </w:tcMar>
            <w:vAlign w:val="top"/>
            <w:shd w:fill="F7FAFC"/>
          </w:tcPr>
          <w:p>
            <w:r>
              <w:rPr>
                <w:rFonts w:ascii="Aptos" w:hAnsi="Aptos"/>
                <w:b w:val="0"/>
                <w:sz w:val="16"/>
              </w:rPr>
              <w:t>CRO and relevant committee; Board reporting per RAS-009</w:t>
            </w:r>
          </w:p>
        </w:tc>
      </w:tr>
      <w:tr>
        <w:tc>
          <w:tcPr>
            <w:tcW w:type="dxa" w:w="3456"/>
            <w:tcMar>
              <w:top w:w="80" w:type="dxa"/>
              <w:start w:w="90" w:type="dxa"/>
              <w:bottom w:w="80" w:type="dxa"/>
              <w:end w:w="90" w:type="dxa"/>
            </w:tcMar>
            <w:vAlign w:val="top"/>
          </w:tcPr>
          <w:p>
            <w:r>
              <w:rPr>
                <w:rFonts w:ascii="Aptos" w:hAnsi="Aptos"/>
                <w:b w:val="0"/>
                <w:sz w:val="16"/>
              </w:rPr>
              <w:t>Unauthorized credit authority</w:t>
            </w:r>
          </w:p>
        </w:tc>
        <w:tc>
          <w:tcPr>
            <w:tcW w:type="dxa" w:w="3024"/>
            <w:tcMar>
              <w:top w:w="80" w:type="dxa"/>
              <w:start w:w="90" w:type="dxa"/>
              <w:bottom w:w="80" w:type="dxa"/>
              <w:end w:w="90" w:type="dxa"/>
            </w:tcMar>
            <w:vAlign w:val="top"/>
          </w:tcPr>
          <w:p>
            <w:r>
              <w:rPr>
                <w:rFonts w:ascii="Aptos" w:hAnsi="Aptos"/>
                <w:b w:val="0"/>
                <w:sz w:val="16"/>
              </w:rPr>
              <w:t>Credit/Operations</w:t>
            </w:r>
          </w:p>
        </w:tc>
        <w:tc>
          <w:tcPr>
            <w:tcW w:type="dxa" w:w="3888"/>
            <w:tcMar>
              <w:top w:w="80" w:type="dxa"/>
              <w:start w:w="90" w:type="dxa"/>
              <w:bottom w:w="80" w:type="dxa"/>
              <w:end w:w="90" w:type="dxa"/>
            </w:tcMar>
            <w:vAlign w:val="top"/>
          </w:tcPr>
          <w:p>
            <w:r>
              <w:rPr>
                <w:rFonts w:ascii="Aptos" w:hAnsi="Aptos"/>
                <w:b w:val="0"/>
                <w:sz w:val="16"/>
              </w:rPr>
              <w:t>Credit Risk + CRO; breach remediation</w:t>
            </w:r>
          </w:p>
        </w:tc>
      </w:tr>
      <w:tr>
        <w:tc>
          <w:tcPr>
            <w:tcW w:type="dxa" w:w="3456"/>
            <w:tcMar>
              <w:top w:w="80" w:type="dxa"/>
              <w:start w:w="90" w:type="dxa"/>
              <w:bottom w:w="80" w:type="dxa"/>
              <w:end w:w="90" w:type="dxa"/>
            </w:tcMar>
            <w:vAlign w:val="top"/>
            <w:shd w:fill="F7FAFC"/>
          </w:tcPr>
          <w:p>
            <w:r>
              <w:rPr>
                <w:rFonts w:ascii="Aptos" w:hAnsi="Aptos"/>
                <w:b w:val="0"/>
                <w:sz w:val="16"/>
              </w:rPr>
              <w:t>Material KYC/AML control failure</w:t>
            </w:r>
          </w:p>
        </w:tc>
        <w:tc>
          <w:tcPr>
            <w:tcW w:type="dxa" w:w="3024"/>
            <w:tcMar>
              <w:top w:w="80" w:type="dxa"/>
              <w:start w:w="90" w:type="dxa"/>
              <w:bottom w:w="80" w:type="dxa"/>
              <w:end w:w="90" w:type="dxa"/>
            </w:tcMar>
            <w:vAlign w:val="top"/>
            <w:shd w:fill="F7FAFC"/>
          </w:tcPr>
          <w:p>
            <w:r>
              <w:rPr>
                <w:rFonts w:ascii="Aptos" w:hAnsi="Aptos"/>
                <w:b w:val="0"/>
                <w:sz w:val="16"/>
              </w:rPr>
              <w:t>Financial Crime owner</w:t>
            </w:r>
          </w:p>
        </w:tc>
        <w:tc>
          <w:tcPr>
            <w:tcW w:type="dxa" w:w="3888"/>
            <w:tcMar>
              <w:top w:w="80" w:type="dxa"/>
              <w:start w:w="90" w:type="dxa"/>
              <w:bottom w:w="80" w:type="dxa"/>
              <w:end w:w="90" w:type="dxa"/>
            </w:tcMar>
            <w:vAlign w:val="top"/>
            <w:shd w:fill="F7FAFC"/>
          </w:tcPr>
          <w:p>
            <w:r>
              <w:rPr>
                <w:rFonts w:ascii="Aptos" w:hAnsi="Aptos"/>
                <w:b w:val="0"/>
                <w:sz w:val="16"/>
              </w:rPr>
              <w:t>Chief AML Officer / Chief Compliance Officer + Enterprise Risk</w:t>
            </w:r>
          </w:p>
        </w:tc>
      </w:tr>
      <w:tr>
        <w:tc>
          <w:tcPr>
            <w:tcW w:type="dxa" w:w="3456"/>
            <w:tcMar>
              <w:top w:w="80" w:type="dxa"/>
              <w:start w:w="90" w:type="dxa"/>
              <w:bottom w:w="80" w:type="dxa"/>
              <w:end w:w="90" w:type="dxa"/>
            </w:tcMar>
            <w:vAlign w:val="top"/>
          </w:tcPr>
          <w:p>
            <w:r>
              <w:rPr>
                <w:rFonts w:ascii="Aptos" w:hAnsi="Aptos"/>
                <w:b w:val="0"/>
                <w:sz w:val="16"/>
              </w:rPr>
              <w:t>Critical security incident</w:t>
            </w:r>
          </w:p>
        </w:tc>
        <w:tc>
          <w:tcPr>
            <w:tcW w:type="dxa" w:w="3024"/>
            <w:tcMar>
              <w:top w:w="80" w:type="dxa"/>
              <w:start w:w="90" w:type="dxa"/>
              <w:bottom w:w="80" w:type="dxa"/>
              <w:end w:w="90" w:type="dxa"/>
            </w:tcMar>
            <w:vAlign w:val="top"/>
          </w:tcPr>
          <w:p>
            <w:r>
              <w:rPr>
                <w:rFonts w:ascii="Aptos" w:hAnsi="Aptos"/>
                <w:b w:val="0"/>
                <w:sz w:val="16"/>
              </w:rPr>
              <w:t>Technology/Security</w:t>
            </w:r>
          </w:p>
        </w:tc>
        <w:tc>
          <w:tcPr>
            <w:tcW w:type="dxa" w:w="3888"/>
            <w:tcMar>
              <w:top w:w="80" w:type="dxa"/>
              <w:start w:w="90" w:type="dxa"/>
              <w:bottom w:w="80" w:type="dxa"/>
              <w:end w:w="90" w:type="dxa"/>
            </w:tcMar>
            <w:vAlign w:val="top"/>
          </w:tcPr>
          <w:p>
            <w:r>
              <w:rPr>
                <w:rFonts w:ascii="Aptos" w:hAnsi="Aptos"/>
                <w:b w:val="0"/>
                <w:sz w:val="16"/>
              </w:rPr>
              <w:t>CISO + COO/CRO; executive incident governance</w:t>
            </w:r>
          </w:p>
        </w:tc>
      </w:tr>
      <w:tr>
        <w:tc>
          <w:tcPr>
            <w:tcW w:type="dxa" w:w="3456"/>
            <w:tcMar>
              <w:top w:w="80" w:type="dxa"/>
              <w:start w:w="90" w:type="dxa"/>
              <w:bottom w:w="80" w:type="dxa"/>
              <w:end w:w="90" w:type="dxa"/>
            </w:tcMar>
            <w:vAlign w:val="top"/>
            <w:shd w:fill="F7FAFC"/>
          </w:tcPr>
          <w:p>
            <w:r>
              <w:rPr>
                <w:rFonts w:ascii="Aptos" w:hAnsi="Aptos"/>
                <w:b w:val="0"/>
                <w:sz w:val="16"/>
              </w:rPr>
              <w:t>Major vendor failure</w:t>
            </w:r>
          </w:p>
        </w:tc>
        <w:tc>
          <w:tcPr>
            <w:tcW w:type="dxa" w:w="3024"/>
            <w:tcMar>
              <w:top w:w="80" w:type="dxa"/>
              <w:start w:w="90" w:type="dxa"/>
              <w:bottom w:w="80" w:type="dxa"/>
              <w:end w:w="90" w:type="dxa"/>
            </w:tcMar>
            <w:vAlign w:val="top"/>
            <w:shd w:fill="F7FAFC"/>
          </w:tcPr>
          <w:p>
            <w:r>
              <w:rPr>
                <w:rFonts w:ascii="Aptos" w:hAnsi="Aptos"/>
                <w:b w:val="0"/>
                <w:sz w:val="16"/>
              </w:rPr>
              <w:t>Business owner</w:t>
            </w:r>
          </w:p>
        </w:tc>
        <w:tc>
          <w:tcPr>
            <w:tcW w:type="dxa" w:w="3888"/>
            <w:tcMar>
              <w:top w:w="80" w:type="dxa"/>
              <w:start w:w="90" w:type="dxa"/>
              <w:bottom w:w="80" w:type="dxa"/>
              <w:end w:w="90" w:type="dxa"/>
            </w:tcMar>
            <w:vAlign w:val="top"/>
            <w:shd w:fill="F7FAFC"/>
          </w:tcPr>
          <w:p>
            <w:r>
              <w:rPr>
                <w:rFonts w:ascii="Aptos" w:hAnsi="Aptos"/>
                <w:b w:val="0"/>
                <w:sz w:val="16"/>
              </w:rPr>
              <w:t>COO / Enterprise Risk; continuity response</w:t>
            </w:r>
          </w:p>
        </w:tc>
      </w:tr>
    </w:tbl>
    <w:p/>
    <w:p>
      <w:r>
        <w:br w:type="page"/>
      </w:r>
    </w:p>
    <w:p>
      <w:pPr>
        <w:pStyle w:val="Heading1"/>
      </w:pPr>
      <w:r>
        <w:t>Appendix D — Enterprise Risk Taxonomy — Detailed Subcategories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16"/>
            <w:shd w:fill="17365D"/>
            <w:tcMar>
              <w:top w:w="70" w:type="dxa"/>
              <w:start w:w="80" w:type="dxa"/>
              <w:bottom w:w="70" w:type="dxa"/>
              <w:end w:w="80" w:type="dxa"/>
            </w:tcMar>
          </w:tcPr>
          <w:p>
            <w:r>
              <w:rPr>
                <w:rFonts w:ascii="Aptos" w:hAnsi="Aptos"/>
                <w:b/>
                <w:color w:val="FFFFFF"/>
                <w:sz w:val="16"/>
              </w:rPr>
              <w:t>Risk Type</w:t>
            </w:r>
          </w:p>
        </w:tc>
        <w:tc>
          <w:tcPr>
            <w:tcW w:type="dxa" w:w="2880"/>
            <w:shd w:fill="17365D"/>
            <w:tcMar>
              <w:top w:w="70" w:type="dxa"/>
              <w:start w:w="80" w:type="dxa"/>
              <w:bottom w:w="70" w:type="dxa"/>
              <w:end w:w="80" w:type="dxa"/>
            </w:tcMar>
          </w:tcPr>
          <w:p>
            <w:r>
              <w:rPr>
                <w:rFonts w:ascii="Aptos" w:hAnsi="Aptos"/>
                <w:b/>
                <w:color w:val="FFFFFF"/>
                <w:sz w:val="16"/>
              </w:rPr>
              <w:t>Subcategory</w:t>
            </w:r>
          </w:p>
        </w:tc>
        <w:tc>
          <w:tcPr>
            <w:tcW w:type="dxa" w:w="5472"/>
            <w:shd w:fill="17365D"/>
            <w:tcMar>
              <w:top w:w="70" w:type="dxa"/>
              <w:start w:w="80" w:type="dxa"/>
              <w:bottom w:w="70" w:type="dxa"/>
              <w:end w:w="80" w:type="dxa"/>
            </w:tcMar>
          </w:tcPr>
          <w:p>
            <w:r>
              <w:rPr>
                <w:rFonts w:ascii="Aptos" w:hAnsi="Aptos"/>
                <w:b/>
                <w:color w:val="FFFFFF"/>
                <w:sz w:val="16"/>
              </w:rPr>
              <w:t>Internal Description</w:t>
            </w:r>
          </w:p>
        </w:tc>
      </w:tr>
      <w:tr>
        <w:tc>
          <w:tcPr>
            <w:tcW w:type="dxa" w:w="2016"/>
            <w:tcMar>
              <w:top w:w="70" w:type="dxa"/>
              <w:start w:w="80" w:type="dxa"/>
              <w:bottom w:w="70" w:type="dxa"/>
              <w:end w:w="80" w:type="dxa"/>
            </w:tcMar>
            <w:vAlign w:val="top"/>
          </w:tcPr>
          <w:p>
            <w:r>
              <w:rPr>
                <w:rFonts w:ascii="Aptos" w:hAnsi="Aptos"/>
                <w:b w:val="0"/>
                <w:sz w:val="16"/>
              </w:rPr>
              <w:t>Credit</w:t>
            </w:r>
          </w:p>
        </w:tc>
        <w:tc>
          <w:tcPr>
            <w:tcW w:type="dxa" w:w="2880"/>
            <w:tcMar>
              <w:top w:w="70" w:type="dxa"/>
              <w:start w:w="80" w:type="dxa"/>
              <w:bottom w:w="70" w:type="dxa"/>
              <w:end w:w="80" w:type="dxa"/>
            </w:tcMar>
            <w:vAlign w:val="top"/>
          </w:tcPr>
          <w:p>
            <w:r>
              <w:rPr>
                <w:rFonts w:ascii="Aptos" w:hAnsi="Aptos"/>
                <w:b w:val="0"/>
                <w:sz w:val="16"/>
              </w:rPr>
              <w:t>Borrower default</w:t>
            </w:r>
          </w:p>
        </w:tc>
        <w:tc>
          <w:tcPr>
            <w:tcW w:type="dxa" w:w="5472"/>
            <w:tcMar>
              <w:top w:w="70" w:type="dxa"/>
              <w:start w:w="80" w:type="dxa"/>
              <w:bottom w:w="70" w:type="dxa"/>
              <w:end w:w="80" w:type="dxa"/>
            </w:tcMar>
            <w:vAlign w:val="top"/>
          </w:tcPr>
          <w:p>
            <w:r>
              <w:rPr>
                <w:rFonts w:ascii="Aptos" w:hAnsi="Aptos"/>
                <w:b w:val="0"/>
                <w:sz w:val="16"/>
              </w:rPr>
              <w:t>Failure to meet contractual repayment obligations.</w:t>
            </w:r>
          </w:p>
        </w:tc>
      </w:tr>
      <w:tr>
        <w:tc>
          <w:tcPr>
            <w:tcW w:type="dxa" w:w="2016"/>
            <w:tcMar>
              <w:top w:w="70" w:type="dxa"/>
              <w:start w:w="80" w:type="dxa"/>
              <w:bottom w:w="70" w:type="dxa"/>
              <w:end w:w="80" w:type="dxa"/>
            </w:tcMar>
            <w:vAlign w:val="top"/>
            <w:shd w:fill="F7FAFC"/>
          </w:tcPr>
          <w:p>
            <w:r>
              <w:rPr>
                <w:rFonts w:ascii="Aptos" w:hAnsi="Aptos"/>
                <w:b w:val="0"/>
                <w:sz w:val="16"/>
              </w:rPr>
              <w:t>Credit</w:t>
            </w:r>
          </w:p>
        </w:tc>
        <w:tc>
          <w:tcPr>
            <w:tcW w:type="dxa" w:w="2880"/>
            <w:tcMar>
              <w:top w:w="70" w:type="dxa"/>
              <w:start w:w="80" w:type="dxa"/>
              <w:bottom w:w="70" w:type="dxa"/>
              <w:end w:w="80" w:type="dxa"/>
            </w:tcMar>
            <w:vAlign w:val="top"/>
            <w:shd w:fill="F7FAFC"/>
          </w:tcPr>
          <w:p>
            <w:r>
              <w:rPr>
                <w:rFonts w:ascii="Aptos" w:hAnsi="Aptos"/>
                <w:b w:val="0"/>
                <w:sz w:val="16"/>
              </w:rPr>
              <w:t>Affordability</w:t>
            </w:r>
          </w:p>
        </w:tc>
        <w:tc>
          <w:tcPr>
            <w:tcW w:type="dxa" w:w="5472"/>
            <w:tcMar>
              <w:top w:w="70" w:type="dxa"/>
              <w:start w:w="80" w:type="dxa"/>
              <w:bottom w:w="70" w:type="dxa"/>
              <w:end w:w="80" w:type="dxa"/>
            </w:tcMar>
            <w:vAlign w:val="top"/>
            <w:shd w:fill="F7FAFC"/>
          </w:tcPr>
          <w:p>
            <w:r>
              <w:rPr>
                <w:rFonts w:ascii="Aptos" w:hAnsi="Aptos"/>
                <w:b w:val="0"/>
                <w:sz w:val="16"/>
              </w:rPr>
              <w:t>Customer capacity overestimated due income/obligation error.</w:t>
            </w:r>
          </w:p>
        </w:tc>
      </w:tr>
      <w:tr>
        <w:tc>
          <w:tcPr>
            <w:tcW w:type="dxa" w:w="2016"/>
            <w:tcMar>
              <w:top w:w="70" w:type="dxa"/>
              <w:start w:w="80" w:type="dxa"/>
              <w:bottom w:w="70" w:type="dxa"/>
              <w:end w:w="80" w:type="dxa"/>
            </w:tcMar>
            <w:vAlign w:val="top"/>
          </w:tcPr>
          <w:p>
            <w:r>
              <w:rPr>
                <w:rFonts w:ascii="Aptos" w:hAnsi="Aptos"/>
                <w:b w:val="0"/>
                <w:sz w:val="16"/>
              </w:rPr>
              <w:t>Credit</w:t>
            </w:r>
          </w:p>
        </w:tc>
        <w:tc>
          <w:tcPr>
            <w:tcW w:type="dxa" w:w="2880"/>
            <w:tcMar>
              <w:top w:w="70" w:type="dxa"/>
              <w:start w:w="80" w:type="dxa"/>
              <w:bottom w:w="70" w:type="dxa"/>
              <w:end w:w="80" w:type="dxa"/>
            </w:tcMar>
            <w:vAlign w:val="top"/>
          </w:tcPr>
          <w:p>
            <w:r>
              <w:rPr>
                <w:rFonts w:ascii="Aptos" w:hAnsi="Aptos"/>
                <w:b w:val="0"/>
                <w:sz w:val="16"/>
              </w:rPr>
              <w:t>Collateral</w:t>
            </w:r>
          </w:p>
        </w:tc>
        <w:tc>
          <w:tcPr>
            <w:tcW w:type="dxa" w:w="5472"/>
            <w:tcMar>
              <w:top w:w="70" w:type="dxa"/>
              <w:start w:w="80" w:type="dxa"/>
              <w:bottom w:w="70" w:type="dxa"/>
              <w:end w:w="80" w:type="dxa"/>
            </w:tcMar>
            <w:vAlign w:val="top"/>
          </w:tcPr>
          <w:p>
            <w:r>
              <w:rPr>
                <w:rFonts w:ascii="Aptos" w:hAnsi="Aptos"/>
                <w:b w:val="0"/>
                <w:sz w:val="16"/>
              </w:rPr>
              <w:t>Valuation, enforceability or recovery shortfall.</w:t>
            </w:r>
          </w:p>
        </w:tc>
      </w:tr>
      <w:tr>
        <w:tc>
          <w:tcPr>
            <w:tcW w:type="dxa" w:w="2016"/>
            <w:tcMar>
              <w:top w:w="70" w:type="dxa"/>
              <w:start w:w="80" w:type="dxa"/>
              <w:bottom w:w="70" w:type="dxa"/>
              <w:end w:w="80" w:type="dxa"/>
            </w:tcMar>
            <w:vAlign w:val="top"/>
            <w:shd w:fill="F7FAFC"/>
          </w:tcPr>
          <w:p>
            <w:r>
              <w:rPr>
                <w:rFonts w:ascii="Aptos" w:hAnsi="Aptos"/>
                <w:b w:val="0"/>
                <w:sz w:val="16"/>
              </w:rPr>
              <w:t>Credit</w:t>
            </w:r>
          </w:p>
        </w:tc>
        <w:tc>
          <w:tcPr>
            <w:tcW w:type="dxa" w:w="2880"/>
            <w:tcMar>
              <w:top w:w="70" w:type="dxa"/>
              <w:start w:w="80" w:type="dxa"/>
              <w:bottom w:w="70" w:type="dxa"/>
              <w:end w:w="80" w:type="dxa"/>
            </w:tcMar>
            <w:vAlign w:val="top"/>
            <w:shd w:fill="F7FAFC"/>
          </w:tcPr>
          <w:p>
            <w:r>
              <w:rPr>
                <w:rFonts w:ascii="Aptos" w:hAnsi="Aptos"/>
                <w:b w:val="0"/>
                <w:sz w:val="16"/>
              </w:rPr>
              <w:t>Concentration</w:t>
            </w:r>
          </w:p>
        </w:tc>
        <w:tc>
          <w:tcPr>
            <w:tcW w:type="dxa" w:w="5472"/>
            <w:tcMar>
              <w:top w:w="70" w:type="dxa"/>
              <w:start w:w="80" w:type="dxa"/>
              <w:bottom w:w="70" w:type="dxa"/>
              <w:end w:w="80" w:type="dxa"/>
            </w:tcMar>
            <w:vAlign w:val="top"/>
            <w:shd w:fill="F7FAFC"/>
          </w:tcPr>
          <w:p>
            <w:r>
              <w:rPr>
                <w:rFonts w:ascii="Aptos" w:hAnsi="Aptos"/>
                <w:b w:val="0"/>
                <w:sz w:val="16"/>
              </w:rPr>
              <w:t>Excess exposure to product, geography, industry, sourcing partner or group.</w:t>
            </w:r>
          </w:p>
        </w:tc>
      </w:tr>
      <w:tr>
        <w:tc>
          <w:tcPr>
            <w:tcW w:type="dxa" w:w="2016"/>
            <w:tcMar>
              <w:top w:w="70" w:type="dxa"/>
              <w:start w:w="80" w:type="dxa"/>
              <w:bottom w:w="70" w:type="dxa"/>
              <w:end w:w="80" w:type="dxa"/>
            </w:tcMar>
            <w:vAlign w:val="top"/>
          </w:tcPr>
          <w:p>
            <w:r>
              <w:rPr>
                <w:rFonts w:ascii="Aptos" w:hAnsi="Aptos"/>
                <w:b w:val="0"/>
                <w:sz w:val="16"/>
              </w:rPr>
              <w:t>Credit</w:t>
            </w:r>
          </w:p>
        </w:tc>
        <w:tc>
          <w:tcPr>
            <w:tcW w:type="dxa" w:w="2880"/>
            <w:tcMar>
              <w:top w:w="70" w:type="dxa"/>
              <w:start w:w="80" w:type="dxa"/>
              <w:bottom w:w="70" w:type="dxa"/>
              <w:end w:w="80" w:type="dxa"/>
            </w:tcMar>
            <w:vAlign w:val="top"/>
          </w:tcPr>
          <w:p>
            <w:r>
              <w:rPr>
                <w:rFonts w:ascii="Aptos" w:hAnsi="Aptos"/>
                <w:b w:val="0"/>
                <w:sz w:val="16"/>
              </w:rPr>
              <w:t>Counterparty</w:t>
            </w:r>
          </w:p>
        </w:tc>
        <w:tc>
          <w:tcPr>
            <w:tcW w:type="dxa" w:w="5472"/>
            <w:tcMar>
              <w:top w:w="70" w:type="dxa"/>
              <w:start w:w="80" w:type="dxa"/>
              <w:bottom w:w="70" w:type="dxa"/>
              <w:end w:w="80" w:type="dxa"/>
            </w:tcMar>
            <w:vAlign w:val="top"/>
          </w:tcPr>
          <w:p>
            <w:r>
              <w:rPr>
                <w:rFonts w:ascii="Aptos" w:hAnsi="Aptos"/>
                <w:b w:val="0"/>
                <w:sz w:val="16"/>
              </w:rPr>
              <w:t>Financial institution/vendor counterparty fails to perform.</w:t>
            </w:r>
          </w:p>
        </w:tc>
      </w:tr>
      <w:tr>
        <w:tc>
          <w:tcPr>
            <w:tcW w:type="dxa" w:w="2016"/>
            <w:tcMar>
              <w:top w:w="70" w:type="dxa"/>
              <w:start w:w="80" w:type="dxa"/>
              <w:bottom w:w="70" w:type="dxa"/>
              <w:end w:w="80" w:type="dxa"/>
            </w:tcMar>
            <w:vAlign w:val="top"/>
            <w:shd w:fill="F7FAFC"/>
          </w:tcPr>
          <w:p>
            <w:r>
              <w:rPr>
                <w:rFonts w:ascii="Aptos" w:hAnsi="Aptos"/>
                <w:b w:val="0"/>
                <w:sz w:val="16"/>
              </w:rPr>
              <w:t>Market</w:t>
            </w:r>
          </w:p>
        </w:tc>
        <w:tc>
          <w:tcPr>
            <w:tcW w:type="dxa" w:w="2880"/>
            <w:tcMar>
              <w:top w:w="70" w:type="dxa"/>
              <w:start w:w="80" w:type="dxa"/>
              <w:bottom w:w="70" w:type="dxa"/>
              <w:end w:w="80" w:type="dxa"/>
            </w:tcMar>
            <w:vAlign w:val="top"/>
            <w:shd w:fill="F7FAFC"/>
          </w:tcPr>
          <w:p>
            <w:r>
              <w:rPr>
                <w:rFonts w:ascii="Aptos" w:hAnsi="Aptos"/>
                <w:b w:val="0"/>
                <w:sz w:val="16"/>
              </w:rPr>
              <w:t>Interest-rate</w:t>
            </w:r>
          </w:p>
        </w:tc>
        <w:tc>
          <w:tcPr>
            <w:tcW w:type="dxa" w:w="5472"/>
            <w:tcMar>
              <w:top w:w="70" w:type="dxa"/>
              <w:start w:w="80" w:type="dxa"/>
              <w:bottom w:w="70" w:type="dxa"/>
              <w:end w:w="80" w:type="dxa"/>
            </w:tcMar>
            <w:vAlign w:val="top"/>
            <w:shd w:fill="F7FAFC"/>
          </w:tcPr>
          <w:p>
            <w:r>
              <w:rPr>
                <w:rFonts w:ascii="Aptos" w:hAnsi="Aptos"/>
                <w:b w:val="0"/>
                <w:sz w:val="16"/>
              </w:rPr>
              <w:t>Adverse rate movement affects valuation/income.</w:t>
            </w:r>
          </w:p>
        </w:tc>
      </w:tr>
      <w:tr>
        <w:tc>
          <w:tcPr>
            <w:tcW w:type="dxa" w:w="2016"/>
            <w:tcMar>
              <w:top w:w="70" w:type="dxa"/>
              <w:start w:w="80" w:type="dxa"/>
              <w:bottom w:w="70" w:type="dxa"/>
              <w:end w:w="80" w:type="dxa"/>
            </w:tcMar>
            <w:vAlign w:val="top"/>
          </w:tcPr>
          <w:p>
            <w:r>
              <w:rPr>
                <w:rFonts w:ascii="Aptos" w:hAnsi="Aptos"/>
                <w:b w:val="0"/>
                <w:sz w:val="16"/>
              </w:rPr>
              <w:t>Market</w:t>
            </w:r>
          </w:p>
        </w:tc>
        <w:tc>
          <w:tcPr>
            <w:tcW w:type="dxa" w:w="2880"/>
            <w:tcMar>
              <w:top w:w="70" w:type="dxa"/>
              <w:start w:w="80" w:type="dxa"/>
              <w:bottom w:w="70" w:type="dxa"/>
              <w:end w:w="80" w:type="dxa"/>
            </w:tcMar>
            <w:vAlign w:val="top"/>
          </w:tcPr>
          <w:p>
            <w:r>
              <w:rPr>
                <w:rFonts w:ascii="Aptos" w:hAnsi="Aptos"/>
                <w:b w:val="0"/>
                <w:sz w:val="16"/>
              </w:rPr>
              <w:t>Credit-spread</w:t>
            </w:r>
          </w:p>
        </w:tc>
        <w:tc>
          <w:tcPr>
            <w:tcW w:type="dxa" w:w="5472"/>
            <w:tcMar>
              <w:top w:w="70" w:type="dxa"/>
              <w:start w:w="80" w:type="dxa"/>
              <w:bottom w:w="70" w:type="dxa"/>
              <w:end w:w="80" w:type="dxa"/>
            </w:tcMar>
            <w:vAlign w:val="top"/>
          </w:tcPr>
          <w:p>
            <w:r>
              <w:rPr>
                <w:rFonts w:ascii="Aptos" w:hAnsi="Aptos"/>
                <w:b w:val="0"/>
                <w:sz w:val="16"/>
              </w:rPr>
              <w:t>Spread widening reduces market value/liquidity.</w:t>
            </w:r>
          </w:p>
        </w:tc>
      </w:tr>
      <w:tr>
        <w:tc>
          <w:tcPr>
            <w:tcW w:type="dxa" w:w="2016"/>
            <w:tcMar>
              <w:top w:w="70" w:type="dxa"/>
              <w:start w:w="80" w:type="dxa"/>
              <w:bottom w:w="70" w:type="dxa"/>
              <w:end w:w="80" w:type="dxa"/>
            </w:tcMar>
            <w:vAlign w:val="top"/>
            <w:shd w:fill="F7FAFC"/>
          </w:tcPr>
          <w:p>
            <w:r>
              <w:rPr>
                <w:rFonts w:ascii="Aptos" w:hAnsi="Aptos"/>
                <w:b w:val="0"/>
                <w:sz w:val="16"/>
              </w:rPr>
              <w:t>Market</w:t>
            </w:r>
          </w:p>
        </w:tc>
        <w:tc>
          <w:tcPr>
            <w:tcW w:type="dxa" w:w="2880"/>
            <w:tcMar>
              <w:top w:w="70" w:type="dxa"/>
              <w:start w:w="80" w:type="dxa"/>
              <w:bottom w:w="70" w:type="dxa"/>
              <w:end w:w="80" w:type="dxa"/>
            </w:tcMar>
            <w:vAlign w:val="top"/>
            <w:shd w:fill="F7FAFC"/>
          </w:tcPr>
          <w:p>
            <w:r>
              <w:rPr>
                <w:rFonts w:ascii="Aptos" w:hAnsi="Aptos"/>
                <w:b w:val="0"/>
                <w:sz w:val="16"/>
              </w:rPr>
              <w:t>Foreign exchange</w:t>
            </w:r>
          </w:p>
        </w:tc>
        <w:tc>
          <w:tcPr>
            <w:tcW w:type="dxa" w:w="5472"/>
            <w:tcMar>
              <w:top w:w="70" w:type="dxa"/>
              <w:start w:w="80" w:type="dxa"/>
              <w:bottom w:w="70" w:type="dxa"/>
              <w:end w:w="80" w:type="dxa"/>
            </w:tcMar>
            <w:vAlign w:val="top"/>
            <w:shd w:fill="F7FAFC"/>
          </w:tcPr>
          <w:p>
            <w:r>
              <w:rPr>
                <w:rFonts w:ascii="Aptos" w:hAnsi="Aptos"/>
                <w:b w:val="0"/>
                <w:sz w:val="16"/>
              </w:rPr>
              <w:t>Currency movement affects positions/cash flows.</w:t>
            </w:r>
          </w:p>
        </w:tc>
      </w:tr>
      <w:tr>
        <w:tc>
          <w:tcPr>
            <w:tcW w:type="dxa" w:w="2016"/>
            <w:tcMar>
              <w:top w:w="70" w:type="dxa"/>
              <w:start w:w="80" w:type="dxa"/>
              <w:bottom w:w="70" w:type="dxa"/>
              <w:end w:w="80" w:type="dxa"/>
            </w:tcMar>
            <w:vAlign w:val="top"/>
          </w:tcPr>
          <w:p>
            <w:r>
              <w:rPr>
                <w:rFonts w:ascii="Aptos" w:hAnsi="Aptos"/>
                <w:b w:val="0"/>
                <w:sz w:val="16"/>
              </w:rPr>
              <w:t>Market</w:t>
            </w:r>
          </w:p>
        </w:tc>
        <w:tc>
          <w:tcPr>
            <w:tcW w:type="dxa" w:w="2880"/>
            <w:tcMar>
              <w:top w:w="70" w:type="dxa"/>
              <w:start w:w="80" w:type="dxa"/>
              <w:bottom w:w="70" w:type="dxa"/>
              <w:end w:w="80" w:type="dxa"/>
            </w:tcMar>
            <w:vAlign w:val="top"/>
          </w:tcPr>
          <w:p>
            <w:r>
              <w:rPr>
                <w:rFonts w:ascii="Aptos" w:hAnsi="Aptos"/>
                <w:b w:val="0"/>
                <w:sz w:val="16"/>
              </w:rPr>
              <w:t>Valuation</w:t>
            </w:r>
          </w:p>
        </w:tc>
        <w:tc>
          <w:tcPr>
            <w:tcW w:type="dxa" w:w="5472"/>
            <w:tcMar>
              <w:top w:w="70" w:type="dxa"/>
              <w:start w:w="80" w:type="dxa"/>
              <w:bottom w:w="70" w:type="dxa"/>
              <w:end w:w="80" w:type="dxa"/>
            </w:tcMar>
            <w:vAlign w:val="top"/>
          </w:tcPr>
          <w:p>
            <w:r>
              <w:rPr>
                <w:rFonts w:ascii="Aptos" w:hAnsi="Aptos"/>
                <w:b w:val="0"/>
                <w:sz w:val="16"/>
              </w:rPr>
              <w:t>Prices are stale, model-dependent or uncertain.</w:t>
            </w:r>
          </w:p>
        </w:tc>
      </w:tr>
      <w:tr>
        <w:tc>
          <w:tcPr>
            <w:tcW w:type="dxa" w:w="2016"/>
            <w:tcMar>
              <w:top w:w="70" w:type="dxa"/>
              <w:start w:w="80" w:type="dxa"/>
              <w:bottom w:w="70" w:type="dxa"/>
              <w:end w:w="80" w:type="dxa"/>
            </w:tcMar>
            <w:vAlign w:val="top"/>
            <w:shd w:fill="F7FAFC"/>
          </w:tcPr>
          <w:p>
            <w:r>
              <w:rPr>
                <w:rFonts w:ascii="Aptos" w:hAnsi="Aptos"/>
                <w:b w:val="0"/>
                <w:sz w:val="16"/>
              </w:rPr>
              <w:t>Liquidity</w:t>
            </w:r>
          </w:p>
        </w:tc>
        <w:tc>
          <w:tcPr>
            <w:tcW w:type="dxa" w:w="2880"/>
            <w:tcMar>
              <w:top w:w="70" w:type="dxa"/>
              <w:start w:w="80" w:type="dxa"/>
              <w:bottom w:w="70" w:type="dxa"/>
              <w:end w:w="80" w:type="dxa"/>
            </w:tcMar>
            <w:vAlign w:val="top"/>
            <w:shd w:fill="F7FAFC"/>
          </w:tcPr>
          <w:p>
            <w:r>
              <w:rPr>
                <w:rFonts w:ascii="Aptos" w:hAnsi="Aptos"/>
                <w:b w:val="0"/>
                <w:sz w:val="16"/>
              </w:rPr>
              <w:t>Funding concentration</w:t>
            </w:r>
          </w:p>
        </w:tc>
        <w:tc>
          <w:tcPr>
            <w:tcW w:type="dxa" w:w="5472"/>
            <w:tcMar>
              <w:top w:w="70" w:type="dxa"/>
              <w:start w:w="80" w:type="dxa"/>
              <w:bottom w:w="70" w:type="dxa"/>
              <w:end w:w="80" w:type="dxa"/>
            </w:tcMar>
            <w:vAlign w:val="top"/>
            <w:shd w:fill="F7FAFC"/>
          </w:tcPr>
          <w:p>
            <w:r>
              <w:rPr>
                <w:rFonts w:ascii="Aptos" w:hAnsi="Aptos"/>
                <w:b w:val="0"/>
                <w:sz w:val="16"/>
              </w:rPr>
              <w:t>Dependence on few funding sources.</w:t>
            </w:r>
          </w:p>
        </w:tc>
      </w:tr>
      <w:tr>
        <w:tc>
          <w:tcPr>
            <w:tcW w:type="dxa" w:w="2016"/>
            <w:tcMar>
              <w:top w:w="70" w:type="dxa"/>
              <w:start w:w="80" w:type="dxa"/>
              <w:bottom w:w="70" w:type="dxa"/>
              <w:end w:w="80" w:type="dxa"/>
            </w:tcMar>
            <w:vAlign w:val="top"/>
          </w:tcPr>
          <w:p>
            <w:r>
              <w:rPr>
                <w:rFonts w:ascii="Aptos" w:hAnsi="Aptos"/>
                <w:b w:val="0"/>
                <w:sz w:val="16"/>
              </w:rPr>
              <w:t>Liquidity</w:t>
            </w:r>
          </w:p>
        </w:tc>
        <w:tc>
          <w:tcPr>
            <w:tcW w:type="dxa" w:w="2880"/>
            <w:tcMar>
              <w:top w:w="70" w:type="dxa"/>
              <w:start w:w="80" w:type="dxa"/>
              <w:bottom w:w="70" w:type="dxa"/>
              <w:end w:w="80" w:type="dxa"/>
            </w:tcMar>
            <w:vAlign w:val="top"/>
          </w:tcPr>
          <w:p>
            <w:r>
              <w:rPr>
                <w:rFonts w:ascii="Aptos" w:hAnsi="Aptos"/>
                <w:b w:val="0"/>
                <w:sz w:val="16"/>
              </w:rPr>
              <w:t>Maturity mismatch</w:t>
            </w:r>
          </w:p>
        </w:tc>
        <w:tc>
          <w:tcPr>
            <w:tcW w:type="dxa" w:w="5472"/>
            <w:tcMar>
              <w:top w:w="70" w:type="dxa"/>
              <w:start w:w="80" w:type="dxa"/>
              <w:bottom w:w="70" w:type="dxa"/>
              <w:end w:w="80" w:type="dxa"/>
            </w:tcMar>
            <w:vAlign w:val="top"/>
          </w:tcPr>
          <w:p>
            <w:r>
              <w:rPr>
                <w:rFonts w:ascii="Aptos" w:hAnsi="Aptos"/>
                <w:b w:val="0"/>
                <w:sz w:val="16"/>
              </w:rPr>
              <w:t>Cash outflows precede asset inflows.</w:t>
            </w:r>
          </w:p>
        </w:tc>
      </w:tr>
      <w:tr>
        <w:tc>
          <w:tcPr>
            <w:tcW w:type="dxa" w:w="2016"/>
            <w:tcMar>
              <w:top w:w="70" w:type="dxa"/>
              <w:start w:w="80" w:type="dxa"/>
              <w:bottom w:w="70" w:type="dxa"/>
              <w:end w:w="80" w:type="dxa"/>
            </w:tcMar>
            <w:vAlign w:val="top"/>
            <w:shd w:fill="F7FAFC"/>
          </w:tcPr>
          <w:p>
            <w:r>
              <w:rPr>
                <w:rFonts w:ascii="Aptos" w:hAnsi="Aptos"/>
                <w:b w:val="0"/>
                <w:sz w:val="16"/>
              </w:rPr>
              <w:t>Liquidity</w:t>
            </w:r>
          </w:p>
        </w:tc>
        <w:tc>
          <w:tcPr>
            <w:tcW w:type="dxa" w:w="2880"/>
            <w:tcMar>
              <w:top w:w="70" w:type="dxa"/>
              <w:start w:w="80" w:type="dxa"/>
              <w:bottom w:w="70" w:type="dxa"/>
              <w:end w:w="80" w:type="dxa"/>
            </w:tcMar>
            <w:vAlign w:val="top"/>
            <w:shd w:fill="F7FAFC"/>
          </w:tcPr>
          <w:p>
            <w:r>
              <w:rPr>
                <w:rFonts w:ascii="Aptos" w:hAnsi="Aptos"/>
                <w:b w:val="0"/>
                <w:sz w:val="16"/>
              </w:rPr>
              <w:t>Market liquidity</w:t>
            </w:r>
          </w:p>
        </w:tc>
        <w:tc>
          <w:tcPr>
            <w:tcW w:type="dxa" w:w="5472"/>
            <w:tcMar>
              <w:top w:w="70" w:type="dxa"/>
              <w:start w:w="80" w:type="dxa"/>
              <w:bottom w:w="70" w:type="dxa"/>
              <w:end w:w="80" w:type="dxa"/>
            </w:tcMar>
            <w:vAlign w:val="top"/>
            <w:shd w:fill="F7FAFC"/>
          </w:tcPr>
          <w:p>
            <w:r>
              <w:rPr>
                <w:rFonts w:ascii="Aptos" w:hAnsi="Aptos"/>
                <w:b w:val="0"/>
                <w:sz w:val="16"/>
              </w:rPr>
              <w:t>Assets cannot be sold without material loss.</w:t>
            </w:r>
          </w:p>
        </w:tc>
      </w:tr>
      <w:tr>
        <w:tc>
          <w:tcPr>
            <w:tcW w:type="dxa" w:w="2016"/>
            <w:tcMar>
              <w:top w:w="70" w:type="dxa"/>
              <w:start w:w="80" w:type="dxa"/>
              <w:bottom w:w="70" w:type="dxa"/>
              <w:end w:w="80" w:type="dxa"/>
            </w:tcMar>
            <w:vAlign w:val="top"/>
          </w:tcPr>
          <w:p>
            <w:r>
              <w:rPr>
                <w:rFonts w:ascii="Aptos" w:hAnsi="Aptos"/>
                <w:b w:val="0"/>
                <w:sz w:val="16"/>
              </w:rPr>
              <w:t>Liquidity</w:t>
            </w:r>
          </w:p>
        </w:tc>
        <w:tc>
          <w:tcPr>
            <w:tcW w:type="dxa" w:w="2880"/>
            <w:tcMar>
              <w:top w:w="70" w:type="dxa"/>
              <w:start w:w="80" w:type="dxa"/>
              <w:bottom w:w="70" w:type="dxa"/>
              <w:end w:w="80" w:type="dxa"/>
            </w:tcMar>
            <w:vAlign w:val="top"/>
          </w:tcPr>
          <w:p>
            <w:r>
              <w:rPr>
                <w:rFonts w:ascii="Aptos" w:hAnsi="Aptos"/>
                <w:b w:val="0"/>
                <w:sz w:val="16"/>
              </w:rPr>
              <w:t>Contingency execution</w:t>
            </w:r>
          </w:p>
        </w:tc>
        <w:tc>
          <w:tcPr>
            <w:tcW w:type="dxa" w:w="5472"/>
            <w:tcMar>
              <w:top w:w="70" w:type="dxa"/>
              <w:start w:w="80" w:type="dxa"/>
              <w:bottom w:w="70" w:type="dxa"/>
              <w:end w:w="80" w:type="dxa"/>
            </w:tcMar>
            <w:vAlign w:val="top"/>
          </w:tcPr>
          <w:p>
            <w:r>
              <w:rPr>
                <w:rFonts w:ascii="Aptos" w:hAnsi="Aptos"/>
                <w:b w:val="0"/>
                <w:sz w:val="16"/>
              </w:rPr>
              <w:t>Planned funding actions unavailable or delayed.</w:t>
            </w:r>
          </w:p>
        </w:tc>
      </w:tr>
      <w:tr>
        <w:tc>
          <w:tcPr>
            <w:tcW w:type="dxa" w:w="2016"/>
            <w:tcMar>
              <w:top w:w="70" w:type="dxa"/>
              <w:start w:w="80" w:type="dxa"/>
              <w:bottom w:w="70" w:type="dxa"/>
              <w:end w:w="80" w:type="dxa"/>
            </w:tcMar>
            <w:vAlign w:val="top"/>
            <w:shd w:fill="F7FAFC"/>
          </w:tcPr>
          <w:p>
            <w:r>
              <w:rPr>
                <w:rFonts w:ascii="Aptos" w:hAnsi="Aptos"/>
                <w:b w:val="0"/>
                <w:sz w:val="16"/>
              </w:rPr>
              <w:t>Operational</w:t>
            </w:r>
          </w:p>
        </w:tc>
        <w:tc>
          <w:tcPr>
            <w:tcW w:type="dxa" w:w="2880"/>
            <w:tcMar>
              <w:top w:w="70" w:type="dxa"/>
              <w:start w:w="80" w:type="dxa"/>
              <w:bottom w:w="70" w:type="dxa"/>
              <w:end w:w="80" w:type="dxa"/>
            </w:tcMar>
            <w:vAlign w:val="top"/>
            <w:shd w:fill="F7FAFC"/>
          </w:tcPr>
          <w:p>
            <w:r>
              <w:rPr>
                <w:rFonts w:ascii="Aptos" w:hAnsi="Aptos"/>
                <w:b w:val="0"/>
                <w:sz w:val="16"/>
              </w:rPr>
              <w:t>Process execution</w:t>
            </w:r>
          </w:p>
        </w:tc>
        <w:tc>
          <w:tcPr>
            <w:tcW w:type="dxa" w:w="5472"/>
            <w:tcMar>
              <w:top w:w="70" w:type="dxa"/>
              <w:start w:w="80" w:type="dxa"/>
              <w:bottom w:w="70" w:type="dxa"/>
              <w:end w:w="80" w:type="dxa"/>
            </w:tcMar>
            <w:vAlign w:val="top"/>
            <w:shd w:fill="F7FAFC"/>
          </w:tcPr>
          <w:p>
            <w:r>
              <w:rPr>
                <w:rFonts w:ascii="Aptos" w:hAnsi="Aptos"/>
                <w:b w:val="0"/>
                <w:sz w:val="16"/>
              </w:rPr>
              <w:t>Manual error, missing check, incorrect payment/disbursement.</w:t>
            </w:r>
          </w:p>
        </w:tc>
      </w:tr>
      <w:tr>
        <w:tc>
          <w:tcPr>
            <w:tcW w:type="dxa" w:w="2016"/>
            <w:tcMar>
              <w:top w:w="70" w:type="dxa"/>
              <w:start w:w="80" w:type="dxa"/>
              <w:bottom w:w="70" w:type="dxa"/>
              <w:end w:w="80" w:type="dxa"/>
            </w:tcMar>
            <w:vAlign w:val="top"/>
          </w:tcPr>
          <w:p>
            <w:r>
              <w:rPr>
                <w:rFonts w:ascii="Aptos" w:hAnsi="Aptos"/>
                <w:b w:val="0"/>
                <w:sz w:val="16"/>
              </w:rPr>
              <w:t>Operational</w:t>
            </w:r>
          </w:p>
        </w:tc>
        <w:tc>
          <w:tcPr>
            <w:tcW w:type="dxa" w:w="2880"/>
            <w:tcMar>
              <w:top w:w="70" w:type="dxa"/>
              <w:start w:w="80" w:type="dxa"/>
              <w:bottom w:w="70" w:type="dxa"/>
              <w:end w:w="80" w:type="dxa"/>
            </w:tcMar>
            <w:vAlign w:val="top"/>
          </w:tcPr>
          <w:p>
            <w:r>
              <w:rPr>
                <w:rFonts w:ascii="Aptos" w:hAnsi="Aptos"/>
                <w:b w:val="0"/>
                <w:sz w:val="16"/>
              </w:rPr>
              <w:t>People/authority</w:t>
            </w:r>
          </w:p>
        </w:tc>
        <w:tc>
          <w:tcPr>
            <w:tcW w:type="dxa" w:w="5472"/>
            <w:tcMar>
              <w:top w:w="70" w:type="dxa"/>
              <w:start w:w="80" w:type="dxa"/>
              <w:bottom w:w="70" w:type="dxa"/>
              <w:end w:w="80" w:type="dxa"/>
            </w:tcMar>
            <w:vAlign w:val="top"/>
          </w:tcPr>
          <w:p>
            <w:r>
              <w:rPr>
                <w:rFonts w:ascii="Aptos" w:hAnsi="Aptos"/>
                <w:b w:val="0"/>
                <w:sz w:val="16"/>
              </w:rPr>
              <w:t>Unauthorized action, segregation failure, training gap.</w:t>
            </w:r>
          </w:p>
        </w:tc>
      </w:tr>
      <w:tr>
        <w:tc>
          <w:tcPr>
            <w:tcW w:type="dxa" w:w="2016"/>
            <w:tcMar>
              <w:top w:w="70" w:type="dxa"/>
              <w:start w:w="80" w:type="dxa"/>
              <w:bottom w:w="70" w:type="dxa"/>
              <w:end w:w="80" w:type="dxa"/>
            </w:tcMar>
            <w:vAlign w:val="top"/>
            <w:shd w:fill="F7FAFC"/>
          </w:tcPr>
          <w:p>
            <w:r>
              <w:rPr>
                <w:rFonts w:ascii="Aptos" w:hAnsi="Aptos"/>
                <w:b w:val="0"/>
                <w:sz w:val="16"/>
              </w:rPr>
              <w:t>Operational</w:t>
            </w:r>
          </w:p>
        </w:tc>
        <w:tc>
          <w:tcPr>
            <w:tcW w:type="dxa" w:w="2880"/>
            <w:tcMar>
              <w:top w:w="70" w:type="dxa"/>
              <w:start w:w="80" w:type="dxa"/>
              <w:bottom w:w="70" w:type="dxa"/>
              <w:end w:w="80" w:type="dxa"/>
            </w:tcMar>
            <w:vAlign w:val="top"/>
            <w:shd w:fill="F7FAFC"/>
          </w:tcPr>
          <w:p>
            <w:r>
              <w:rPr>
                <w:rFonts w:ascii="Aptos" w:hAnsi="Aptos"/>
                <w:b w:val="0"/>
                <w:sz w:val="16"/>
              </w:rPr>
              <w:t>Technology</w:t>
            </w:r>
          </w:p>
        </w:tc>
        <w:tc>
          <w:tcPr>
            <w:tcW w:type="dxa" w:w="5472"/>
            <w:tcMar>
              <w:top w:w="70" w:type="dxa"/>
              <w:start w:w="80" w:type="dxa"/>
              <w:bottom w:w="70" w:type="dxa"/>
              <w:end w:w="80" w:type="dxa"/>
            </w:tcMar>
            <w:vAlign w:val="top"/>
            <w:shd w:fill="F7FAFC"/>
          </w:tcPr>
          <w:p>
            <w:r>
              <w:rPr>
                <w:rFonts w:ascii="Aptos" w:hAnsi="Aptos"/>
                <w:b w:val="0"/>
                <w:sz w:val="16"/>
              </w:rPr>
              <w:t>System outage, interface failure, configuration error.</w:t>
            </w:r>
          </w:p>
        </w:tc>
      </w:tr>
      <w:tr>
        <w:tc>
          <w:tcPr>
            <w:tcW w:type="dxa" w:w="2016"/>
            <w:tcMar>
              <w:top w:w="70" w:type="dxa"/>
              <w:start w:w="80" w:type="dxa"/>
              <w:bottom w:w="70" w:type="dxa"/>
              <w:end w:w="80" w:type="dxa"/>
            </w:tcMar>
            <w:vAlign w:val="top"/>
          </w:tcPr>
          <w:p>
            <w:r>
              <w:rPr>
                <w:rFonts w:ascii="Aptos" w:hAnsi="Aptos"/>
                <w:b w:val="0"/>
                <w:sz w:val="16"/>
              </w:rPr>
              <w:t>Operational</w:t>
            </w:r>
          </w:p>
        </w:tc>
        <w:tc>
          <w:tcPr>
            <w:tcW w:type="dxa" w:w="2880"/>
            <w:tcMar>
              <w:top w:w="70" w:type="dxa"/>
              <w:start w:w="80" w:type="dxa"/>
              <w:bottom w:w="70" w:type="dxa"/>
              <w:end w:w="80" w:type="dxa"/>
            </w:tcMar>
            <w:vAlign w:val="top"/>
          </w:tcPr>
          <w:p>
            <w:r>
              <w:rPr>
                <w:rFonts w:ascii="Aptos" w:hAnsi="Aptos"/>
                <w:b w:val="0"/>
                <w:sz w:val="16"/>
              </w:rPr>
              <w:t>Third party</w:t>
            </w:r>
          </w:p>
        </w:tc>
        <w:tc>
          <w:tcPr>
            <w:tcW w:type="dxa" w:w="5472"/>
            <w:tcMar>
              <w:top w:w="70" w:type="dxa"/>
              <w:start w:w="80" w:type="dxa"/>
              <w:bottom w:w="70" w:type="dxa"/>
              <w:end w:w="80" w:type="dxa"/>
            </w:tcMar>
            <w:vAlign w:val="top"/>
          </w:tcPr>
          <w:p>
            <w:r>
              <w:rPr>
                <w:rFonts w:ascii="Aptos" w:hAnsi="Aptos"/>
                <w:b w:val="0"/>
                <w:sz w:val="16"/>
              </w:rPr>
              <w:t>Vendor outage/control/data failure.</w:t>
            </w:r>
          </w:p>
        </w:tc>
      </w:tr>
      <w:tr>
        <w:tc>
          <w:tcPr>
            <w:tcW w:type="dxa" w:w="2016"/>
            <w:tcMar>
              <w:top w:w="70" w:type="dxa"/>
              <w:start w:w="80" w:type="dxa"/>
              <w:bottom w:w="70" w:type="dxa"/>
              <w:end w:w="80" w:type="dxa"/>
            </w:tcMar>
            <w:vAlign w:val="top"/>
            <w:shd w:fill="F7FAFC"/>
          </w:tcPr>
          <w:p>
            <w:r>
              <w:rPr>
                <w:rFonts w:ascii="Aptos" w:hAnsi="Aptos"/>
                <w:b w:val="0"/>
                <w:sz w:val="16"/>
              </w:rPr>
              <w:t>Operational</w:t>
            </w:r>
          </w:p>
        </w:tc>
        <w:tc>
          <w:tcPr>
            <w:tcW w:type="dxa" w:w="2880"/>
            <w:tcMar>
              <w:top w:w="70" w:type="dxa"/>
              <w:start w:w="80" w:type="dxa"/>
              <w:bottom w:w="70" w:type="dxa"/>
              <w:end w:w="80" w:type="dxa"/>
            </w:tcMar>
            <w:vAlign w:val="top"/>
            <w:shd w:fill="F7FAFC"/>
          </w:tcPr>
          <w:p>
            <w:r>
              <w:rPr>
                <w:rFonts w:ascii="Aptos" w:hAnsi="Aptos"/>
                <w:b w:val="0"/>
                <w:sz w:val="16"/>
              </w:rPr>
              <w:t>External event</w:t>
            </w:r>
          </w:p>
        </w:tc>
        <w:tc>
          <w:tcPr>
            <w:tcW w:type="dxa" w:w="5472"/>
            <w:tcMar>
              <w:top w:w="70" w:type="dxa"/>
              <w:start w:w="80" w:type="dxa"/>
              <w:bottom w:w="70" w:type="dxa"/>
              <w:end w:w="80" w:type="dxa"/>
            </w:tcMar>
            <w:vAlign w:val="top"/>
            <w:shd w:fill="F7FAFC"/>
          </w:tcPr>
          <w:p>
            <w:r>
              <w:rPr>
                <w:rFonts w:ascii="Aptos" w:hAnsi="Aptos"/>
                <w:b w:val="0"/>
                <w:sz w:val="16"/>
              </w:rPr>
              <w:t>Physical disruption, infrastructure event.</w:t>
            </w:r>
          </w:p>
        </w:tc>
      </w:tr>
      <w:tr>
        <w:tc>
          <w:tcPr>
            <w:tcW w:type="dxa" w:w="2016"/>
            <w:tcMar>
              <w:top w:w="70" w:type="dxa"/>
              <w:start w:w="80" w:type="dxa"/>
              <w:bottom w:w="70" w:type="dxa"/>
              <w:end w:w="80" w:type="dxa"/>
            </w:tcMar>
            <w:vAlign w:val="top"/>
          </w:tcPr>
          <w:p>
            <w:r>
              <w:rPr>
                <w:rFonts w:ascii="Aptos" w:hAnsi="Aptos"/>
                <w:b w:val="0"/>
                <w:sz w:val="16"/>
              </w:rPr>
              <w:t>Fraud</w:t>
            </w:r>
          </w:p>
        </w:tc>
        <w:tc>
          <w:tcPr>
            <w:tcW w:type="dxa" w:w="2880"/>
            <w:tcMar>
              <w:top w:w="70" w:type="dxa"/>
              <w:start w:w="80" w:type="dxa"/>
              <w:bottom w:w="70" w:type="dxa"/>
              <w:end w:w="80" w:type="dxa"/>
            </w:tcMar>
            <w:vAlign w:val="top"/>
          </w:tcPr>
          <w:p>
            <w:r>
              <w:rPr>
                <w:rFonts w:ascii="Aptos" w:hAnsi="Aptos"/>
                <w:b w:val="0"/>
                <w:sz w:val="16"/>
              </w:rPr>
              <w:t>Identity/application</w:t>
            </w:r>
          </w:p>
        </w:tc>
        <w:tc>
          <w:tcPr>
            <w:tcW w:type="dxa" w:w="5472"/>
            <w:tcMar>
              <w:top w:w="70" w:type="dxa"/>
              <w:start w:w="80" w:type="dxa"/>
              <w:bottom w:w="70" w:type="dxa"/>
              <w:end w:w="80" w:type="dxa"/>
            </w:tcMar>
            <w:vAlign w:val="top"/>
          </w:tcPr>
          <w:p>
            <w:r>
              <w:rPr>
                <w:rFonts w:ascii="Aptos" w:hAnsi="Aptos"/>
                <w:b w:val="0"/>
                <w:sz w:val="16"/>
              </w:rPr>
              <w:t>False identity, forged documents, material misrepresentation.</w:t>
            </w:r>
          </w:p>
        </w:tc>
      </w:tr>
      <w:tr>
        <w:tc>
          <w:tcPr>
            <w:tcW w:type="dxa" w:w="2016"/>
            <w:tcMar>
              <w:top w:w="70" w:type="dxa"/>
              <w:start w:w="80" w:type="dxa"/>
              <w:bottom w:w="70" w:type="dxa"/>
              <w:end w:w="80" w:type="dxa"/>
            </w:tcMar>
            <w:vAlign w:val="top"/>
            <w:shd w:fill="F7FAFC"/>
          </w:tcPr>
          <w:p>
            <w:r>
              <w:rPr>
                <w:rFonts w:ascii="Aptos" w:hAnsi="Aptos"/>
                <w:b w:val="0"/>
                <w:sz w:val="16"/>
              </w:rPr>
              <w:t>Fraud</w:t>
            </w:r>
          </w:p>
        </w:tc>
        <w:tc>
          <w:tcPr>
            <w:tcW w:type="dxa" w:w="2880"/>
            <w:tcMar>
              <w:top w:w="70" w:type="dxa"/>
              <w:start w:w="80" w:type="dxa"/>
              <w:bottom w:w="70" w:type="dxa"/>
              <w:end w:w="80" w:type="dxa"/>
            </w:tcMar>
            <w:vAlign w:val="top"/>
            <w:shd w:fill="F7FAFC"/>
          </w:tcPr>
          <w:p>
            <w:r>
              <w:rPr>
                <w:rFonts w:ascii="Aptos" w:hAnsi="Aptos"/>
                <w:b w:val="0"/>
                <w:sz w:val="16"/>
              </w:rPr>
              <w:t>Payment diversion</w:t>
            </w:r>
          </w:p>
        </w:tc>
        <w:tc>
          <w:tcPr>
            <w:tcW w:type="dxa" w:w="5472"/>
            <w:tcMar>
              <w:top w:w="70" w:type="dxa"/>
              <w:start w:w="80" w:type="dxa"/>
              <w:bottom w:w="70" w:type="dxa"/>
              <w:end w:w="80" w:type="dxa"/>
            </w:tcMar>
            <w:vAlign w:val="top"/>
            <w:shd w:fill="F7FAFC"/>
          </w:tcPr>
          <w:p>
            <w:r>
              <w:rPr>
                <w:rFonts w:ascii="Aptos" w:hAnsi="Aptos"/>
                <w:b w:val="0"/>
                <w:sz w:val="16"/>
              </w:rPr>
              <w:t>Beneficiary/account manipulation.</w:t>
            </w:r>
          </w:p>
        </w:tc>
      </w:tr>
      <w:tr>
        <w:tc>
          <w:tcPr>
            <w:tcW w:type="dxa" w:w="2016"/>
            <w:tcMar>
              <w:top w:w="70" w:type="dxa"/>
              <w:start w:w="80" w:type="dxa"/>
              <w:bottom w:w="70" w:type="dxa"/>
              <w:end w:w="80" w:type="dxa"/>
            </w:tcMar>
            <w:vAlign w:val="top"/>
          </w:tcPr>
          <w:p>
            <w:r>
              <w:rPr>
                <w:rFonts w:ascii="Aptos" w:hAnsi="Aptos"/>
                <w:b w:val="0"/>
                <w:sz w:val="16"/>
              </w:rPr>
              <w:t>Fraud</w:t>
            </w:r>
          </w:p>
        </w:tc>
        <w:tc>
          <w:tcPr>
            <w:tcW w:type="dxa" w:w="2880"/>
            <w:tcMar>
              <w:top w:w="70" w:type="dxa"/>
              <w:start w:w="80" w:type="dxa"/>
              <w:bottom w:w="70" w:type="dxa"/>
              <w:end w:w="80" w:type="dxa"/>
            </w:tcMar>
            <w:vAlign w:val="top"/>
          </w:tcPr>
          <w:p>
            <w:r>
              <w:rPr>
                <w:rFonts w:ascii="Aptos" w:hAnsi="Aptos"/>
                <w:b w:val="0"/>
                <w:sz w:val="16"/>
              </w:rPr>
              <w:t>Internal</w:t>
            </w:r>
          </w:p>
        </w:tc>
        <w:tc>
          <w:tcPr>
            <w:tcW w:type="dxa" w:w="5472"/>
            <w:tcMar>
              <w:top w:w="70" w:type="dxa"/>
              <w:start w:w="80" w:type="dxa"/>
              <w:bottom w:w="70" w:type="dxa"/>
              <w:end w:w="80" w:type="dxa"/>
            </w:tcMar>
            <w:vAlign w:val="top"/>
          </w:tcPr>
          <w:p>
            <w:r>
              <w:rPr>
                <w:rFonts w:ascii="Aptos" w:hAnsi="Aptos"/>
                <w:b w:val="0"/>
                <w:sz w:val="16"/>
              </w:rPr>
              <w:t>Employee collusion, theft, unauthorized override.</w:t>
            </w:r>
          </w:p>
        </w:tc>
      </w:tr>
      <w:tr>
        <w:tc>
          <w:tcPr>
            <w:tcW w:type="dxa" w:w="2016"/>
            <w:tcMar>
              <w:top w:w="70" w:type="dxa"/>
              <w:start w:w="80" w:type="dxa"/>
              <w:bottom w:w="70" w:type="dxa"/>
              <w:end w:w="80" w:type="dxa"/>
            </w:tcMar>
            <w:vAlign w:val="top"/>
            <w:shd w:fill="F7FAFC"/>
          </w:tcPr>
          <w:p>
            <w:r>
              <w:rPr>
                <w:rFonts w:ascii="Aptos" w:hAnsi="Aptos"/>
                <w:b w:val="0"/>
                <w:sz w:val="16"/>
              </w:rPr>
              <w:t>Compliance</w:t>
            </w:r>
          </w:p>
        </w:tc>
        <w:tc>
          <w:tcPr>
            <w:tcW w:type="dxa" w:w="2880"/>
            <w:tcMar>
              <w:top w:w="70" w:type="dxa"/>
              <w:start w:w="80" w:type="dxa"/>
              <w:bottom w:w="70" w:type="dxa"/>
              <w:end w:w="80" w:type="dxa"/>
            </w:tcMar>
            <w:vAlign w:val="top"/>
            <w:shd w:fill="F7FAFC"/>
          </w:tcPr>
          <w:p>
            <w:r>
              <w:rPr>
                <w:rFonts w:ascii="Aptos" w:hAnsi="Aptos"/>
                <w:b w:val="0"/>
                <w:sz w:val="16"/>
              </w:rPr>
              <w:t>Policy/control</w:t>
            </w:r>
          </w:p>
        </w:tc>
        <w:tc>
          <w:tcPr>
            <w:tcW w:type="dxa" w:w="5472"/>
            <w:tcMar>
              <w:top w:w="70" w:type="dxa"/>
              <w:start w:w="80" w:type="dxa"/>
              <w:bottom w:w="70" w:type="dxa"/>
              <w:end w:w="80" w:type="dxa"/>
            </w:tcMar>
            <w:vAlign w:val="top"/>
            <w:shd w:fill="F7FAFC"/>
          </w:tcPr>
          <w:p>
            <w:r>
              <w:rPr>
                <w:rFonts w:ascii="Aptos" w:hAnsi="Aptos"/>
                <w:b w:val="0"/>
                <w:sz w:val="16"/>
              </w:rPr>
              <w:t>Unauthorized deviation, reporting or monitoring failure.</w:t>
            </w:r>
          </w:p>
        </w:tc>
      </w:tr>
      <w:tr>
        <w:tc>
          <w:tcPr>
            <w:tcW w:type="dxa" w:w="2016"/>
            <w:tcMar>
              <w:top w:w="70" w:type="dxa"/>
              <w:start w:w="80" w:type="dxa"/>
              <w:bottom w:w="70" w:type="dxa"/>
              <w:end w:w="80" w:type="dxa"/>
            </w:tcMar>
            <w:vAlign w:val="top"/>
          </w:tcPr>
          <w:p>
            <w:r>
              <w:rPr>
                <w:rFonts w:ascii="Aptos" w:hAnsi="Aptos"/>
                <w:b w:val="0"/>
                <w:sz w:val="16"/>
              </w:rPr>
              <w:t>Compliance</w:t>
            </w:r>
          </w:p>
        </w:tc>
        <w:tc>
          <w:tcPr>
            <w:tcW w:type="dxa" w:w="2880"/>
            <w:tcMar>
              <w:top w:w="70" w:type="dxa"/>
              <w:start w:w="80" w:type="dxa"/>
              <w:bottom w:w="70" w:type="dxa"/>
              <w:end w:w="80" w:type="dxa"/>
            </w:tcMar>
            <w:vAlign w:val="top"/>
          </w:tcPr>
          <w:p>
            <w:r>
              <w:rPr>
                <w:rFonts w:ascii="Aptos" w:hAnsi="Aptos"/>
                <w:b w:val="0"/>
                <w:sz w:val="16"/>
              </w:rPr>
              <w:t>Conduct/customer</w:t>
            </w:r>
          </w:p>
        </w:tc>
        <w:tc>
          <w:tcPr>
            <w:tcW w:type="dxa" w:w="5472"/>
            <w:tcMar>
              <w:top w:w="70" w:type="dxa"/>
              <w:start w:w="80" w:type="dxa"/>
              <w:bottom w:w="70" w:type="dxa"/>
              <w:end w:w="80" w:type="dxa"/>
            </w:tcMar>
            <w:vAlign w:val="top"/>
          </w:tcPr>
          <w:p>
            <w:r>
              <w:rPr>
                <w:rFonts w:ascii="Aptos" w:hAnsi="Aptos"/>
                <w:b w:val="0"/>
                <w:sz w:val="16"/>
              </w:rPr>
              <w:t>Unfair treatment, conflict, complaint/remediation pattern.</w:t>
            </w:r>
          </w:p>
        </w:tc>
      </w:tr>
      <w:tr>
        <w:tc>
          <w:tcPr>
            <w:tcW w:type="dxa" w:w="2016"/>
            <w:tcMar>
              <w:top w:w="70" w:type="dxa"/>
              <w:start w:w="80" w:type="dxa"/>
              <w:bottom w:w="70" w:type="dxa"/>
              <w:end w:w="80" w:type="dxa"/>
            </w:tcMar>
            <w:vAlign w:val="top"/>
            <w:shd w:fill="F7FAFC"/>
          </w:tcPr>
          <w:p>
            <w:r>
              <w:rPr>
                <w:rFonts w:ascii="Aptos" w:hAnsi="Aptos"/>
                <w:b w:val="0"/>
                <w:sz w:val="16"/>
              </w:rPr>
              <w:t>Compliance</w:t>
            </w:r>
          </w:p>
        </w:tc>
        <w:tc>
          <w:tcPr>
            <w:tcW w:type="dxa" w:w="2880"/>
            <w:tcMar>
              <w:top w:w="70" w:type="dxa"/>
              <w:start w:w="80" w:type="dxa"/>
              <w:bottom w:w="70" w:type="dxa"/>
              <w:end w:w="80" w:type="dxa"/>
            </w:tcMar>
            <w:vAlign w:val="top"/>
            <w:shd w:fill="F7FAFC"/>
          </w:tcPr>
          <w:p>
            <w:r>
              <w:rPr>
                <w:rFonts w:ascii="Aptos" w:hAnsi="Aptos"/>
                <w:b w:val="0"/>
                <w:sz w:val="16"/>
              </w:rPr>
              <w:t>Change management</w:t>
            </w:r>
          </w:p>
        </w:tc>
        <w:tc>
          <w:tcPr>
            <w:tcW w:type="dxa" w:w="5472"/>
            <w:tcMar>
              <w:top w:w="70" w:type="dxa"/>
              <w:start w:w="80" w:type="dxa"/>
              <w:bottom w:w="70" w:type="dxa"/>
              <w:end w:w="80" w:type="dxa"/>
            </w:tcMar>
            <w:vAlign w:val="top"/>
            <w:shd w:fill="F7FAFC"/>
          </w:tcPr>
          <w:p>
            <w:r>
              <w:rPr>
                <w:rFonts w:ascii="Aptos" w:hAnsi="Aptos"/>
                <w:b w:val="0"/>
                <w:sz w:val="16"/>
              </w:rPr>
              <w:t>New obligation not implemented on time.</w:t>
            </w:r>
          </w:p>
        </w:tc>
      </w:tr>
      <w:tr>
        <w:tc>
          <w:tcPr>
            <w:tcW w:type="dxa" w:w="2016"/>
            <w:tcMar>
              <w:top w:w="70" w:type="dxa"/>
              <w:start w:w="80" w:type="dxa"/>
              <w:bottom w:w="70" w:type="dxa"/>
              <w:end w:w="80" w:type="dxa"/>
            </w:tcMar>
            <w:vAlign w:val="top"/>
          </w:tcPr>
          <w:p>
            <w:r>
              <w:rPr>
                <w:rFonts w:ascii="Aptos" w:hAnsi="Aptos"/>
                <w:b w:val="0"/>
                <w:sz w:val="16"/>
              </w:rPr>
              <w:t>AML/FC</w:t>
            </w:r>
          </w:p>
        </w:tc>
        <w:tc>
          <w:tcPr>
            <w:tcW w:type="dxa" w:w="2880"/>
            <w:tcMar>
              <w:top w:w="70" w:type="dxa"/>
              <w:start w:w="80" w:type="dxa"/>
              <w:bottom w:w="70" w:type="dxa"/>
              <w:end w:w="80" w:type="dxa"/>
            </w:tcMar>
            <w:vAlign w:val="top"/>
          </w:tcPr>
          <w:p>
            <w:r>
              <w:rPr>
                <w:rFonts w:ascii="Aptos" w:hAnsi="Aptos"/>
                <w:b w:val="0"/>
                <w:sz w:val="16"/>
              </w:rPr>
              <w:t>KYC/CDD</w:t>
            </w:r>
          </w:p>
        </w:tc>
        <w:tc>
          <w:tcPr>
            <w:tcW w:type="dxa" w:w="5472"/>
            <w:tcMar>
              <w:top w:w="70" w:type="dxa"/>
              <w:start w:w="80" w:type="dxa"/>
              <w:bottom w:w="70" w:type="dxa"/>
              <w:end w:w="80" w:type="dxa"/>
            </w:tcMar>
            <w:vAlign w:val="top"/>
          </w:tcPr>
          <w:p>
            <w:r>
              <w:rPr>
                <w:rFonts w:ascii="Aptos" w:hAnsi="Aptos"/>
                <w:b w:val="0"/>
                <w:sz w:val="16"/>
              </w:rPr>
              <w:t>Identity, ownership or due-diligence weakness.</w:t>
            </w:r>
          </w:p>
        </w:tc>
      </w:tr>
      <w:tr>
        <w:tc>
          <w:tcPr>
            <w:tcW w:type="dxa" w:w="2016"/>
            <w:tcMar>
              <w:top w:w="70" w:type="dxa"/>
              <w:start w:w="80" w:type="dxa"/>
              <w:bottom w:w="70" w:type="dxa"/>
              <w:end w:w="80" w:type="dxa"/>
            </w:tcMar>
            <w:vAlign w:val="top"/>
            <w:shd w:fill="F7FAFC"/>
          </w:tcPr>
          <w:p>
            <w:r>
              <w:rPr>
                <w:rFonts w:ascii="Aptos" w:hAnsi="Aptos"/>
                <w:b w:val="0"/>
                <w:sz w:val="16"/>
              </w:rPr>
              <w:t>AML/FC</w:t>
            </w:r>
          </w:p>
        </w:tc>
        <w:tc>
          <w:tcPr>
            <w:tcW w:type="dxa" w:w="2880"/>
            <w:tcMar>
              <w:top w:w="70" w:type="dxa"/>
              <w:start w:w="80" w:type="dxa"/>
              <w:bottom w:w="70" w:type="dxa"/>
              <w:end w:w="80" w:type="dxa"/>
            </w:tcMar>
            <w:vAlign w:val="top"/>
            <w:shd w:fill="F7FAFC"/>
          </w:tcPr>
          <w:p>
            <w:r>
              <w:rPr>
                <w:rFonts w:ascii="Aptos" w:hAnsi="Aptos"/>
                <w:b w:val="0"/>
                <w:sz w:val="16"/>
              </w:rPr>
              <w:t>Monitoring</w:t>
            </w:r>
          </w:p>
        </w:tc>
        <w:tc>
          <w:tcPr>
            <w:tcW w:type="dxa" w:w="5472"/>
            <w:tcMar>
              <w:top w:w="70" w:type="dxa"/>
              <w:start w:w="80" w:type="dxa"/>
              <w:bottom w:w="70" w:type="dxa"/>
              <w:end w:w="80" w:type="dxa"/>
            </w:tcMar>
            <w:vAlign w:val="top"/>
            <w:shd w:fill="F7FAFC"/>
          </w:tcPr>
          <w:p>
            <w:r>
              <w:rPr>
                <w:rFonts w:ascii="Aptos" w:hAnsi="Aptos"/>
                <w:b w:val="0"/>
                <w:sz w:val="16"/>
              </w:rPr>
              <w:t>Scenario, alert handling or case-management weakness.</w:t>
            </w:r>
          </w:p>
        </w:tc>
      </w:tr>
      <w:tr>
        <w:tc>
          <w:tcPr>
            <w:tcW w:type="dxa" w:w="2016"/>
            <w:tcMar>
              <w:top w:w="70" w:type="dxa"/>
              <w:start w:w="80" w:type="dxa"/>
              <w:bottom w:w="70" w:type="dxa"/>
              <w:end w:w="80" w:type="dxa"/>
            </w:tcMar>
            <w:vAlign w:val="top"/>
          </w:tcPr>
          <w:p>
            <w:r>
              <w:rPr>
                <w:rFonts w:ascii="Aptos" w:hAnsi="Aptos"/>
                <w:b w:val="0"/>
                <w:sz w:val="16"/>
              </w:rPr>
              <w:t>AML/FC</w:t>
            </w:r>
          </w:p>
        </w:tc>
        <w:tc>
          <w:tcPr>
            <w:tcW w:type="dxa" w:w="2880"/>
            <w:tcMar>
              <w:top w:w="70" w:type="dxa"/>
              <w:start w:w="80" w:type="dxa"/>
              <w:bottom w:w="70" w:type="dxa"/>
              <w:end w:w="80" w:type="dxa"/>
            </w:tcMar>
            <w:vAlign w:val="top"/>
          </w:tcPr>
          <w:p>
            <w:r>
              <w:rPr>
                <w:rFonts w:ascii="Aptos" w:hAnsi="Aptos"/>
                <w:b w:val="0"/>
                <w:sz w:val="16"/>
              </w:rPr>
              <w:t>Sanctions</w:t>
            </w:r>
          </w:p>
        </w:tc>
        <w:tc>
          <w:tcPr>
            <w:tcW w:type="dxa" w:w="5472"/>
            <w:tcMar>
              <w:top w:w="70" w:type="dxa"/>
              <w:start w:w="80" w:type="dxa"/>
              <w:bottom w:w="70" w:type="dxa"/>
              <w:end w:w="80" w:type="dxa"/>
            </w:tcMar>
            <w:vAlign w:val="top"/>
          </w:tcPr>
          <w:p>
            <w:r>
              <w:rPr>
                <w:rFonts w:ascii="Aptos" w:hAnsi="Aptos"/>
                <w:b w:val="0"/>
                <w:sz w:val="16"/>
              </w:rPr>
              <w:t>Screening/disposition or restriction failure.</w:t>
            </w:r>
          </w:p>
        </w:tc>
      </w:tr>
      <w:tr>
        <w:tc>
          <w:tcPr>
            <w:tcW w:type="dxa" w:w="2016"/>
            <w:tcMar>
              <w:top w:w="70" w:type="dxa"/>
              <w:start w:w="80" w:type="dxa"/>
              <w:bottom w:w="70" w:type="dxa"/>
              <w:end w:w="80" w:type="dxa"/>
            </w:tcMar>
            <w:vAlign w:val="top"/>
            <w:shd w:fill="F7FAFC"/>
          </w:tcPr>
          <w:p>
            <w:r>
              <w:rPr>
                <w:rFonts w:ascii="Aptos" w:hAnsi="Aptos"/>
                <w:b w:val="0"/>
                <w:sz w:val="16"/>
              </w:rPr>
              <w:t>AML/FC</w:t>
            </w:r>
          </w:p>
        </w:tc>
        <w:tc>
          <w:tcPr>
            <w:tcW w:type="dxa" w:w="2880"/>
            <w:tcMar>
              <w:top w:w="70" w:type="dxa"/>
              <w:start w:w="80" w:type="dxa"/>
              <w:bottom w:w="70" w:type="dxa"/>
              <w:end w:w="80" w:type="dxa"/>
            </w:tcMar>
            <w:vAlign w:val="top"/>
            <w:shd w:fill="F7FAFC"/>
          </w:tcPr>
          <w:p>
            <w:r>
              <w:rPr>
                <w:rFonts w:ascii="Aptos" w:hAnsi="Aptos"/>
                <w:b w:val="0"/>
                <w:sz w:val="16"/>
              </w:rPr>
              <w:t>PEP/EDD</w:t>
            </w:r>
          </w:p>
        </w:tc>
        <w:tc>
          <w:tcPr>
            <w:tcW w:type="dxa" w:w="5472"/>
            <w:tcMar>
              <w:top w:w="70" w:type="dxa"/>
              <w:start w:w="80" w:type="dxa"/>
              <w:bottom w:w="70" w:type="dxa"/>
              <w:end w:w="80" w:type="dxa"/>
            </w:tcMar>
            <w:vAlign w:val="top"/>
            <w:shd w:fill="F7FAFC"/>
          </w:tcPr>
          <w:p>
            <w:r>
              <w:rPr>
                <w:rFonts w:ascii="Aptos" w:hAnsi="Aptos"/>
                <w:b w:val="0"/>
                <w:sz w:val="16"/>
              </w:rPr>
              <w:t>Enhanced due-diligence/approval weakness.</w:t>
            </w:r>
          </w:p>
        </w:tc>
      </w:tr>
      <w:tr>
        <w:tc>
          <w:tcPr>
            <w:tcW w:type="dxa" w:w="2016"/>
            <w:tcMar>
              <w:top w:w="70" w:type="dxa"/>
              <w:start w:w="80" w:type="dxa"/>
              <w:bottom w:w="70" w:type="dxa"/>
              <w:end w:w="80" w:type="dxa"/>
            </w:tcMar>
            <w:vAlign w:val="top"/>
          </w:tcPr>
          <w:p>
            <w:r>
              <w:rPr>
                <w:rFonts w:ascii="Aptos" w:hAnsi="Aptos"/>
                <w:b w:val="0"/>
                <w:sz w:val="16"/>
              </w:rPr>
              <w:t>Cyber/IS</w:t>
            </w:r>
          </w:p>
        </w:tc>
        <w:tc>
          <w:tcPr>
            <w:tcW w:type="dxa" w:w="2880"/>
            <w:tcMar>
              <w:top w:w="70" w:type="dxa"/>
              <w:start w:w="80" w:type="dxa"/>
              <w:bottom w:w="70" w:type="dxa"/>
              <w:end w:w="80" w:type="dxa"/>
            </w:tcMar>
            <w:vAlign w:val="top"/>
          </w:tcPr>
          <w:p>
            <w:r>
              <w:rPr>
                <w:rFonts w:ascii="Aptos" w:hAnsi="Aptos"/>
                <w:b w:val="0"/>
                <w:sz w:val="16"/>
              </w:rPr>
              <w:t>Access</w:t>
            </w:r>
          </w:p>
        </w:tc>
        <w:tc>
          <w:tcPr>
            <w:tcW w:type="dxa" w:w="5472"/>
            <w:tcMar>
              <w:top w:w="70" w:type="dxa"/>
              <w:start w:w="80" w:type="dxa"/>
              <w:bottom w:w="70" w:type="dxa"/>
              <w:end w:w="80" w:type="dxa"/>
            </w:tcMar>
            <w:vAlign w:val="top"/>
          </w:tcPr>
          <w:p>
            <w:r>
              <w:rPr>
                <w:rFonts w:ascii="Aptos" w:hAnsi="Aptos"/>
                <w:b w:val="0"/>
                <w:sz w:val="16"/>
              </w:rPr>
              <w:t>Unauthorized or excessive access.</w:t>
            </w:r>
          </w:p>
        </w:tc>
      </w:tr>
      <w:tr>
        <w:tc>
          <w:tcPr>
            <w:tcW w:type="dxa" w:w="2016"/>
            <w:tcMar>
              <w:top w:w="70" w:type="dxa"/>
              <w:start w:w="80" w:type="dxa"/>
              <w:bottom w:w="70" w:type="dxa"/>
              <w:end w:w="80" w:type="dxa"/>
            </w:tcMar>
            <w:vAlign w:val="top"/>
            <w:shd w:fill="F7FAFC"/>
          </w:tcPr>
          <w:p>
            <w:r>
              <w:rPr>
                <w:rFonts w:ascii="Aptos" w:hAnsi="Aptos"/>
                <w:b w:val="0"/>
                <w:sz w:val="16"/>
              </w:rPr>
              <w:t>Cyber/IS</w:t>
            </w:r>
          </w:p>
        </w:tc>
        <w:tc>
          <w:tcPr>
            <w:tcW w:type="dxa" w:w="2880"/>
            <w:tcMar>
              <w:top w:w="70" w:type="dxa"/>
              <w:start w:w="80" w:type="dxa"/>
              <w:bottom w:w="70" w:type="dxa"/>
              <w:end w:w="80" w:type="dxa"/>
            </w:tcMar>
            <w:vAlign w:val="top"/>
            <w:shd w:fill="F7FAFC"/>
          </w:tcPr>
          <w:p>
            <w:r>
              <w:rPr>
                <w:rFonts w:ascii="Aptos" w:hAnsi="Aptos"/>
                <w:b w:val="0"/>
                <w:sz w:val="16"/>
              </w:rPr>
              <w:t>Data</w:t>
            </w:r>
          </w:p>
        </w:tc>
        <w:tc>
          <w:tcPr>
            <w:tcW w:type="dxa" w:w="5472"/>
            <w:tcMar>
              <w:top w:w="70" w:type="dxa"/>
              <w:start w:w="80" w:type="dxa"/>
              <w:bottom w:w="70" w:type="dxa"/>
              <w:end w:w="80" w:type="dxa"/>
            </w:tcMar>
            <w:vAlign w:val="top"/>
            <w:shd w:fill="F7FAFC"/>
          </w:tcPr>
          <w:p>
            <w:r>
              <w:rPr>
                <w:rFonts w:ascii="Aptos" w:hAnsi="Aptos"/>
                <w:b w:val="0"/>
                <w:sz w:val="16"/>
              </w:rPr>
              <w:t>Confidentiality/integrity loss.</w:t>
            </w:r>
          </w:p>
        </w:tc>
      </w:tr>
      <w:tr>
        <w:tc>
          <w:tcPr>
            <w:tcW w:type="dxa" w:w="2016"/>
            <w:tcMar>
              <w:top w:w="70" w:type="dxa"/>
              <w:start w:w="80" w:type="dxa"/>
              <w:bottom w:w="70" w:type="dxa"/>
              <w:end w:w="80" w:type="dxa"/>
            </w:tcMar>
            <w:vAlign w:val="top"/>
          </w:tcPr>
          <w:p>
            <w:r>
              <w:rPr>
                <w:rFonts w:ascii="Aptos" w:hAnsi="Aptos"/>
                <w:b w:val="0"/>
                <w:sz w:val="16"/>
              </w:rPr>
              <w:t>Cyber/IS</w:t>
            </w:r>
          </w:p>
        </w:tc>
        <w:tc>
          <w:tcPr>
            <w:tcW w:type="dxa" w:w="2880"/>
            <w:tcMar>
              <w:top w:w="70" w:type="dxa"/>
              <w:start w:w="80" w:type="dxa"/>
              <w:bottom w:w="70" w:type="dxa"/>
              <w:end w:w="80" w:type="dxa"/>
            </w:tcMar>
            <w:vAlign w:val="top"/>
          </w:tcPr>
          <w:p>
            <w:r>
              <w:rPr>
                <w:rFonts w:ascii="Aptos" w:hAnsi="Aptos"/>
                <w:b w:val="0"/>
                <w:sz w:val="16"/>
              </w:rPr>
              <w:t>Availability</w:t>
            </w:r>
          </w:p>
        </w:tc>
        <w:tc>
          <w:tcPr>
            <w:tcW w:type="dxa" w:w="5472"/>
            <w:tcMar>
              <w:top w:w="70" w:type="dxa"/>
              <w:start w:w="80" w:type="dxa"/>
              <w:bottom w:w="70" w:type="dxa"/>
              <w:end w:w="80" w:type="dxa"/>
            </w:tcMar>
            <w:vAlign w:val="top"/>
          </w:tcPr>
          <w:p>
            <w:r>
              <w:rPr>
                <w:rFonts w:ascii="Aptos" w:hAnsi="Aptos"/>
                <w:b w:val="0"/>
                <w:sz w:val="16"/>
              </w:rPr>
              <w:t>Critical service disruption.</w:t>
            </w:r>
          </w:p>
        </w:tc>
      </w:tr>
      <w:tr>
        <w:tc>
          <w:tcPr>
            <w:tcW w:type="dxa" w:w="2016"/>
            <w:tcMar>
              <w:top w:w="70" w:type="dxa"/>
              <w:start w:w="80" w:type="dxa"/>
              <w:bottom w:w="70" w:type="dxa"/>
              <w:end w:w="80" w:type="dxa"/>
            </w:tcMar>
            <w:vAlign w:val="top"/>
            <w:shd w:fill="F7FAFC"/>
          </w:tcPr>
          <w:p>
            <w:r>
              <w:rPr>
                <w:rFonts w:ascii="Aptos" w:hAnsi="Aptos"/>
                <w:b w:val="0"/>
                <w:sz w:val="16"/>
              </w:rPr>
              <w:t>Cyber/IS</w:t>
            </w:r>
          </w:p>
        </w:tc>
        <w:tc>
          <w:tcPr>
            <w:tcW w:type="dxa" w:w="2880"/>
            <w:tcMar>
              <w:top w:w="70" w:type="dxa"/>
              <w:start w:w="80" w:type="dxa"/>
              <w:bottom w:w="70" w:type="dxa"/>
              <w:end w:w="80" w:type="dxa"/>
            </w:tcMar>
            <w:vAlign w:val="top"/>
            <w:shd w:fill="F7FAFC"/>
          </w:tcPr>
          <w:p>
            <w:r>
              <w:rPr>
                <w:rFonts w:ascii="Aptos" w:hAnsi="Aptos"/>
                <w:b w:val="0"/>
                <w:sz w:val="16"/>
              </w:rPr>
              <w:t>Vulnerability</w:t>
            </w:r>
          </w:p>
        </w:tc>
        <w:tc>
          <w:tcPr>
            <w:tcW w:type="dxa" w:w="5472"/>
            <w:tcMar>
              <w:top w:w="70" w:type="dxa"/>
              <w:start w:w="80" w:type="dxa"/>
              <w:bottom w:w="70" w:type="dxa"/>
              <w:end w:w="80" w:type="dxa"/>
            </w:tcMar>
            <w:vAlign w:val="top"/>
            <w:shd w:fill="F7FAFC"/>
          </w:tcPr>
          <w:p>
            <w:r>
              <w:rPr>
                <w:rFonts w:ascii="Aptos" w:hAnsi="Aptos"/>
                <w:b w:val="0"/>
                <w:sz w:val="16"/>
              </w:rPr>
              <w:t>Known weakness exploited or overdue.</w:t>
            </w:r>
          </w:p>
        </w:tc>
      </w:tr>
      <w:tr>
        <w:tc>
          <w:tcPr>
            <w:tcW w:type="dxa" w:w="2016"/>
            <w:tcMar>
              <w:top w:w="70" w:type="dxa"/>
              <w:start w:w="80" w:type="dxa"/>
              <w:bottom w:w="70" w:type="dxa"/>
              <w:end w:w="80" w:type="dxa"/>
            </w:tcMar>
            <w:vAlign w:val="top"/>
          </w:tcPr>
          <w:p>
            <w:r>
              <w:rPr>
                <w:rFonts w:ascii="Aptos" w:hAnsi="Aptos"/>
                <w:b w:val="0"/>
                <w:sz w:val="16"/>
              </w:rPr>
              <w:t>Model</w:t>
            </w:r>
          </w:p>
        </w:tc>
        <w:tc>
          <w:tcPr>
            <w:tcW w:type="dxa" w:w="2880"/>
            <w:tcMar>
              <w:top w:w="70" w:type="dxa"/>
              <w:start w:w="80" w:type="dxa"/>
              <w:bottom w:w="70" w:type="dxa"/>
              <w:end w:w="80" w:type="dxa"/>
            </w:tcMar>
            <w:vAlign w:val="top"/>
          </w:tcPr>
          <w:p>
            <w:r>
              <w:rPr>
                <w:rFonts w:ascii="Aptos" w:hAnsi="Aptos"/>
                <w:b w:val="0"/>
                <w:sz w:val="16"/>
              </w:rPr>
              <w:t>Design</w:t>
            </w:r>
          </w:p>
        </w:tc>
        <w:tc>
          <w:tcPr>
            <w:tcW w:type="dxa" w:w="5472"/>
            <w:tcMar>
              <w:top w:w="70" w:type="dxa"/>
              <w:start w:w="80" w:type="dxa"/>
              <w:bottom w:w="70" w:type="dxa"/>
              <w:end w:w="80" w:type="dxa"/>
            </w:tcMar>
            <w:vAlign w:val="top"/>
          </w:tcPr>
          <w:p>
            <w:r>
              <w:rPr>
                <w:rFonts w:ascii="Aptos" w:hAnsi="Aptos"/>
                <w:b w:val="0"/>
                <w:sz w:val="16"/>
              </w:rPr>
              <w:t>Methodology does not represent intended risk.</w:t>
            </w:r>
          </w:p>
        </w:tc>
      </w:tr>
      <w:tr>
        <w:tc>
          <w:tcPr>
            <w:tcW w:type="dxa" w:w="2016"/>
            <w:tcMar>
              <w:top w:w="70" w:type="dxa"/>
              <w:start w:w="80" w:type="dxa"/>
              <w:bottom w:w="70" w:type="dxa"/>
              <w:end w:w="80" w:type="dxa"/>
            </w:tcMar>
            <w:vAlign w:val="top"/>
            <w:shd w:fill="F7FAFC"/>
          </w:tcPr>
          <w:p>
            <w:r>
              <w:rPr>
                <w:rFonts w:ascii="Aptos" w:hAnsi="Aptos"/>
                <w:b w:val="0"/>
                <w:sz w:val="16"/>
              </w:rPr>
              <w:t>Model</w:t>
            </w:r>
          </w:p>
        </w:tc>
        <w:tc>
          <w:tcPr>
            <w:tcW w:type="dxa" w:w="2880"/>
            <w:tcMar>
              <w:top w:w="70" w:type="dxa"/>
              <w:start w:w="80" w:type="dxa"/>
              <w:bottom w:w="70" w:type="dxa"/>
              <w:end w:w="80" w:type="dxa"/>
            </w:tcMar>
            <w:vAlign w:val="top"/>
            <w:shd w:fill="F7FAFC"/>
          </w:tcPr>
          <w:p>
            <w:r>
              <w:rPr>
                <w:rFonts w:ascii="Aptos" w:hAnsi="Aptos"/>
                <w:b w:val="0"/>
                <w:sz w:val="16"/>
              </w:rPr>
              <w:t>Data</w:t>
            </w:r>
          </w:p>
        </w:tc>
        <w:tc>
          <w:tcPr>
            <w:tcW w:type="dxa" w:w="5472"/>
            <w:tcMar>
              <w:top w:w="70" w:type="dxa"/>
              <w:start w:w="80" w:type="dxa"/>
              <w:bottom w:w="70" w:type="dxa"/>
              <w:end w:w="80" w:type="dxa"/>
            </w:tcMar>
            <w:vAlign w:val="top"/>
            <w:shd w:fill="F7FAFC"/>
          </w:tcPr>
          <w:p>
            <w:r>
              <w:rPr>
                <w:rFonts w:ascii="Aptos" w:hAnsi="Aptos"/>
                <w:b w:val="0"/>
                <w:sz w:val="16"/>
              </w:rPr>
              <w:t>Incorrect/incomplete/stale inputs.</w:t>
            </w:r>
          </w:p>
        </w:tc>
      </w:tr>
      <w:tr>
        <w:tc>
          <w:tcPr>
            <w:tcW w:type="dxa" w:w="2016"/>
            <w:tcMar>
              <w:top w:w="70" w:type="dxa"/>
              <w:start w:w="80" w:type="dxa"/>
              <w:bottom w:w="70" w:type="dxa"/>
              <w:end w:w="80" w:type="dxa"/>
            </w:tcMar>
            <w:vAlign w:val="top"/>
          </w:tcPr>
          <w:p>
            <w:r>
              <w:rPr>
                <w:rFonts w:ascii="Aptos" w:hAnsi="Aptos"/>
                <w:b w:val="0"/>
                <w:sz w:val="16"/>
              </w:rPr>
              <w:t>Model</w:t>
            </w:r>
          </w:p>
        </w:tc>
        <w:tc>
          <w:tcPr>
            <w:tcW w:type="dxa" w:w="2880"/>
            <w:tcMar>
              <w:top w:w="70" w:type="dxa"/>
              <w:start w:w="80" w:type="dxa"/>
              <w:bottom w:w="70" w:type="dxa"/>
              <w:end w:w="80" w:type="dxa"/>
            </w:tcMar>
            <w:vAlign w:val="top"/>
          </w:tcPr>
          <w:p>
            <w:r>
              <w:rPr>
                <w:rFonts w:ascii="Aptos" w:hAnsi="Aptos"/>
                <w:b w:val="0"/>
                <w:sz w:val="16"/>
              </w:rPr>
              <w:t>Implementation</w:t>
            </w:r>
          </w:p>
        </w:tc>
        <w:tc>
          <w:tcPr>
            <w:tcW w:type="dxa" w:w="5472"/>
            <w:tcMar>
              <w:top w:w="70" w:type="dxa"/>
              <w:start w:w="80" w:type="dxa"/>
              <w:bottom w:w="70" w:type="dxa"/>
              <w:end w:w="80" w:type="dxa"/>
            </w:tcMar>
            <w:vAlign w:val="top"/>
          </w:tcPr>
          <w:p>
            <w:r>
              <w:rPr>
                <w:rFonts w:ascii="Aptos" w:hAnsi="Aptos"/>
                <w:b w:val="0"/>
                <w:sz w:val="16"/>
              </w:rPr>
              <w:t>Code/configuration differs from approved design.</w:t>
            </w:r>
          </w:p>
        </w:tc>
      </w:tr>
      <w:tr>
        <w:tc>
          <w:tcPr>
            <w:tcW w:type="dxa" w:w="2016"/>
            <w:tcMar>
              <w:top w:w="70" w:type="dxa"/>
              <w:start w:w="80" w:type="dxa"/>
              <w:bottom w:w="70" w:type="dxa"/>
              <w:end w:w="80" w:type="dxa"/>
            </w:tcMar>
            <w:vAlign w:val="top"/>
            <w:shd w:fill="F7FAFC"/>
          </w:tcPr>
          <w:p>
            <w:r>
              <w:rPr>
                <w:rFonts w:ascii="Aptos" w:hAnsi="Aptos"/>
                <w:b w:val="0"/>
                <w:sz w:val="16"/>
              </w:rPr>
              <w:t>Model</w:t>
            </w:r>
          </w:p>
        </w:tc>
        <w:tc>
          <w:tcPr>
            <w:tcW w:type="dxa" w:w="2880"/>
            <w:tcMar>
              <w:top w:w="70" w:type="dxa"/>
              <w:start w:w="80" w:type="dxa"/>
              <w:bottom w:w="70" w:type="dxa"/>
              <w:end w:w="80" w:type="dxa"/>
            </w:tcMar>
            <w:vAlign w:val="top"/>
            <w:shd w:fill="F7FAFC"/>
          </w:tcPr>
          <w:p>
            <w:r>
              <w:rPr>
                <w:rFonts w:ascii="Aptos" w:hAnsi="Aptos"/>
                <w:b w:val="0"/>
                <w:sz w:val="16"/>
              </w:rPr>
              <w:t>Use</w:t>
            </w:r>
          </w:p>
        </w:tc>
        <w:tc>
          <w:tcPr>
            <w:tcW w:type="dxa" w:w="5472"/>
            <w:tcMar>
              <w:top w:w="70" w:type="dxa"/>
              <w:start w:w="80" w:type="dxa"/>
              <w:bottom w:w="70" w:type="dxa"/>
              <w:end w:w="80" w:type="dxa"/>
            </w:tcMar>
            <w:vAlign w:val="top"/>
            <w:shd w:fill="F7FAFC"/>
          </w:tcPr>
          <w:p>
            <w:r>
              <w:rPr>
                <w:rFonts w:ascii="Aptos" w:hAnsi="Aptos"/>
                <w:b w:val="0"/>
                <w:sz w:val="16"/>
              </w:rPr>
              <w:t>Output misunderstood or applied outside intended scope.</w:t>
            </w:r>
          </w:p>
        </w:tc>
      </w:tr>
      <w:tr>
        <w:tc>
          <w:tcPr>
            <w:tcW w:type="dxa" w:w="2016"/>
            <w:tcMar>
              <w:top w:w="70" w:type="dxa"/>
              <w:start w:w="80" w:type="dxa"/>
              <w:bottom w:w="70" w:type="dxa"/>
              <w:end w:w="80" w:type="dxa"/>
            </w:tcMar>
            <w:vAlign w:val="top"/>
          </w:tcPr>
          <w:p>
            <w:r>
              <w:rPr>
                <w:rFonts w:ascii="Aptos" w:hAnsi="Aptos"/>
                <w:b w:val="0"/>
                <w:sz w:val="16"/>
              </w:rPr>
              <w:t>Reputational</w:t>
            </w:r>
          </w:p>
        </w:tc>
        <w:tc>
          <w:tcPr>
            <w:tcW w:type="dxa" w:w="2880"/>
            <w:tcMar>
              <w:top w:w="70" w:type="dxa"/>
              <w:start w:w="80" w:type="dxa"/>
              <w:bottom w:w="70" w:type="dxa"/>
              <w:end w:w="80" w:type="dxa"/>
            </w:tcMar>
            <w:vAlign w:val="top"/>
          </w:tcPr>
          <w:p>
            <w:r>
              <w:rPr>
                <w:rFonts w:ascii="Aptos" w:hAnsi="Aptos"/>
                <w:b w:val="0"/>
                <w:sz w:val="16"/>
              </w:rPr>
              <w:t>Stakeholder trust</w:t>
            </w:r>
          </w:p>
        </w:tc>
        <w:tc>
          <w:tcPr>
            <w:tcW w:type="dxa" w:w="5472"/>
            <w:tcMar>
              <w:top w:w="70" w:type="dxa"/>
              <w:start w:w="80" w:type="dxa"/>
              <w:bottom w:w="70" w:type="dxa"/>
              <w:end w:w="80" w:type="dxa"/>
            </w:tcMar>
            <w:vAlign w:val="top"/>
          </w:tcPr>
          <w:p>
            <w:r>
              <w:rPr>
                <w:rFonts w:ascii="Aptos" w:hAnsi="Aptos"/>
                <w:b w:val="0"/>
                <w:sz w:val="16"/>
              </w:rPr>
              <w:t>Material loss of customer/partner/employee confidence.</w:t>
            </w:r>
          </w:p>
        </w:tc>
      </w:tr>
      <w:tr>
        <w:tc>
          <w:tcPr>
            <w:tcW w:type="dxa" w:w="2016"/>
            <w:tcMar>
              <w:top w:w="70" w:type="dxa"/>
              <w:start w:w="80" w:type="dxa"/>
              <w:bottom w:w="70" w:type="dxa"/>
              <w:end w:w="80" w:type="dxa"/>
            </w:tcMar>
            <w:vAlign w:val="top"/>
            <w:shd w:fill="F7FAFC"/>
          </w:tcPr>
          <w:p>
            <w:r>
              <w:rPr>
                <w:rFonts w:ascii="Aptos" w:hAnsi="Aptos"/>
                <w:b w:val="0"/>
                <w:sz w:val="16"/>
              </w:rPr>
              <w:t>Strategic</w:t>
            </w:r>
          </w:p>
        </w:tc>
        <w:tc>
          <w:tcPr>
            <w:tcW w:type="dxa" w:w="2880"/>
            <w:tcMar>
              <w:top w:w="70" w:type="dxa"/>
              <w:start w:w="80" w:type="dxa"/>
              <w:bottom w:w="70" w:type="dxa"/>
              <w:end w:w="80" w:type="dxa"/>
            </w:tcMar>
            <w:vAlign w:val="top"/>
            <w:shd w:fill="F7FAFC"/>
          </w:tcPr>
          <w:p>
            <w:r>
              <w:rPr>
                <w:rFonts w:ascii="Aptos" w:hAnsi="Aptos"/>
                <w:b w:val="0"/>
                <w:sz w:val="16"/>
              </w:rPr>
              <w:t>Execution</w:t>
            </w:r>
          </w:p>
        </w:tc>
        <w:tc>
          <w:tcPr>
            <w:tcW w:type="dxa" w:w="5472"/>
            <w:tcMar>
              <w:top w:w="70" w:type="dxa"/>
              <w:start w:w="80" w:type="dxa"/>
              <w:bottom w:w="70" w:type="dxa"/>
              <w:end w:w="80" w:type="dxa"/>
            </w:tcMar>
            <w:vAlign w:val="top"/>
            <w:shd w:fill="F7FAFC"/>
          </w:tcPr>
          <w:p>
            <w:r>
              <w:rPr>
                <w:rFonts w:ascii="Aptos" w:hAnsi="Aptos"/>
                <w:b w:val="0"/>
                <w:sz w:val="16"/>
              </w:rPr>
              <w:t>Business strategy or change initiative fails to deliver.</w:t>
            </w:r>
          </w:p>
        </w:tc>
      </w:tr>
      <w:tr>
        <w:tc>
          <w:tcPr>
            <w:tcW w:type="dxa" w:w="2016"/>
            <w:tcMar>
              <w:top w:w="70" w:type="dxa"/>
              <w:start w:w="80" w:type="dxa"/>
              <w:bottom w:w="70" w:type="dxa"/>
              <w:end w:w="80" w:type="dxa"/>
            </w:tcMar>
            <w:vAlign w:val="top"/>
          </w:tcPr>
          <w:p>
            <w:r>
              <w:rPr>
                <w:rFonts w:ascii="Aptos" w:hAnsi="Aptos"/>
                <w:b w:val="0"/>
                <w:sz w:val="16"/>
              </w:rPr>
              <w:t>Strategic</w:t>
            </w:r>
          </w:p>
        </w:tc>
        <w:tc>
          <w:tcPr>
            <w:tcW w:type="dxa" w:w="2880"/>
            <w:tcMar>
              <w:top w:w="70" w:type="dxa"/>
              <w:start w:w="80" w:type="dxa"/>
              <w:bottom w:w="70" w:type="dxa"/>
              <w:end w:w="80" w:type="dxa"/>
            </w:tcMar>
            <w:vAlign w:val="top"/>
          </w:tcPr>
          <w:p>
            <w:r>
              <w:rPr>
                <w:rFonts w:ascii="Aptos" w:hAnsi="Aptos"/>
                <w:b w:val="0"/>
                <w:sz w:val="16"/>
              </w:rPr>
              <w:t>Dependency</w:t>
            </w:r>
          </w:p>
        </w:tc>
        <w:tc>
          <w:tcPr>
            <w:tcW w:type="dxa" w:w="5472"/>
            <w:tcMar>
              <w:top w:w="70" w:type="dxa"/>
              <w:start w:w="80" w:type="dxa"/>
              <w:bottom w:w="70" w:type="dxa"/>
              <w:end w:w="80" w:type="dxa"/>
            </w:tcMar>
            <w:vAlign w:val="top"/>
          </w:tcPr>
          <w:p>
            <w:r>
              <w:rPr>
                <w:rFonts w:ascii="Aptos" w:hAnsi="Aptos"/>
                <w:b w:val="0"/>
                <w:sz w:val="16"/>
              </w:rPr>
              <w:t>Concentration on partner, technology or market assumption.</w:t>
            </w:r>
          </w:p>
        </w:tc>
      </w:tr>
    </w:tbl>
    <w:p/>
    <w:p>
      <w:r>
        <w:br w:type="page"/>
      </w:r>
    </w:p>
    <w:p>
      <w:pPr>
        <w:pStyle w:val="Heading1"/>
      </w:pPr>
      <w:r>
        <w:t>Appendix E — Enterprise KRI Library</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728"/>
            <w:shd w:fill="17365D"/>
            <w:tcMar>
              <w:top w:w="70" w:type="dxa"/>
              <w:start w:w="80" w:type="dxa"/>
              <w:bottom w:w="70" w:type="dxa"/>
              <w:end w:w="80" w:type="dxa"/>
            </w:tcMar>
          </w:tcPr>
          <w:p>
            <w:r>
              <w:rPr>
                <w:rFonts w:ascii="Aptos" w:hAnsi="Aptos"/>
                <w:b/>
                <w:color w:val="FFFFFF"/>
                <w:sz w:val="16"/>
              </w:rPr>
              <w:t>Risk</w:t>
            </w:r>
          </w:p>
        </w:tc>
        <w:tc>
          <w:tcPr>
            <w:tcW w:type="dxa" w:w="3312"/>
            <w:shd w:fill="17365D"/>
            <w:tcMar>
              <w:top w:w="70" w:type="dxa"/>
              <w:start w:w="80" w:type="dxa"/>
              <w:bottom w:w="70" w:type="dxa"/>
              <w:end w:w="80" w:type="dxa"/>
            </w:tcMar>
          </w:tcPr>
          <w:p>
            <w:r>
              <w:rPr>
                <w:rFonts w:ascii="Aptos" w:hAnsi="Aptos"/>
                <w:b/>
                <w:color w:val="FFFFFF"/>
                <w:sz w:val="16"/>
              </w:rPr>
              <w:t>KRI</w:t>
            </w:r>
          </w:p>
        </w:tc>
        <w:tc>
          <w:tcPr>
            <w:tcW w:type="dxa" w:w="1584"/>
            <w:shd w:fill="17365D"/>
            <w:tcMar>
              <w:top w:w="70" w:type="dxa"/>
              <w:start w:w="80" w:type="dxa"/>
              <w:bottom w:w="70" w:type="dxa"/>
              <w:end w:w="80" w:type="dxa"/>
            </w:tcMar>
          </w:tcPr>
          <w:p>
            <w:r>
              <w:rPr>
                <w:rFonts w:ascii="Aptos" w:hAnsi="Aptos"/>
                <w:b/>
                <w:color w:val="FFFFFF"/>
                <w:sz w:val="16"/>
              </w:rPr>
              <w:t>Frequency</w:t>
            </w:r>
          </w:p>
        </w:tc>
        <w:tc>
          <w:tcPr>
            <w:tcW w:type="dxa" w:w="2160"/>
            <w:shd w:fill="17365D"/>
            <w:tcMar>
              <w:top w:w="70" w:type="dxa"/>
              <w:start w:w="80" w:type="dxa"/>
              <w:bottom w:w="70" w:type="dxa"/>
              <w:end w:w="80" w:type="dxa"/>
            </w:tcMar>
          </w:tcPr>
          <w:p>
            <w:r>
              <w:rPr>
                <w:rFonts w:ascii="Aptos" w:hAnsi="Aptos"/>
                <w:b/>
                <w:color w:val="FFFFFF"/>
                <w:sz w:val="16"/>
              </w:rPr>
              <w:t>Owner</w:t>
            </w:r>
          </w:p>
        </w:tc>
        <w:tc>
          <w:tcPr>
            <w:tcW w:type="dxa" w:w="3024"/>
            <w:shd w:fill="17365D"/>
            <w:tcMar>
              <w:top w:w="70" w:type="dxa"/>
              <w:start w:w="80" w:type="dxa"/>
              <w:bottom w:w="70" w:type="dxa"/>
              <w:end w:w="80" w:type="dxa"/>
            </w:tcMar>
          </w:tcPr>
          <w:p>
            <w:r>
              <w:rPr>
                <w:rFonts w:ascii="Aptos" w:hAnsi="Aptos"/>
                <w:b/>
                <w:color w:val="FFFFFF"/>
                <w:sz w:val="16"/>
              </w:rPr>
              <w:t>Threshold / Use</w:t>
            </w:r>
          </w:p>
        </w:tc>
      </w:tr>
      <w:tr>
        <w:tc>
          <w:tcPr>
            <w:tcW w:type="dxa" w:w="1728"/>
            <w:tcMar>
              <w:top w:w="70" w:type="dxa"/>
              <w:start w:w="80" w:type="dxa"/>
              <w:bottom w:w="70" w:type="dxa"/>
              <w:end w:w="80" w:type="dxa"/>
            </w:tcMar>
            <w:vAlign w:val="top"/>
          </w:tcPr>
          <w:p>
            <w:r>
              <w:rPr>
                <w:rFonts w:ascii="Aptos" w:hAnsi="Aptos"/>
                <w:b w:val="0"/>
                <w:sz w:val="16"/>
              </w:rPr>
              <w:t>Credit</w:t>
            </w:r>
          </w:p>
        </w:tc>
        <w:tc>
          <w:tcPr>
            <w:tcW w:type="dxa" w:w="3312"/>
            <w:tcMar>
              <w:top w:w="70" w:type="dxa"/>
              <w:start w:w="80" w:type="dxa"/>
              <w:bottom w:w="70" w:type="dxa"/>
              <w:end w:w="80" w:type="dxa"/>
            </w:tcMar>
            <w:vAlign w:val="top"/>
          </w:tcPr>
          <w:p>
            <w:r>
              <w:rPr>
                <w:rFonts w:ascii="Aptos" w:hAnsi="Aptos"/>
                <w:b w:val="0"/>
                <w:sz w:val="16"/>
              </w:rPr>
              <w:t>30+ DPD ratio</w:t>
            </w:r>
          </w:p>
        </w:tc>
        <w:tc>
          <w:tcPr>
            <w:tcW w:type="dxa" w:w="1584"/>
            <w:tcMar>
              <w:top w:w="70" w:type="dxa"/>
              <w:start w:w="80" w:type="dxa"/>
              <w:bottom w:w="70" w:type="dxa"/>
              <w:end w:w="80" w:type="dxa"/>
            </w:tcMar>
            <w:vAlign w:val="top"/>
          </w:tcPr>
          <w:p>
            <w:r>
              <w:rPr>
                <w:rFonts w:ascii="Aptos" w:hAnsi="Aptos"/>
                <w:b w:val="0"/>
                <w:sz w:val="16"/>
              </w:rPr>
              <w:t>Monthly</w:t>
            </w:r>
          </w:p>
        </w:tc>
        <w:tc>
          <w:tcPr>
            <w:tcW w:type="dxa" w:w="2160"/>
            <w:tcMar>
              <w:top w:w="70" w:type="dxa"/>
              <w:start w:w="80" w:type="dxa"/>
              <w:bottom w:w="70" w:type="dxa"/>
              <w:end w:w="80" w:type="dxa"/>
            </w:tcMar>
            <w:vAlign w:val="top"/>
          </w:tcPr>
          <w:p>
            <w:r>
              <w:rPr>
                <w:rFonts w:ascii="Aptos" w:hAnsi="Aptos"/>
                <w:b w:val="0"/>
                <w:sz w:val="16"/>
              </w:rPr>
              <w:t>Credit Risk</w:t>
            </w:r>
          </w:p>
        </w:tc>
        <w:tc>
          <w:tcPr>
            <w:tcW w:type="dxa" w:w="3024"/>
            <w:tcMar>
              <w:top w:w="70" w:type="dxa"/>
              <w:start w:w="80" w:type="dxa"/>
              <w:bottom w:w="70" w:type="dxa"/>
              <w:end w:w="80" w:type="dxa"/>
            </w:tcMar>
            <w:vAlign w:val="top"/>
          </w:tcPr>
          <w:p>
            <w:r>
              <w:rPr>
                <w:rFonts w:ascii="Aptos" w:hAnsi="Aptos"/>
                <w:b w:val="0"/>
                <w:sz w:val="16"/>
              </w:rPr>
              <w:t>Trend + RAS-009 threshold</w:t>
            </w:r>
          </w:p>
        </w:tc>
      </w:tr>
      <w:tr>
        <w:tc>
          <w:tcPr>
            <w:tcW w:type="dxa" w:w="1728"/>
            <w:tcMar>
              <w:top w:w="70" w:type="dxa"/>
              <w:start w:w="80" w:type="dxa"/>
              <w:bottom w:w="70" w:type="dxa"/>
              <w:end w:w="80" w:type="dxa"/>
            </w:tcMar>
            <w:vAlign w:val="top"/>
            <w:shd w:fill="F7FAFC"/>
          </w:tcPr>
          <w:p>
            <w:r>
              <w:rPr>
                <w:rFonts w:ascii="Aptos" w:hAnsi="Aptos"/>
                <w:b w:val="0"/>
                <w:sz w:val="16"/>
              </w:rPr>
              <w:t>Credit</w:t>
            </w:r>
          </w:p>
        </w:tc>
        <w:tc>
          <w:tcPr>
            <w:tcW w:type="dxa" w:w="3312"/>
            <w:tcMar>
              <w:top w:w="70" w:type="dxa"/>
              <w:start w:w="80" w:type="dxa"/>
              <w:bottom w:w="70" w:type="dxa"/>
              <w:end w:w="80" w:type="dxa"/>
            </w:tcMar>
            <w:vAlign w:val="top"/>
            <w:shd w:fill="F7FAFC"/>
          </w:tcPr>
          <w:p>
            <w:r>
              <w:rPr>
                <w:rFonts w:ascii="Aptos" w:hAnsi="Aptos"/>
                <w:b w:val="0"/>
                <w:sz w:val="16"/>
              </w:rPr>
              <w:t>Gross internal NPA ratio</w:t>
            </w:r>
          </w:p>
        </w:tc>
        <w:tc>
          <w:tcPr>
            <w:tcW w:type="dxa" w:w="1584"/>
            <w:tcMar>
              <w:top w:w="70" w:type="dxa"/>
              <w:start w:w="80" w:type="dxa"/>
              <w:bottom w:w="70" w:type="dxa"/>
              <w:end w:w="80" w:type="dxa"/>
            </w:tcMar>
            <w:vAlign w:val="top"/>
            <w:shd w:fill="F7FAFC"/>
          </w:tcPr>
          <w:p>
            <w:r>
              <w:rPr>
                <w:rFonts w:ascii="Aptos" w:hAnsi="Aptos"/>
                <w:b w:val="0"/>
                <w:sz w:val="16"/>
              </w:rPr>
              <w:t>Monthly</w:t>
            </w:r>
          </w:p>
        </w:tc>
        <w:tc>
          <w:tcPr>
            <w:tcW w:type="dxa" w:w="2160"/>
            <w:tcMar>
              <w:top w:w="70" w:type="dxa"/>
              <w:start w:w="80" w:type="dxa"/>
              <w:bottom w:w="70" w:type="dxa"/>
              <w:end w:w="80" w:type="dxa"/>
            </w:tcMar>
            <w:vAlign w:val="top"/>
            <w:shd w:fill="F7FAFC"/>
          </w:tcPr>
          <w:p>
            <w:r>
              <w:rPr>
                <w:rFonts w:ascii="Aptos" w:hAnsi="Aptos"/>
                <w:b w:val="0"/>
                <w:sz w:val="16"/>
              </w:rPr>
              <w:t>Credit Risk</w:t>
            </w:r>
          </w:p>
        </w:tc>
        <w:tc>
          <w:tcPr>
            <w:tcW w:type="dxa" w:w="3024"/>
            <w:tcMar>
              <w:top w:w="70" w:type="dxa"/>
              <w:start w:w="80" w:type="dxa"/>
              <w:bottom w:w="70" w:type="dxa"/>
              <w:end w:w="80" w:type="dxa"/>
            </w:tcMar>
            <w:vAlign w:val="top"/>
            <w:shd w:fill="F7FAFC"/>
          </w:tcPr>
          <w:p>
            <w:r>
              <w:rPr>
                <w:rFonts w:ascii="Aptos" w:hAnsi="Aptos"/>
                <w:b w:val="0"/>
                <w:sz w:val="16"/>
              </w:rPr>
              <w:t>RAS-009 appetite ≤3.5%</w:t>
            </w:r>
          </w:p>
        </w:tc>
      </w:tr>
      <w:tr>
        <w:tc>
          <w:tcPr>
            <w:tcW w:type="dxa" w:w="1728"/>
            <w:tcMar>
              <w:top w:w="70" w:type="dxa"/>
              <w:start w:w="80" w:type="dxa"/>
              <w:bottom w:w="70" w:type="dxa"/>
              <w:end w:w="80" w:type="dxa"/>
            </w:tcMar>
            <w:vAlign w:val="top"/>
          </w:tcPr>
          <w:p>
            <w:r>
              <w:rPr>
                <w:rFonts w:ascii="Aptos" w:hAnsi="Aptos"/>
                <w:b w:val="0"/>
                <w:sz w:val="16"/>
              </w:rPr>
              <w:t>Credit</w:t>
            </w:r>
          </w:p>
        </w:tc>
        <w:tc>
          <w:tcPr>
            <w:tcW w:type="dxa" w:w="3312"/>
            <w:tcMar>
              <w:top w:w="70" w:type="dxa"/>
              <w:start w:w="80" w:type="dxa"/>
              <w:bottom w:w="70" w:type="dxa"/>
              <w:end w:w="80" w:type="dxa"/>
            </w:tcMar>
            <w:vAlign w:val="top"/>
          </w:tcPr>
          <w:p>
            <w:r>
              <w:rPr>
                <w:rFonts w:ascii="Aptos" w:hAnsi="Aptos"/>
                <w:b w:val="0"/>
                <w:sz w:val="16"/>
              </w:rPr>
              <w:t>PL DTI exception rate</w:t>
            </w:r>
          </w:p>
        </w:tc>
        <w:tc>
          <w:tcPr>
            <w:tcW w:type="dxa" w:w="1584"/>
            <w:tcMar>
              <w:top w:w="70" w:type="dxa"/>
              <w:start w:w="80" w:type="dxa"/>
              <w:bottom w:w="70" w:type="dxa"/>
              <w:end w:w="80" w:type="dxa"/>
            </w:tcMar>
            <w:vAlign w:val="top"/>
          </w:tcPr>
          <w:p>
            <w:r>
              <w:rPr>
                <w:rFonts w:ascii="Aptos" w:hAnsi="Aptos"/>
                <w:b w:val="0"/>
                <w:sz w:val="16"/>
              </w:rPr>
              <w:t>Monthly/Quarterly</w:t>
            </w:r>
          </w:p>
        </w:tc>
        <w:tc>
          <w:tcPr>
            <w:tcW w:type="dxa" w:w="2160"/>
            <w:tcMar>
              <w:top w:w="70" w:type="dxa"/>
              <w:start w:w="80" w:type="dxa"/>
              <w:bottom w:w="70" w:type="dxa"/>
              <w:end w:w="80" w:type="dxa"/>
            </w:tcMar>
            <w:vAlign w:val="top"/>
          </w:tcPr>
          <w:p>
            <w:r>
              <w:rPr>
                <w:rFonts w:ascii="Aptos" w:hAnsi="Aptos"/>
                <w:b w:val="0"/>
                <w:sz w:val="16"/>
              </w:rPr>
              <w:t>Credit Risk</w:t>
            </w:r>
          </w:p>
        </w:tc>
        <w:tc>
          <w:tcPr>
            <w:tcW w:type="dxa" w:w="3024"/>
            <w:tcMar>
              <w:top w:w="70" w:type="dxa"/>
              <w:start w:w="80" w:type="dxa"/>
              <w:bottom w:w="70" w:type="dxa"/>
              <w:end w:w="80" w:type="dxa"/>
            </w:tcMar>
            <w:vAlign w:val="top"/>
          </w:tcPr>
          <w:p>
            <w:r>
              <w:rPr>
                <w:rFonts w:ascii="Aptos" w:hAnsi="Aptos"/>
                <w:b w:val="0"/>
                <w:sz w:val="16"/>
              </w:rPr>
              <w:t>RAS-009 appetite ≤3.0% quarterly approvals</w:t>
            </w:r>
          </w:p>
        </w:tc>
      </w:tr>
      <w:tr>
        <w:tc>
          <w:tcPr>
            <w:tcW w:type="dxa" w:w="1728"/>
            <w:tcMar>
              <w:top w:w="70" w:type="dxa"/>
              <w:start w:w="80" w:type="dxa"/>
              <w:bottom w:w="70" w:type="dxa"/>
              <w:end w:w="80" w:type="dxa"/>
            </w:tcMar>
            <w:vAlign w:val="top"/>
            <w:shd w:fill="F7FAFC"/>
          </w:tcPr>
          <w:p>
            <w:r>
              <w:rPr>
                <w:rFonts w:ascii="Aptos" w:hAnsi="Aptos"/>
                <w:b w:val="0"/>
                <w:sz w:val="16"/>
              </w:rPr>
              <w:t>Credit</w:t>
            </w:r>
          </w:p>
        </w:tc>
        <w:tc>
          <w:tcPr>
            <w:tcW w:type="dxa" w:w="3312"/>
            <w:tcMar>
              <w:top w:w="70" w:type="dxa"/>
              <w:start w:w="80" w:type="dxa"/>
              <w:bottom w:w="70" w:type="dxa"/>
              <w:end w:w="80" w:type="dxa"/>
            </w:tcMar>
            <w:vAlign w:val="top"/>
            <w:shd w:fill="F7FAFC"/>
          </w:tcPr>
          <w:p>
            <w:r>
              <w:rPr>
                <w:rFonts w:ascii="Aptos" w:hAnsi="Aptos"/>
                <w:b w:val="0"/>
                <w:sz w:val="16"/>
              </w:rPr>
              <w:t>Sourcing partner concentration</w:t>
            </w:r>
          </w:p>
        </w:tc>
        <w:tc>
          <w:tcPr>
            <w:tcW w:type="dxa" w:w="1584"/>
            <w:tcMar>
              <w:top w:w="70" w:type="dxa"/>
              <w:start w:w="80" w:type="dxa"/>
              <w:bottom w:w="70" w:type="dxa"/>
              <w:end w:w="80" w:type="dxa"/>
            </w:tcMar>
            <w:vAlign w:val="top"/>
            <w:shd w:fill="F7FAFC"/>
          </w:tcPr>
          <w:p>
            <w:r>
              <w:rPr>
                <w:rFonts w:ascii="Aptos" w:hAnsi="Aptos"/>
                <w:b w:val="0"/>
                <w:sz w:val="16"/>
              </w:rPr>
              <w:t>Quarterly</w:t>
            </w:r>
          </w:p>
        </w:tc>
        <w:tc>
          <w:tcPr>
            <w:tcW w:type="dxa" w:w="2160"/>
            <w:tcMar>
              <w:top w:w="70" w:type="dxa"/>
              <w:start w:w="80" w:type="dxa"/>
              <w:bottom w:w="70" w:type="dxa"/>
              <w:end w:w="80" w:type="dxa"/>
            </w:tcMar>
            <w:vAlign w:val="top"/>
            <w:shd w:fill="F7FAFC"/>
          </w:tcPr>
          <w:p>
            <w:r>
              <w:rPr>
                <w:rFonts w:ascii="Aptos" w:hAnsi="Aptos"/>
                <w:b w:val="0"/>
                <w:sz w:val="16"/>
              </w:rPr>
              <w:t>Portfolio Risk</w:t>
            </w:r>
          </w:p>
        </w:tc>
        <w:tc>
          <w:tcPr>
            <w:tcW w:type="dxa" w:w="3024"/>
            <w:tcMar>
              <w:top w:w="70" w:type="dxa"/>
              <w:start w:w="80" w:type="dxa"/>
              <w:bottom w:w="70" w:type="dxa"/>
              <w:end w:w="80" w:type="dxa"/>
            </w:tcMar>
            <w:vAlign w:val="top"/>
            <w:shd w:fill="F7FAFC"/>
          </w:tcPr>
          <w:p>
            <w:r>
              <w:rPr>
                <w:rFonts w:ascii="Aptos" w:hAnsi="Aptos"/>
                <w:b w:val="0"/>
                <w:sz w:val="16"/>
              </w:rPr>
              <w:t>&gt;15% management review trigger</w:t>
            </w:r>
          </w:p>
        </w:tc>
      </w:tr>
      <w:tr>
        <w:tc>
          <w:tcPr>
            <w:tcW w:type="dxa" w:w="1728"/>
            <w:tcMar>
              <w:top w:w="70" w:type="dxa"/>
              <w:start w:w="80" w:type="dxa"/>
              <w:bottom w:w="70" w:type="dxa"/>
              <w:end w:w="80" w:type="dxa"/>
            </w:tcMar>
            <w:vAlign w:val="top"/>
          </w:tcPr>
          <w:p>
            <w:r>
              <w:rPr>
                <w:rFonts w:ascii="Aptos" w:hAnsi="Aptos"/>
                <w:b w:val="0"/>
                <w:sz w:val="16"/>
              </w:rPr>
              <w:t>Credit</w:t>
            </w:r>
          </w:p>
        </w:tc>
        <w:tc>
          <w:tcPr>
            <w:tcW w:type="dxa" w:w="3312"/>
            <w:tcMar>
              <w:top w:w="70" w:type="dxa"/>
              <w:start w:w="80" w:type="dxa"/>
              <w:bottom w:w="70" w:type="dxa"/>
              <w:end w:w="80" w:type="dxa"/>
            </w:tcMar>
            <w:vAlign w:val="top"/>
          </w:tcPr>
          <w:p>
            <w:r>
              <w:rPr>
                <w:rFonts w:ascii="Aptos" w:hAnsi="Aptos"/>
                <w:b w:val="0"/>
                <w:sz w:val="16"/>
              </w:rPr>
              <w:t>District unsecured concentration</w:t>
            </w:r>
          </w:p>
        </w:tc>
        <w:tc>
          <w:tcPr>
            <w:tcW w:type="dxa" w:w="1584"/>
            <w:tcMar>
              <w:top w:w="70" w:type="dxa"/>
              <w:start w:w="80" w:type="dxa"/>
              <w:bottom w:w="70" w:type="dxa"/>
              <w:end w:w="80" w:type="dxa"/>
            </w:tcMar>
            <w:vAlign w:val="top"/>
          </w:tcPr>
          <w:p>
            <w:r>
              <w:rPr>
                <w:rFonts w:ascii="Aptos" w:hAnsi="Aptos"/>
                <w:b w:val="0"/>
                <w:sz w:val="16"/>
              </w:rPr>
              <w:t>Quarterly</w:t>
            </w:r>
          </w:p>
        </w:tc>
        <w:tc>
          <w:tcPr>
            <w:tcW w:type="dxa" w:w="2160"/>
            <w:tcMar>
              <w:top w:w="70" w:type="dxa"/>
              <w:start w:w="80" w:type="dxa"/>
              <w:bottom w:w="70" w:type="dxa"/>
              <w:end w:w="80" w:type="dxa"/>
            </w:tcMar>
            <w:vAlign w:val="top"/>
          </w:tcPr>
          <w:p>
            <w:r>
              <w:rPr>
                <w:rFonts w:ascii="Aptos" w:hAnsi="Aptos"/>
                <w:b w:val="0"/>
                <w:sz w:val="16"/>
              </w:rPr>
              <w:t>Portfolio Risk</w:t>
            </w:r>
          </w:p>
        </w:tc>
        <w:tc>
          <w:tcPr>
            <w:tcW w:type="dxa" w:w="3024"/>
            <w:tcMar>
              <w:top w:w="70" w:type="dxa"/>
              <w:start w:w="80" w:type="dxa"/>
              <w:bottom w:w="70" w:type="dxa"/>
              <w:end w:w="80" w:type="dxa"/>
            </w:tcMar>
            <w:vAlign w:val="top"/>
          </w:tcPr>
          <w:p>
            <w:r>
              <w:rPr>
                <w:rFonts w:ascii="Aptos" w:hAnsi="Aptos"/>
                <w:b w:val="0"/>
                <w:sz w:val="16"/>
              </w:rPr>
              <w:t>&gt;10% management review trigger</w:t>
            </w:r>
          </w:p>
        </w:tc>
      </w:tr>
      <w:tr>
        <w:tc>
          <w:tcPr>
            <w:tcW w:type="dxa" w:w="1728"/>
            <w:tcMar>
              <w:top w:w="70" w:type="dxa"/>
              <w:start w:w="80" w:type="dxa"/>
              <w:bottom w:w="70" w:type="dxa"/>
              <w:end w:w="80" w:type="dxa"/>
            </w:tcMar>
            <w:vAlign w:val="top"/>
            <w:shd w:fill="F7FAFC"/>
          </w:tcPr>
          <w:p>
            <w:r>
              <w:rPr>
                <w:rFonts w:ascii="Aptos" w:hAnsi="Aptos"/>
                <w:b w:val="0"/>
                <w:sz w:val="16"/>
              </w:rPr>
              <w:t>Credit</w:t>
            </w:r>
          </w:p>
        </w:tc>
        <w:tc>
          <w:tcPr>
            <w:tcW w:type="dxa" w:w="3312"/>
            <w:tcMar>
              <w:top w:w="70" w:type="dxa"/>
              <w:start w:w="80" w:type="dxa"/>
              <w:bottom w:w="70" w:type="dxa"/>
              <w:end w:w="80" w:type="dxa"/>
            </w:tcMar>
            <w:vAlign w:val="top"/>
            <w:shd w:fill="F7FAFC"/>
          </w:tcPr>
          <w:p>
            <w:r>
              <w:rPr>
                <w:rFonts w:ascii="Aptos" w:hAnsi="Aptos"/>
                <w:b w:val="0"/>
                <w:sz w:val="16"/>
              </w:rPr>
              <w:t>SME high-risk industry concentration</w:t>
            </w:r>
          </w:p>
        </w:tc>
        <w:tc>
          <w:tcPr>
            <w:tcW w:type="dxa" w:w="1584"/>
            <w:tcMar>
              <w:top w:w="70" w:type="dxa"/>
              <w:start w:w="80" w:type="dxa"/>
              <w:bottom w:w="70" w:type="dxa"/>
              <w:end w:w="80" w:type="dxa"/>
            </w:tcMar>
            <w:vAlign w:val="top"/>
            <w:shd w:fill="F7FAFC"/>
          </w:tcPr>
          <w:p>
            <w:r>
              <w:rPr>
                <w:rFonts w:ascii="Aptos" w:hAnsi="Aptos"/>
                <w:b w:val="0"/>
                <w:sz w:val="16"/>
              </w:rPr>
              <w:t>Quarterly</w:t>
            </w:r>
          </w:p>
        </w:tc>
        <w:tc>
          <w:tcPr>
            <w:tcW w:type="dxa" w:w="2160"/>
            <w:tcMar>
              <w:top w:w="70" w:type="dxa"/>
              <w:start w:w="80" w:type="dxa"/>
              <w:bottom w:w="70" w:type="dxa"/>
              <w:end w:w="80" w:type="dxa"/>
            </w:tcMar>
            <w:vAlign w:val="top"/>
            <w:shd w:fill="F7FAFC"/>
          </w:tcPr>
          <w:p>
            <w:r>
              <w:rPr>
                <w:rFonts w:ascii="Aptos" w:hAnsi="Aptos"/>
                <w:b w:val="0"/>
                <w:sz w:val="16"/>
              </w:rPr>
              <w:t>SME Risk</w:t>
            </w:r>
          </w:p>
        </w:tc>
        <w:tc>
          <w:tcPr>
            <w:tcW w:type="dxa" w:w="3024"/>
            <w:tcMar>
              <w:top w:w="70" w:type="dxa"/>
              <w:start w:w="80" w:type="dxa"/>
              <w:bottom w:w="70" w:type="dxa"/>
              <w:end w:w="80" w:type="dxa"/>
            </w:tcMar>
            <w:vAlign w:val="top"/>
            <w:shd w:fill="F7FAFC"/>
          </w:tcPr>
          <w:p>
            <w:r>
              <w:rPr>
                <w:rFonts w:ascii="Aptos" w:hAnsi="Aptos"/>
                <w:b w:val="0"/>
                <w:sz w:val="16"/>
              </w:rPr>
              <w:t>&gt;7.5% documented risk response</w:t>
            </w:r>
          </w:p>
        </w:tc>
      </w:tr>
      <w:tr>
        <w:tc>
          <w:tcPr>
            <w:tcW w:type="dxa" w:w="1728"/>
            <w:tcMar>
              <w:top w:w="70" w:type="dxa"/>
              <w:start w:w="80" w:type="dxa"/>
              <w:bottom w:w="70" w:type="dxa"/>
              <w:end w:w="80" w:type="dxa"/>
            </w:tcMar>
            <w:vAlign w:val="top"/>
          </w:tcPr>
          <w:p>
            <w:r>
              <w:rPr>
                <w:rFonts w:ascii="Aptos" w:hAnsi="Aptos"/>
                <w:b w:val="0"/>
                <w:sz w:val="16"/>
              </w:rPr>
              <w:t>KYC</w:t>
            </w:r>
          </w:p>
        </w:tc>
        <w:tc>
          <w:tcPr>
            <w:tcW w:type="dxa" w:w="3312"/>
            <w:tcMar>
              <w:top w:w="70" w:type="dxa"/>
              <w:start w:w="80" w:type="dxa"/>
              <w:bottom w:w="70" w:type="dxa"/>
              <w:end w:w="80" w:type="dxa"/>
            </w:tcMar>
            <w:vAlign w:val="top"/>
          </w:tcPr>
          <w:p>
            <w:r>
              <w:rPr>
                <w:rFonts w:ascii="Aptos" w:hAnsi="Aptos"/>
                <w:b w:val="0"/>
                <w:sz w:val="16"/>
              </w:rPr>
              <w:t>High-risk reviews &gt;30 days overdue</w:t>
            </w:r>
          </w:p>
        </w:tc>
        <w:tc>
          <w:tcPr>
            <w:tcW w:type="dxa" w:w="1584"/>
            <w:tcMar>
              <w:top w:w="70" w:type="dxa"/>
              <w:start w:w="80" w:type="dxa"/>
              <w:bottom w:w="70" w:type="dxa"/>
              <w:end w:w="80" w:type="dxa"/>
            </w:tcMar>
            <w:vAlign w:val="top"/>
          </w:tcPr>
          <w:p>
            <w:r>
              <w:rPr>
                <w:rFonts w:ascii="Aptos" w:hAnsi="Aptos"/>
                <w:b w:val="0"/>
                <w:sz w:val="16"/>
              </w:rPr>
              <w:t>Weekly/Monthly</w:t>
            </w:r>
          </w:p>
        </w:tc>
        <w:tc>
          <w:tcPr>
            <w:tcW w:type="dxa" w:w="2160"/>
            <w:tcMar>
              <w:top w:w="70" w:type="dxa"/>
              <w:start w:w="80" w:type="dxa"/>
              <w:bottom w:w="70" w:type="dxa"/>
              <w:end w:w="80" w:type="dxa"/>
            </w:tcMar>
            <w:vAlign w:val="top"/>
          </w:tcPr>
          <w:p>
            <w:r>
              <w:rPr>
                <w:rFonts w:ascii="Aptos" w:hAnsi="Aptos"/>
                <w:b w:val="0"/>
                <w:sz w:val="16"/>
              </w:rPr>
              <w:t>KYC Operations</w:t>
            </w:r>
          </w:p>
        </w:tc>
        <w:tc>
          <w:tcPr>
            <w:tcW w:type="dxa" w:w="3024"/>
            <w:tcMar>
              <w:top w:w="70" w:type="dxa"/>
              <w:start w:w="80" w:type="dxa"/>
              <w:bottom w:w="70" w:type="dxa"/>
              <w:end w:w="80" w:type="dxa"/>
            </w:tcMar>
            <w:vAlign w:val="top"/>
          </w:tcPr>
          <w:p>
            <w:r>
              <w:rPr>
                <w:rFonts w:ascii="Aptos" w:hAnsi="Aptos"/>
                <w:b w:val="0"/>
                <w:sz w:val="16"/>
              </w:rPr>
              <w:t>RAS-009 appetite ≤2%</w:t>
            </w:r>
          </w:p>
        </w:tc>
      </w:tr>
      <w:tr>
        <w:tc>
          <w:tcPr>
            <w:tcW w:type="dxa" w:w="1728"/>
            <w:tcMar>
              <w:top w:w="70" w:type="dxa"/>
              <w:start w:w="80" w:type="dxa"/>
              <w:bottom w:w="70" w:type="dxa"/>
              <w:end w:w="80" w:type="dxa"/>
            </w:tcMar>
            <w:vAlign w:val="top"/>
            <w:shd w:fill="F7FAFC"/>
          </w:tcPr>
          <w:p>
            <w:r>
              <w:rPr>
                <w:rFonts w:ascii="Aptos" w:hAnsi="Aptos"/>
                <w:b w:val="0"/>
                <w:sz w:val="16"/>
              </w:rPr>
              <w:t>KYC</w:t>
            </w:r>
          </w:p>
        </w:tc>
        <w:tc>
          <w:tcPr>
            <w:tcW w:type="dxa" w:w="3312"/>
            <w:tcMar>
              <w:top w:w="70" w:type="dxa"/>
              <w:start w:w="80" w:type="dxa"/>
              <w:bottom w:w="70" w:type="dxa"/>
              <w:end w:w="80" w:type="dxa"/>
            </w:tcMar>
            <w:vAlign w:val="top"/>
            <w:shd w:fill="F7FAFC"/>
          </w:tcPr>
          <w:p>
            <w:r>
              <w:rPr>
                <w:rFonts w:ascii="Aptos" w:hAnsi="Aptos"/>
                <w:b w:val="0"/>
                <w:sz w:val="16"/>
              </w:rPr>
              <w:t>Medium/Low reviews &gt;60 days overdue</w:t>
            </w:r>
          </w:p>
        </w:tc>
        <w:tc>
          <w:tcPr>
            <w:tcW w:type="dxa" w:w="1584"/>
            <w:tcMar>
              <w:top w:w="70" w:type="dxa"/>
              <w:start w:w="80" w:type="dxa"/>
              <w:bottom w:w="70" w:type="dxa"/>
              <w:end w:w="80" w:type="dxa"/>
            </w:tcMar>
            <w:vAlign w:val="top"/>
            <w:shd w:fill="F7FAFC"/>
          </w:tcPr>
          <w:p>
            <w:r>
              <w:rPr>
                <w:rFonts w:ascii="Aptos" w:hAnsi="Aptos"/>
                <w:b w:val="0"/>
                <w:sz w:val="16"/>
              </w:rPr>
              <w:t>Monthly</w:t>
            </w:r>
          </w:p>
        </w:tc>
        <w:tc>
          <w:tcPr>
            <w:tcW w:type="dxa" w:w="2160"/>
            <w:tcMar>
              <w:top w:w="70" w:type="dxa"/>
              <w:start w:w="80" w:type="dxa"/>
              <w:bottom w:w="70" w:type="dxa"/>
              <w:end w:w="80" w:type="dxa"/>
            </w:tcMar>
            <w:vAlign w:val="top"/>
            <w:shd w:fill="F7FAFC"/>
          </w:tcPr>
          <w:p>
            <w:r>
              <w:rPr>
                <w:rFonts w:ascii="Aptos" w:hAnsi="Aptos"/>
                <w:b w:val="0"/>
                <w:sz w:val="16"/>
              </w:rPr>
              <w:t>KYC Operations</w:t>
            </w:r>
          </w:p>
        </w:tc>
        <w:tc>
          <w:tcPr>
            <w:tcW w:type="dxa" w:w="3024"/>
            <w:tcMar>
              <w:top w:w="70" w:type="dxa"/>
              <w:start w:w="80" w:type="dxa"/>
              <w:bottom w:w="70" w:type="dxa"/>
              <w:end w:w="80" w:type="dxa"/>
            </w:tcMar>
            <w:vAlign w:val="top"/>
            <w:shd w:fill="F7FAFC"/>
          </w:tcPr>
          <w:p>
            <w:r>
              <w:rPr>
                <w:rFonts w:ascii="Aptos" w:hAnsi="Aptos"/>
                <w:b w:val="0"/>
                <w:sz w:val="16"/>
              </w:rPr>
              <w:t>RAS-009 appetite ≤4%</w:t>
            </w:r>
          </w:p>
        </w:tc>
      </w:tr>
      <w:tr>
        <w:tc>
          <w:tcPr>
            <w:tcW w:type="dxa" w:w="1728"/>
            <w:tcMar>
              <w:top w:w="70" w:type="dxa"/>
              <w:start w:w="80" w:type="dxa"/>
              <w:bottom w:w="70" w:type="dxa"/>
              <w:end w:w="80" w:type="dxa"/>
            </w:tcMar>
            <w:vAlign w:val="top"/>
          </w:tcPr>
          <w:p>
            <w:r>
              <w:rPr>
                <w:rFonts w:ascii="Aptos" w:hAnsi="Aptos"/>
                <w:b w:val="0"/>
                <w:sz w:val="16"/>
              </w:rPr>
              <w:t>KYC</w:t>
            </w:r>
          </w:p>
        </w:tc>
        <w:tc>
          <w:tcPr>
            <w:tcW w:type="dxa" w:w="3312"/>
            <w:tcMar>
              <w:top w:w="70" w:type="dxa"/>
              <w:start w:w="80" w:type="dxa"/>
              <w:bottom w:w="70" w:type="dxa"/>
              <w:end w:w="80" w:type="dxa"/>
            </w:tcMar>
            <w:vAlign w:val="top"/>
          </w:tcPr>
          <w:p>
            <w:r>
              <w:rPr>
                <w:rFonts w:ascii="Aptos" w:hAnsi="Aptos"/>
                <w:b w:val="0"/>
                <w:sz w:val="16"/>
              </w:rPr>
              <w:t>Material BO unresolved at unrestricted activation</w:t>
            </w:r>
          </w:p>
        </w:tc>
        <w:tc>
          <w:tcPr>
            <w:tcW w:type="dxa" w:w="1584"/>
            <w:tcMar>
              <w:top w:w="70" w:type="dxa"/>
              <w:start w:w="80" w:type="dxa"/>
              <w:bottom w:w="70" w:type="dxa"/>
              <w:end w:w="80" w:type="dxa"/>
            </w:tcMar>
            <w:vAlign w:val="top"/>
          </w:tcPr>
          <w:p>
            <w:r>
              <w:rPr>
                <w:rFonts w:ascii="Aptos" w:hAnsi="Aptos"/>
                <w:b w:val="0"/>
                <w:sz w:val="16"/>
              </w:rPr>
              <w:t>Event</w:t>
            </w:r>
          </w:p>
        </w:tc>
        <w:tc>
          <w:tcPr>
            <w:tcW w:type="dxa" w:w="2160"/>
            <w:tcMar>
              <w:top w:w="70" w:type="dxa"/>
              <w:start w:w="80" w:type="dxa"/>
              <w:bottom w:w="70" w:type="dxa"/>
              <w:end w:w="80" w:type="dxa"/>
            </w:tcMar>
            <w:vAlign w:val="top"/>
          </w:tcPr>
          <w:p>
            <w:r>
              <w:rPr>
                <w:rFonts w:ascii="Aptos" w:hAnsi="Aptos"/>
                <w:b w:val="0"/>
                <w:sz w:val="16"/>
              </w:rPr>
              <w:t>KYC Operations</w:t>
            </w:r>
          </w:p>
        </w:tc>
        <w:tc>
          <w:tcPr>
            <w:tcW w:type="dxa" w:w="3024"/>
            <w:tcMar>
              <w:top w:w="70" w:type="dxa"/>
              <w:start w:w="80" w:type="dxa"/>
              <w:bottom w:w="70" w:type="dxa"/>
              <w:end w:w="80" w:type="dxa"/>
            </w:tcMar>
            <w:vAlign w:val="top"/>
          </w:tcPr>
          <w:p>
            <w:r>
              <w:rPr>
                <w:rFonts w:ascii="Aptos" w:hAnsi="Aptos"/>
                <w:b w:val="0"/>
                <w:sz w:val="16"/>
              </w:rPr>
              <w:t>Zero-tolerance control status</w:t>
            </w:r>
          </w:p>
        </w:tc>
      </w:tr>
      <w:tr>
        <w:tc>
          <w:tcPr>
            <w:tcW w:type="dxa" w:w="1728"/>
            <w:tcMar>
              <w:top w:w="70" w:type="dxa"/>
              <w:start w:w="80" w:type="dxa"/>
              <w:bottom w:w="70" w:type="dxa"/>
              <w:end w:w="80" w:type="dxa"/>
            </w:tcMar>
            <w:vAlign w:val="top"/>
            <w:shd w:fill="F7FAFC"/>
          </w:tcPr>
          <w:p>
            <w:r>
              <w:rPr>
                <w:rFonts w:ascii="Aptos" w:hAnsi="Aptos"/>
                <w:b w:val="0"/>
                <w:sz w:val="16"/>
              </w:rPr>
              <w:t>AML</w:t>
            </w:r>
          </w:p>
        </w:tc>
        <w:tc>
          <w:tcPr>
            <w:tcW w:type="dxa" w:w="3312"/>
            <w:tcMar>
              <w:top w:w="70" w:type="dxa"/>
              <w:start w:w="80" w:type="dxa"/>
              <w:bottom w:w="70" w:type="dxa"/>
              <w:end w:w="80" w:type="dxa"/>
            </w:tcMar>
            <w:vAlign w:val="top"/>
            <w:shd w:fill="F7FAFC"/>
          </w:tcPr>
          <w:p>
            <w:r>
              <w:rPr>
                <w:rFonts w:ascii="Aptos" w:hAnsi="Aptos"/>
                <w:b w:val="0"/>
                <w:sz w:val="16"/>
              </w:rPr>
              <w:t>Alerts &gt;30 days open</w:t>
            </w:r>
          </w:p>
        </w:tc>
        <w:tc>
          <w:tcPr>
            <w:tcW w:type="dxa" w:w="1584"/>
            <w:tcMar>
              <w:top w:w="70" w:type="dxa"/>
              <w:start w:w="80" w:type="dxa"/>
              <w:bottom w:w="70" w:type="dxa"/>
              <w:end w:w="80" w:type="dxa"/>
            </w:tcMar>
            <w:vAlign w:val="top"/>
            <w:shd w:fill="F7FAFC"/>
          </w:tcPr>
          <w:p>
            <w:r>
              <w:rPr>
                <w:rFonts w:ascii="Aptos" w:hAnsi="Aptos"/>
                <w:b w:val="0"/>
                <w:sz w:val="16"/>
              </w:rPr>
              <w:t>Weekly/Monthly</w:t>
            </w:r>
          </w:p>
        </w:tc>
        <w:tc>
          <w:tcPr>
            <w:tcW w:type="dxa" w:w="2160"/>
            <w:tcMar>
              <w:top w:w="70" w:type="dxa"/>
              <w:start w:w="80" w:type="dxa"/>
              <w:bottom w:w="70" w:type="dxa"/>
              <w:end w:w="80" w:type="dxa"/>
            </w:tcMar>
            <w:vAlign w:val="top"/>
            <w:shd w:fill="F7FAFC"/>
          </w:tcPr>
          <w:p>
            <w:r>
              <w:rPr>
                <w:rFonts w:ascii="Aptos" w:hAnsi="Aptos"/>
                <w:b w:val="0"/>
                <w:sz w:val="16"/>
              </w:rPr>
              <w:t>AML Monitoring</w:t>
            </w:r>
          </w:p>
        </w:tc>
        <w:tc>
          <w:tcPr>
            <w:tcW w:type="dxa" w:w="3024"/>
            <w:tcMar>
              <w:top w:w="70" w:type="dxa"/>
              <w:start w:w="80" w:type="dxa"/>
              <w:bottom w:w="70" w:type="dxa"/>
              <w:end w:w="80" w:type="dxa"/>
            </w:tcMar>
            <w:vAlign w:val="top"/>
            <w:shd w:fill="F7FAFC"/>
          </w:tcPr>
          <w:p>
            <w:r>
              <w:rPr>
                <w:rFonts w:ascii="Aptos" w:hAnsi="Aptos"/>
                <w:b w:val="0"/>
                <w:sz w:val="16"/>
              </w:rPr>
              <w:t>RAS-009 appetite ≤5%</w:t>
            </w:r>
          </w:p>
        </w:tc>
      </w:tr>
      <w:tr>
        <w:tc>
          <w:tcPr>
            <w:tcW w:type="dxa" w:w="1728"/>
            <w:tcMar>
              <w:top w:w="70" w:type="dxa"/>
              <w:start w:w="80" w:type="dxa"/>
              <w:bottom w:w="70" w:type="dxa"/>
              <w:end w:w="80" w:type="dxa"/>
            </w:tcMar>
            <w:vAlign w:val="top"/>
          </w:tcPr>
          <w:p>
            <w:r>
              <w:rPr>
                <w:rFonts w:ascii="Aptos" w:hAnsi="Aptos"/>
                <w:b w:val="0"/>
                <w:sz w:val="16"/>
              </w:rPr>
              <w:t>AML</w:t>
            </w:r>
          </w:p>
        </w:tc>
        <w:tc>
          <w:tcPr>
            <w:tcW w:type="dxa" w:w="3312"/>
            <w:tcMar>
              <w:top w:w="70" w:type="dxa"/>
              <w:start w:w="80" w:type="dxa"/>
              <w:bottom w:w="70" w:type="dxa"/>
              <w:end w:w="80" w:type="dxa"/>
            </w:tcMar>
            <w:vAlign w:val="top"/>
          </w:tcPr>
          <w:p>
            <w:r>
              <w:rPr>
                <w:rFonts w:ascii="Aptos" w:hAnsi="Aptos"/>
                <w:b w:val="0"/>
                <w:sz w:val="16"/>
              </w:rPr>
              <w:t>EDD &gt;20 business days without extension</w:t>
            </w:r>
          </w:p>
        </w:tc>
        <w:tc>
          <w:tcPr>
            <w:tcW w:type="dxa" w:w="1584"/>
            <w:tcMar>
              <w:top w:w="70" w:type="dxa"/>
              <w:start w:w="80" w:type="dxa"/>
              <w:bottom w:w="70" w:type="dxa"/>
              <w:end w:w="80" w:type="dxa"/>
            </w:tcMar>
            <w:vAlign w:val="top"/>
          </w:tcPr>
          <w:p>
            <w:r>
              <w:rPr>
                <w:rFonts w:ascii="Aptos" w:hAnsi="Aptos"/>
                <w:b w:val="0"/>
                <w:sz w:val="16"/>
              </w:rPr>
              <w:t>Weekly/Monthly</w:t>
            </w:r>
          </w:p>
        </w:tc>
        <w:tc>
          <w:tcPr>
            <w:tcW w:type="dxa" w:w="2160"/>
            <w:tcMar>
              <w:top w:w="70" w:type="dxa"/>
              <w:start w:w="80" w:type="dxa"/>
              <w:bottom w:w="70" w:type="dxa"/>
              <w:end w:w="80" w:type="dxa"/>
            </w:tcMar>
            <w:vAlign w:val="top"/>
          </w:tcPr>
          <w:p>
            <w:r>
              <w:rPr>
                <w:rFonts w:ascii="Aptos" w:hAnsi="Aptos"/>
                <w:b w:val="0"/>
                <w:sz w:val="16"/>
              </w:rPr>
              <w:t>AML Monitoring</w:t>
            </w:r>
          </w:p>
        </w:tc>
        <w:tc>
          <w:tcPr>
            <w:tcW w:type="dxa" w:w="3024"/>
            <w:tcMar>
              <w:top w:w="70" w:type="dxa"/>
              <w:start w:w="80" w:type="dxa"/>
              <w:bottom w:w="70" w:type="dxa"/>
              <w:end w:w="80" w:type="dxa"/>
            </w:tcMar>
            <w:vAlign w:val="top"/>
          </w:tcPr>
          <w:p>
            <w:r>
              <w:rPr>
                <w:rFonts w:ascii="Aptos" w:hAnsi="Aptos"/>
                <w:b w:val="0"/>
                <w:sz w:val="16"/>
              </w:rPr>
              <w:t>RAS-009 appetite ≤5%</w:t>
            </w:r>
          </w:p>
        </w:tc>
      </w:tr>
      <w:tr>
        <w:tc>
          <w:tcPr>
            <w:tcW w:type="dxa" w:w="1728"/>
            <w:tcMar>
              <w:top w:w="70" w:type="dxa"/>
              <w:start w:w="80" w:type="dxa"/>
              <w:bottom w:w="70" w:type="dxa"/>
              <w:end w:w="80" w:type="dxa"/>
            </w:tcMar>
            <w:vAlign w:val="top"/>
            <w:shd w:fill="F7FAFC"/>
          </w:tcPr>
          <w:p>
            <w:r>
              <w:rPr>
                <w:rFonts w:ascii="Aptos" w:hAnsi="Aptos"/>
                <w:b w:val="0"/>
                <w:sz w:val="16"/>
              </w:rPr>
              <w:t>AML</w:t>
            </w:r>
          </w:p>
        </w:tc>
        <w:tc>
          <w:tcPr>
            <w:tcW w:type="dxa" w:w="3312"/>
            <w:tcMar>
              <w:top w:w="70" w:type="dxa"/>
              <w:start w:w="80" w:type="dxa"/>
              <w:bottom w:w="70" w:type="dxa"/>
              <w:end w:w="80" w:type="dxa"/>
            </w:tcMar>
            <w:vAlign w:val="top"/>
            <w:shd w:fill="F7FAFC"/>
          </w:tcPr>
          <w:p>
            <w:r>
              <w:rPr>
                <w:rFonts w:ascii="Aptos" w:hAnsi="Aptos"/>
                <w:b w:val="0"/>
                <w:sz w:val="16"/>
              </w:rPr>
              <w:t>Unresolved sanctions matches beyond SLA</w:t>
            </w:r>
          </w:p>
        </w:tc>
        <w:tc>
          <w:tcPr>
            <w:tcW w:type="dxa" w:w="1584"/>
            <w:tcMar>
              <w:top w:w="70" w:type="dxa"/>
              <w:start w:w="80" w:type="dxa"/>
              <w:bottom w:w="70" w:type="dxa"/>
              <w:end w:w="80" w:type="dxa"/>
            </w:tcMar>
            <w:vAlign w:val="top"/>
            <w:shd w:fill="F7FAFC"/>
          </w:tcPr>
          <w:p>
            <w:r>
              <w:rPr>
                <w:rFonts w:ascii="Aptos" w:hAnsi="Aptos"/>
                <w:b w:val="0"/>
                <w:sz w:val="16"/>
              </w:rPr>
              <w:t>Daily</w:t>
            </w:r>
          </w:p>
        </w:tc>
        <w:tc>
          <w:tcPr>
            <w:tcW w:type="dxa" w:w="2160"/>
            <w:tcMar>
              <w:top w:w="70" w:type="dxa"/>
              <w:start w:w="80" w:type="dxa"/>
              <w:bottom w:w="70" w:type="dxa"/>
              <w:end w:w="80" w:type="dxa"/>
            </w:tcMar>
            <w:vAlign w:val="top"/>
            <w:shd w:fill="F7FAFC"/>
          </w:tcPr>
          <w:p>
            <w:r>
              <w:rPr>
                <w:rFonts w:ascii="Aptos" w:hAnsi="Aptos"/>
                <w:b w:val="0"/>
                <w:sz w:val="16"/>
              </w:rPr>
              <w:t>AML Compliance</w:t>
            </w:r>
          </w:p>
        </w:tc>
        <w:tc>
          <w:tcPr>
            <w:tcW w:type="dxa" w:w="3024"/>
            <w:tcMar>
              <w:top w:w="70" w:type="dxa"/>
              <w:start w:w="80" w:type="dxa"/>
              <w:bottom w:w="70" w:type="dxa"/>
              <w:end w:w="80" w:type="dxa"/>
            </w:tcMar>
            <w:vAlign w:val="top"/>
            <w:shd w:fill="F7FAFC"/>
          </w:tcPr>
          <w:p>
            <w:r>
              <w:rPr>
                <w:rFonts w:ascii="Aptos" w:hAnsi="Aptos"/>
                <w:b w:val="0"/>
                <w:sz w:val="16"/>
              </w:rPr>
              <w:t>Zero-tolerance material status</w:t>
            </w:r>
          </w:p>
        </w:tc>
      </w:tr>
      <w:tr>
        <w:tc>
          <w:tcPr>
            <w:tcW w:type="dxa" w:w="1728"/>
            <w:tcMar>
              <w:top w:w="70" w:type="dxa"/>
              <w:start w:w="80" w:type="dxa"/>
              <w:bottom w:w="70" w:type="dxa"/>
              <w:end w:w="80" w:type="dxa"/>
            </w:tcMar>
            <w:vAlign w:val="top"/>
          </w:tcPr>
          <w:p>
            <w:r>
              <w:rPr>
                <w:rFonts w:ascii="Aptos" w:hAnsi="Aptos"/>
                <w:b w:val="0"/>
                <w:sz w:val="16"/>
              </w:rPr>
              <w:t>AML</w:t>
            </w:r>
          </w:p>
        </w:tc>
        <w:tc>
          <w:tcPr>
            <w:tcW w:type="dxa" w:w="3312"/>
            <w:tcMar>
              <w:top w:w="70" w:type="dxa"/>
              <w:start w:w="80" w:type="dxa"/>
              <w:bottom w:w="70" w:type="dxa"/>
              <w:end w:w="80" w:type="dxa"/>
            </w:tcMar>
            <w:vAlign w:val="top"/>
          </w:tcPr>
          <w:p>
            <w:r>
              <w:rPr>
                <w:rFonts w:ascii="Aptos" w:hAnsi="Aptos"/>
                <w:b w:val="0"/>
                <w:sz w:val="16"/>
              </w:rPr>
              <w:t>Risk-rating downward overrides</w:t>
            </w:r>
          </w:p>
        </w:tc>
        <w:tc>
          <w:tcPr>
            <w:tcW w:type="dxa" w:w="1584"/>
            <w:tcMar>
              <w:top w:w="70" w:type="dxa"/>
              <w:start w:w="80" w:type="dxa"/>
              <w:bottom w:w="70" w:type="dxa"/>
              <w:end w:w="80" w:type="dxa"/>
            </w:tcMar>
            <w:vAlign w:val="top"/>
          </w:tcPr>
          <w:p>
            <w:r>
              <w:rPr>
                <w:rFonts w:ascii="Aptos" w:hAnsi="Aptos"/>
                <w:b w:val="0"/>
                <w:sz w:val="16"/>
              </w:rPr>
              <w:t>Monthly</w:t>
            </w:r>
          </w:p>
        </w:tc>
        <w:tc>
          <w:tcPr>
            <w:tcW w:type="dxa" w:w="2160"/>
            <w:tcMar>
              <w:top w:w="70" w:type="dxa"/>
              <w:start w:w="80" w:type="dxa"/>
              <w:bottom w:w="70" w:type="dxa"/>
              <w:end w:w="80" w:type="dxa"/>
            </w:tcMar>
            <w:vAlign w:val="top"/>
          </w:tcPr>
          <w:p>
            <w:r>
              <w:rPr>
                <w:rFonts w:ascii="Aptos" w:hAnsi="Aptos"/>
                <w:b w:val="0"/>
                <w:sz w:val="16"/>
              </w:rPr>
              <w:t>AML Governance</w:t>
            </w:r>
          </w:p>
        </w:tc>
        <w:tc>
          <w:tcPr>
            <w:tcW w:type="dxa" w:w="3024"/>
            <w:tcMar>
              <w:top w:w="70" w:type="dxa"/>
              <w:start w:w="80" w:type="dxa"/>
              <w:bottom w:w="70" w:type="dxa"/>
              <w:end w:w="80" w:type="dxa"/>
            </w:tcMar>
            <w:vAlign w:val="top"/>
          </w:tcPr>
          <w:p>
            <w:r>
              <w:rPr>
                <w:rFonts w:ascii="Aptos" w:hAnsi="Aptos"/>
                <w:b w:val="0"/>
                <w:sz w:val="16"/>
              </w:rPr>
              <w:t>Trend / QA review</w:t>
            </w:r>
          </w:p>
        </w:tc>
      </w:tr>
      <w:tr>
        <w:tc>
          <w:tcPr>
            <w:tcW w:type="dxa" w:w="1728"/>
            <w:tcMar>
              <w:top w:w="70" w:type="dxa"/>
              <w:start w:w="80" w:type="dxa"/>
              <w:bottom w:w="70" w:type="dxa"/>
              <w:end w:w="80" w:type="dxa"/>
            </w:tcMar>
            <w:vAlign w:val="top"/>
            <w:shd w:fill="F7FAFC"/>
          </w:tcPr>
          <w:p>
            <w:r>
              <w:rPr>
                <w:rFonts w:ascii="Aptos" w:hAnsi="Aptos"/>
                <w:b w:val="0"/>
                <w:sz w:val="16"/>
              </w:rPr>
              <w:t>AML</w:t>
            </w:r>
          </w:p>
        </w:tc>
        <w:tc>
          <w:tcPr>
            <w:tcW w:type="dxa" w:w="3312"/>
            <w:tcMar>
              <w:top w:w="70" w:type="dxa"/>
              <w:start w:w="80" w:type="dxa"/>
              <w:bottom w:w="70" w:type="dxa"/>
              <w:end w:w="80" w:type="dxa"/>
            </w:tcMar>
            <w:vAlign w:val="top"/>
            <w:shd w:fill="F7FAFC"/>
          </w:tcPr>
          <w:p>
            <w:r>
              <w:rPr>
                <w:rFonts w:ascii="Aptos" w:hAnsi="Aptos"/>
                <w:b w:val="0"/>
                <w:sz w:val="16"/>
              </w:rPr>
              <w:t>Repeat scenario false-positive rate</w:t>
            </w:r>
          </w:p>
        </w:tc>
        <w:tc>
          <w:tcPr>
            <w:tcW w:type="dxa" w:w="1584"/>
            <w:tcMar>
              <w:top w:w="70" w:type="dxa"/>
              <w:start w:w="80" w:type="dxa"/>
              <w:bottom w:w="70" w:type="dxa"/>
              <w:end w:w="80" w:type="dxa"/>
            </w:tcMar>
            <w:vAlign w:val="top"/>
            <w:shd w:fill="F7FAFC"/>
          </w:tcPr>
          <w:p>
            <w:r>
              <w:rPr>
                <w:rFonts w:ascii="Aptos" w:hAnsi="Aptos"/>
                <w:b w:val="0"/>
                <w:sz w:val="16"/>
              </w:rPr>
              <w:t>Monthly</w:t>
            </w:r>
          </w:p>
        </w:tc>
        <w:tc>
          <w:tcPr>
            <w:tcW w:type="dxa" w:w="2160"/>
            <w:tcMar>
              <w:top w:w="70" w:type="dxa"/>
              <w:start w:w="80" w:type="dxa"/>
              <w:bottom w:w="70" w:type="dxa"/>
              <w:end w:w="80" w:type="dxa"/>
            </w:tcMar>
            <w:vAlign w:val="top"/>
            <w:shd w:fill="F7FAFC"/>
          </w:tcPr>
          <w:p>
            <w:r>
              <w:rPr>
                <w:rFonts w:ascii="Aptos" w:hAnsi="Aptos"/>
                <w:b w:val="0"/>
                <w:sz w:val="16"/>
              </w:rPr>
              <w:t>AML Monitoring</w:t>
            </w:r>
          </w:p>
        </w:tc>
        <w:tc>
          <w:tcPr>
            <w:tcW w:type="dxa" w:w="3024"/>
            <w:tcMar>
              <w:top w:w="70" w:type="dxa"/>
              <w:start w:w="80" w:type="dxa"/>
              <w:bottom w:w="70" w:type="dxa"/>
              <w:end w:w="80" w:type="dxa"/>
            </w:tcMar>
            <w:vAlign w:val="top"/>
            <w:shd w:fill="F7FAFC"/>
          </w:tcPr>
          <w:p>
            <w:r>
              <w:rPr>
                <w:rFonts w:ascii="Aptos" w:hAnsi="Aptos"/>
                <w:b w:val="0"/>
                <w:sz w:val="16"/>
              </w:rPr>
              <w:t>Tuning effectiveness indicator</w:t>
            </w:r>
          </w:p>
        </w:tc>
      </w:tr>
      <w:tr>
        <w:tc>
          <w:tcPr>
            <w:tcW w:type="dxa" w:w="1728"/>
            <w:tcMar>
              <w:top w:w="70" w:type="dxa"/>
              <w:start w:w="80" w:type="dxa"/>
              <w:bottom w:w="70" w:type="dxa"/>
              <w:end w:w="80" w:type="dxa"/>
            </w:tcMar>
            <w:vAlign w:val="top"/>
          </w:tcPr>
          <w:p>
            <w:r>
              <w:rPr>
                <w:rFonts w:ascii="Aptos" w:hAnsi="Aptos"/>
                <w:b w:val="0"/>
                <w:sz w:val="16"/>
              </w:rPr>
              <w:t>Operational</w:t>
            </w:r>
          </w:p>
        </w:tc>
        <w:tc>
          <w:tcPr>
            <w:tcW w:type="dxa" w:w="3312"/>
            <w:tcMar>
              <w:top w:w="70" w:type="dxa"/>
              <w:start w:w="80" w:type="dxa"/>
              <w:bottom w:w="70" w:type="dxa"/>
              <w:end w:w="80" w:type="dxa"/>
            </w:tcMar>
            <w:vAlign w:val="top"/>
          </w:tcPr>
          <w:p>
            <w:r>
              <w:rPr>
                <w:rFonts w:ascii="Aptos" w:hAnsi="Aptos"/>
                <w:b w:val="0"/>
                <w:sz w:val="16"/>
              </w:rPr>
              <w:t>Gross operational loss / operating income</w:t>
            </w:r>
          </w:p>
        </w:tc>
        <w:tc>
          <w:tcPr>
            <w:tcW w:type="dxa" w:w="1584"/>
            <w:tcMar>
              <w:top w:w="70" w:type="dxa"/>
              <w:start w:w="80" w:type="dxa"/>
              <w:bottom w:w="70" w:type="dxa"/>
              <w:end w:w="80" w:type="dxa"/>
            </w:tcMar>
            <w:vAlign w:val="top"/>
          </w:tcPr>
          <w:p>
            <w:r>
              <w:rPr>
                <w:rFonts w:ascii="Aptos" w:hAnsi="Aptos"/>
                <w:b w:val="0"/>
                <w:sz w:val="16"/>
              </w:rPr>
              <w:t>Quarterly</w:t>
            </w:r>
          </w:p>
        </w:tc>
        <w:tc>
          <w:tcPr>
            <w:tcW w:type="dxa" w:w="2160"/>
            <w:tcMar>
              <w:top w:w="70" w:type="dxa"/>
              <w:start w:w="80" w:type="dxa"/>
              <w:bottom w:w="70" w:type="dxa"/>
              <w:end w:w="80" w:type="dxa"/>
            </w:tcMar>
            <w:vAlign w:val="top"/>
          </w:tcPr>
          <w:p>
            <w:r>
              <w:rPr>
                <w:rFonts w:ascii="Aptos" w:hAnsi="Aptos"/>
                <w:b w:val="0"/>
                <w:sz w:val="16"/>
              </w:rPr>
              <w:t>Operational Risk</w:t>
            </w:r>
          </w:p>
        </w:tc>
        <w:tc>
          <w:tcPr>
            <w:tcW w:type="dxa" w:w="3024"/>
            <w:tcMar>
              <w:top w:w="70" w:type="dxa"/>
              <w:start w:w="80" w:type="dxa"/>
              <w:bottom w:w="70" w:type="dxa"/>
              <w:end w:w="80" w:type="dxa"/>
            </w:tcMar>
            <w:vAlign w:val="top"/>
          </w:tcPr>
          <w:p>
            <w:r>
              <w:rPr>
                <w:rFonts w:ascii="Aptos" w:hAnsi="Aptos"/>
                <w:b w:val="0"/>
                <w:sz w:val="16"/>
              </w:rPr>
              <w:t>RAS-009 appetite ≤0.75%</w:t>
            </w:r>
          </w:p>
        </w:tc>
      </w:tr>
      <w:tr>
        <w:tc>
          <w:tcPr>
            <w:tcW w:type="dxa" w:w="1728"/>
            <w:tcMar>
              <w:top w:w="70" w:type="dxa"/>
              <w:start w:w="80" w:type="dxa"/>
              <w:bottom w:w="70" w:type="dxa"/>
              <w:end w:w="80" w:type="dxa"/>
            </w:tcMar>
            <w:vAlign w:val="top"/>
            <w:shd w:fill="F7FAFC"/>
          </w:tcPr>
          <w:p>
            <w:r>
              <w:rPr>
                <w:rFonts w:ascii="Aptos" w:hAnsi="Aptos"/>
                <w:b w:val="0"/>
                <w:sz w:val="16"/>
              </w:rPr>
              <w:t>Operational</w:t>
            </w:r>
          </w:p>
        </w:tc>
        <w:tc>
          <w:tcPr>
            <w:tcW w:type="dxa" w:w="3312"/>
            <w:tcMar>
              <w:top w:w="70" w:type="dxa"/>
              <w:start w:w="80" w:type="dxa"/>
              <w:bottom w:w="70" w:type="dxa"/>
              <w:end w:w="80" w:type="dxa"/>
            </w:tcMar>
            <w:vAlign w:val="top"/>
            <w:shd w:fill="F7FAFC"/>
          </w:tcPr>
          <w:p>
            <w:r>
              <w:rPr>
                <w:rFonts w:ascii="Aptos" w:hAnsi="Aptos"/>
                <w:b w:val="0"/>
                <w:sz w:val="16"/>
              </w:rPr>
              <w:t>High-severity incidents &gt;30 days</w:t>
            </w:r>
          </w:p>
        </w:tc>
        <w:tc>
          <w:tcPr>
            <w:tcW w:type="dxa" w:w="1584"/>
            <w:tcMar>
              <w:top w:w="70" w:type="dxa"/>
              <w:start w:w="80" w:type="dxa"/>
              <w:bottom w:w="70" w:type="dxa"/>
              <w:end w:w="80" w:type="dxa"/>
            </w:tcMar>
            <w:vAlign w:val="top"/>
            <w:shd w:fill="F7FAFC"/>
          </w:tcPr>
          <w:p>
            <w:r>
              <w:rPr>
                <w:rFonts w:ascii="Aptos" w:hAnsi="Aptos"/>
                <w:b w:val="0"/>
                <w:sz w:val="16"/>
              </w:rPr>
              <w:t>Monthly</w:t>
            </w:r>
          </w:p>
        </w:tc>
        <w:tc>
          <w:tcPr>
            <w:tcW w:type="dxa" w:w="2160"/>
            <w:tcMar>
              <w:top w:w="70" w:type="dxa"/>
              <w:start w:w="80" w:type="dxa"/>
              <w:bottom w:w="70" w:type="dxa"/>
              <w:end w:w="80" w:type="dxa"/>
            </w:tcMar>
            <w:vAlign w:val="top"/>
            <w:shd w:fill="F7FAFC"/>
          </w:tcPr>
          <w:p>
            <w:r>
              <w:rPr>
                <w:rFonts w:ascii="Aptos" w:hAnsi="Aptos"/>
                <w:b w:val="0"/>
                <w:sz w:val="16"/>
              </w:rPr>
              <w:t>Operational Risk</w:t>
            </w:r>
          </w:p>
        </w:tc>
        <w:tc>
          <w:tcPr>
            <w:tcW w:type="dxa" w:w="3024"/>
            <w:tcMar>
              <w:top w:w="70" w:type="dxa"/>
              <w:start w:w="80" w:type="dxa"/>
              <w:bottom w:w="70" w:type="dxa"/>
              <w:end w:w="80" w:type="dxa"/>
            </w:tcMar>
            <w:vAlign w:val="top"/>
            <w:shd w:fill="F7FAFC"/>
          </w:tcPr>
          <w:p>
            <w:r>
              <w:rPr>
                <w:rFonts w:ascii="Aptos" w:hAnsi="Aptos"/>
                <w:b w:val="0"/>
                <w:sz w:val="16"/>
              </w:rPr>
              <w:t>RAS-009 appetite ≤3</w:t>
            </w:r>
          </w:p>
        </w:tc>
      </w:tr>
      <w:tr>
        <w:tc>
          <w:tcPr>
            <w:tcW w:type="dxa" w:w="1728"/>
            <w:tcMar>
              <w:top w:w="70" w:type="dxa"/>
              <w:start w:w="80" w:type="dxa"/>
              <w:bottom w:w="70" w:type="dxa"/>
              <w:end w:w="80" w:type="dxa"/>
            </w:tcMar>
            <w:vAlign w:val="top"/>
          </w:tcPr>
          <w:p>
            <w:r>
              <w:rPr>
                <w:rFonts w:ascii="Aptos" w:hAnsi="Aptos"/>
                <w:b w:val="0"/>
                <w:sz w:val="16"/>
              </w:rPr>
              <w:t>Operational</w:t>
            </w:r>
          </w:p>
        </w:tc>
        <w:tc>
          <w:tcPr>
            <w:tcW w:type="dxa" w:w="3312"/>
            <w:tcMar>
              <w:top w:w="70" w:type="dxa"/>
              <w:start w:w="80" w:type="dxa"/>
              <w:bottom w:w="70" w:type="dxa"/>
              <w:end w:w="80" w:type="dxa"/>
            </w:tcMar>
            <w:vAlign w:val="top"/>
          </w:tcPr>
          <w:p>
            <w:r>
              <w:rPr>
                <w:rFonts w:ascii="Aptos" w:hAnsi="Aptos"/>
                <w:b w:val="0"/>
                <w:sz w:val="16"/>
              </w:rPr>
              <w:t>Repeat root-cause incidents within 90 days</w:t>
            </w:r>
          </w:p>
        </w:tc>
        <w:tc>
          <w:tcPr>
            <w:tcW w:type="dxa" w:w="1584"/>
            <w:tcMar>
              <w:top w:w="70" w:type="dxa"/>
              <w:start w:w="80" w:type="dxa"/>
              <w:bottom w:w="70" w:type="dxa"/>
              <w:end w:w="80" w:type="dxa"/>
            </w:tcMar>
            <w:vAlign w:val="top"/>
          </w:tcPr>
          <w:p>
            <w:r>
              <w:rPr>
                <w:rFonts w:ascii="Aptos" w:hAnsi="Aptos"/>
                <w:b w:val="0"/>
                <w:sz w:val="16"/>
              </w:rPr>
              <w:t>Monthly</w:t>
            </w:r>
          </w:p>
        </w:tc>
        <w:tc>
          <w:tcPr>
            <w:tcW w:type="dxa" w:w="2160"/>
            <w:tcMar>
              <w:top w:w="70" w:type="dxa"/>
              <w:start w:w="80" w:type="dxa"/>
              <w:bottom w:w="70" w:type="dxa"/>
              <w:end w:w="80" w:type="dxa"/>
            </w:tcMar>
            <w:vAlign w:val="top"/>
          </w:tcPr>
          <w:p>
            <w:r>
              <w:rPr>
                <w:rFonts w:ascii="Aptos" w:hAnsi="Aptos"/>
                <w:b w:val="0"/>
                <w:sz w:val="16"/>
              </w:rPr>
              <w:t>Operational Risk</w:t>
            </w:r>
          </w:p>
        </w:tc>
        <w:tc>
          <w:tcPr>
            <w:tcW w:type="dxa" w:w="3024"/>
            <w:tcMar>
              <w:top w:w="70" w:type="dxa"/>
              <w:start w:w="80" w:type="dxa"/>
              <w:bottom w:w="70" w:type="dxa"/>
              <w:end w:w="80" w:type="dxa"/>
            </w:tcMar>
            <w:vAlign w:val="top"/>
          </w:tcPr>
          <w:p>
            <w:r>
              <w:rPr>
                <w:rFonts w:ascii="Aptos" w:hAnsi="Aptos"/>
                <w:b w:val="0"/>
                <w:sz w:val="16"/>
              </w:rPr>
              <w:t>RAS-009 appetite ≤10%</w:t>
            </w:r>
          </w:p>
        </w:tc>
      </w:tr>
      <w:tr>
        <w:tc>
          <w:tcPr>
            <w:tcW w:type="dxa" w:w="1728"/>
            <w:tcMar>
              <w:top w:w="70" w:type="dxa"/>
              <w:start w:w="80" w:type="dxa"/>
              <w:bottom w:w="70" w:type="dxa"/>
              <w:end w:w="80" w:type="dxa"/>
            </w:tcMar>
            <w:vAlign w:val="top"/>
            <w:shd w:fill="F7FAFC"/>
          </w:tcPr>
          <w:p>
            <w:r>
              <w:rPr>
                <w:rFonts w:ascii="Aptos" w:hAnsi="Aptos"/>
                <w:b w:val="0"/>
                <w:sz w:val="16"/>
              </w:rPr>
              <w:t>Operations</w:t>
            </w:r>
          </w:p>
        </w:tc>
        <w:tc>
          <w:tcPr>
            <w:tcW w:type="dxa" w:w="3312"/>
            <w:tcMar>
              <w:top w:w="70" w:type="dxa"/>
              <w:start w:w="80" w:type="dxa"/>
              <w:bottom w:w="70" w:type="dxa"/>
              <w:end w:w="80" w:type="dxa"/>
            </w:tcMar>
            <w:vAlign w:val="top"/>
            <w:shd w:fill="F7FAFC"/>
          </w:tcPr>
          <w:p>
            <w:r>
              <w:rPr>
                <w:rFonts w:ascii="Aptos" w:hAnsi="Aptos"/>
                <w:b w:val="0"/>
                <w:sz w:val="16"/>
              </w:rPr>
              <w:t>Critical maker-checker failures</w:t>
            </w:r>
          </w:p>
        </w:tc>
        <w:tc>
          <w:tcPr>
            <w:tcW w:type="dxa" w:w="1584"/>
            <w:tcMar>
              <w:top w:w="70" w:type="dxa"/>
              <w:start w:w="80" w:type="dxa"/>
              <w:bottom w:w="70" w:type="dxa"/>
              <w:end w:w="80" w:type="dxa"/>
            </w:tcMar>
            <w:vAlign w:val="top"/>
            <w:shd w:fill="F7FAFC"/>
          </w:tcPr>
          <w:p>
            <w:r>
              <w:rPr>
                <w:rFonts w:ascii="Aptos" w:hAnsi="Aptos"/>
                <w:b w:val="0"/>
                <w:sz w:val="16"/>
              </w:rPr>
              <w:t>Event</w:t>
            </w:r>
          </w:p>
        </w:tc>
        <w:tc>
          <w:tcPr>
            <w:tcW w:type="dxa" w:w="2160"/>
            <w:tcMar>
              <w:top w:w="70" w:type="dxa"/>
              <w:start w:w="80" w:type="dxa"/>
              <w:bottom w:w="70" w:type="dxa"/>
              <w:end w:w="80" w:type="dxa"/>
            </w:tcMar>
            <w:vAlign w:val="top"/>
            <w:shd w:fill="F7FAFC"/>
          </w:tcPr>
          <w:p>
            <w:r>
              <w:rPr>
                <w:rFonts w:ascii="Aptos" w:hAnsi="Aptos"/>
                <w:b w:val="0"/>
                <w:sz w:val="16"/>
              </w:rPr>
              <w:t>Operations</w:t>
            </w:r>
          </w:p>
        </w:tc>
        <w:tc>
          <w:tcPr>
            <w:tcW w:type="dxa" w:w="3024"/>
            <w:tcMar>
              <w:top w:w="70" w:type="dxa"/>
              <w:start w:w="80" w:type="dxa"/>
              <w:bottom w:w="70" w:type="dxa"/>
              <w:end w:w="80" w:type="dxa"/>
            </w:tcMar>
            <w:vAlign w:val="top"/>
            <w:shd w:fill="F7FAFC"/>
          </w:tcPr>
          <w:p>
            <w:r>
              <w:rPr>
                <w:rFonts w:ascii="Aptos" w:hAnsi="Aptos"/>
                <w:b w:val="0"/>
                <w:sz w:val="16"/>
              </w:rPr>
              <w:t>Zero unresolved</w:t>
            </w:r>
          </w:p>
        </w:tc>
      </w:tr>
      <w:tr>
        <w:tc>
          <w:tcPr>
            <w:tcW w:type="dxa" w:w="1728"/>
            <w:tcMar>
              <w:top w:w="70" w:type="dxa"/>
              <w:start w:w="80" w:type="dxa"/>
              <w:bottom w:w="70" w:type="dxa"/>
              <w:end w:w="80" w:type="dxa"/>
            </w:tcMar>
            <w:vAlign w:val="top"/>
          </w:tcPr>
          <w:p>
            <w:r>
              <w:rPr>
                <w:rFonts w:ascii="Aptos" w:hAnsi="Aptos"/>
                <w:b w:val="0"/>
                <w:sz w:val="16"/>
              </w:rPr>
              <w:t>Operations</w:t>
            </w:r>
          </w:p>
        </w:tc>
        <w:tc>
          <w:tcPr>
            <w:tcW w:type="dxa" w:w="3312"/>
            <w:tcMar>
              <w:top w:w="70" w:type="dxa"/>
              <w:start w:w="80" w:type="dxa"/>
              <w:bottom w:w="70" w:type="dxa"/>
              <w:end w:w="80" w:type="dxa"/>
            </w:tcMar>
            <w:vAlign w:val="top"/>
          </w:tcPr>
          <w:p>
            <w:r>
              <w:rPr>
                <w:rFonts w:ascii="Aptos" w:hAnsi="Aptos"/>
                <w:b w:val="0"/>
                <w:sz w:val="16"/>
              </w:rPr>
              <w:t>Failed disbursement reconciliation ageing</w:t>
            </w:r>
          </w:p>
        </w:tc>
        <w:tc>
          <w:tcPr>
            <w:tcW w:type="dxa" w:w="1584"/>
            <w:tcMar>
              <w:top w:w="70" w:type="dxa"/>
              <w:start w:w="80" w:type="dxa"/>
              <w:bottom w:w="70" w:type="dxa"/>
              <w:end w:w="80" w:type="dxa"/>
            </w:tcMar>
            <w:vAlign w:val="top"/>
          </w:tcPr>
          <w:p>
            <w:r>
              <w:rPr>
                <w:rFonts w:ascii="Aptos" w:hAnsi="Aptos"/>
                <w:b w:val="0"/>
                <w:sz w:val="16"/>
              </w:rPr>
              <w:t>Daily</w:t>
            </w:r>
          </w:p>
        </w:tc>
        <w:tc>
          <w:tcPr>
            <w:tcW w:type="dxa" w:w="2160"/>
            <w:tcMar>
              <w:top w:w="70" w:type="dxa"/>
              <w:start w:w="80" w:type="dxa"/>
              <w:bottom w:w="70" w:type="dxa"/>
              <w:end w:w="80" w:type="dxa"/>
            </w:tcMar>
            <w:vAlign w:val="top"/>
          </w:tcPr>
          <w:p>
            <w:r>
              <w:rPr>
                <w:rFonts w:ascii="Aptos" w:hAnsi="Aptos"/>
                <w:b w:val="0"/>
                <w:sz w:val="16"/>
              </w:rPr>
              <w:t>Credit Operations</w:t>
            </w:r>
          </w:p>
        </w:tc>
        <w:tc>
          <w:tcPr>
            <w:tcW w:type="dxa" w:w="3024"/>
            <w:tcMar>
              <w:top w:w="70" w:type="dxa"/>
              <w:start w:w="80" w:type="dxa"/>
              <w:bottom w:w="70" w:type="dxa"/>
              <w:end w:w="80" w:type="dxa"/>
            </w:tcMar>
            <w:vAlign w:val="top"/>
          </w:tcPr>
          <w:p>
            <w:r>
              <w:rPr>
                <w:rFonts w:ascii="Aptos" w:hAnsi="Aptos"/>
                <w:b w:val="0"/>
                <w:sz w:val="16"/>
              </w:rPr>
              <w:t>Local threshold / escalate material backlog</w:t>
            </w:r>
          </w:p>
        </w:tc>
      </w:tr>
      <w:tr>
        <w:tc>
          <w:tcPr>
            <w:tcW w:type="dxa" w:w="1728"/>
            <w:tcMar>
              <w:top w:w="70" w:type="dxa"/>
              <w:start w:w="80" w:type="dxa"/>
              <w:bottom w:w="70" w:type="dxa"/>
              <w:end w:w="80" w:type="dxa"/>
            </w:tcMar>
            <w:vAlign w:val="top"/>
            <w:shd w:fill="F7FAFC"/>
          </w:tcPr>
          <w:p>
            <w:r>
              <w:rPr>
                <w:rFonts w:ascii="Aptos" w:hAnsi="Aptos"/>
                <w:b w:val="0"/>
                <w:sz w:val="16"/>
              </w:rPr>
              <w:t>Liquidity</w:t>
            </w:r>
          </w:p>
        </w:tc>
        <w:tc>
          <w:tcPr>
            <w:tcW w:type="dxa" w:w="3312"/>
            <w:tcMar>
              <w:top w:w="70" w:type="dxa"/>
              <w:start w:w="80" w:type="dxa"/>
              <w:bottom w:w="70" w:type="dxa"/>
              <w:end w:w="80" w:type="dxa"/>
            </w:tcMar>
            <w:vAlign w:val="top"/>
            <w:shd w:fill="F7FAFC"/>
          </w:tcPr>
          <w:p>
            <w:r>
              <w:rPr>
                <w:rFonts w:ascii="Aptos" w:hAnsi="Aptos"/>
                <w:b w:val="0"/>
                <w:sz w:val="16"/>
              </w:rPr>
              <w:t>Internal stressed coverage</w:t>
            </w:r>
          </w:p>
        </w:tc>
        <w:tc>
          <w:tcPr>
            <w:tcW w:type="dxa" w:w="1584"/>
            <w:tcMar>
              <w:top w:w="70" w:type="dxa"/>
              <w:start w:w="80" w:type="dxa"/>
              <w:bottom w:w="70" w:type="dxa"/>
              <w:end w:w="80" w:type="dxa"/>
            </w:tcMar>
            <w:vAlign w:val="top"/>
            <w:shd w:fill="F7FAFC"/>
          </w:tcPr>
          <w:p>
            <w:r>
              <w:rPr>
                <w:rFonts w:ascii="Aptos" w:hAnsi="Aptos"/>
                <w:b w:val="0"/>
                <w:sz w:val="16"/>
              </w:rPr>
              <w:t>Daily/Weekly</w:t>
            </w:r>
          </w:p>
        </w:tc>
        <w:tc>
          <w:tcPr>
            <w:tcW w:type="dxa" w:w="2160"/>
            <w:tcMar>
              <w:top w:w="70" w:type="dxa"/>
              <w:start w:w="80" w:type="dxa"/>
              <w:bottom w:w="70" w:type="dxa"/>
              <w:end w:w="80" w:type="dxa"/>
            </w:tcMar>
            <w:vAlign w:val="top"/>
            <w:shd w:fill="F7FAFC"/>
          </w:tcPr>
          <w:p>
            <w:r>
              <w:rPr>
                <w:rFonts w:ascii="Aptos" w:hAnsi="Aptos"/>
                <w:b w:val="0"/>
                <w:sz w:val="16"/>
              </w:rPr>
              <w:t>Treasury</w:t>
            </w:r>
          </w:p>
        </w:tc>
        <w:tc>
          <w:tcPr>
            <w:tcW w:type="dxa" w:w="3024"/>
            <w:tcMar>
              <w:top w:w="70" w:type="dxa"/>
              <w:start w:w="80" w:type="dxa"/>
              <w:bottom w:w="70" w:type="dxa"/>
              <w:end w:w="80" w:type="dxa"/>
            </w:tcMar>
            <w:vAlign w:val="top"/>
            <w:shd w:fill="F7FAFC"/>
          </w:tcPr>
          <w:p>
            <w:r>
              <w:rPr>
                <w:rFonts w:ascii="Aptos" w:hAnsi="Aptos"/>
                <w:b w:val="0"/>
                <w:sz w:val="16"/>
              </w:rPr>
              <w:t>RAS-009 ≥115%</w:t>
            </w:r>
          </w:p>
        </w:tc>
      </w:tr>
      <w:tr>
        <w:tc>
          <w:tcPr>
            <w:tcW w:type="dxa" w:w="1728"/>
            <w:tcMar>
              <w:top w:w="70" w:type="dxa"/>
              <w:start w:w="80" w:type="dxa"/>
              <w:bottom w:w="70" w:type="dxa"/>
              <w:end w:w="80" w:type="dxa"/>
            </w:tcMar>
            <w:vAlign w:val="top"/>
          </w:tcPr>
          <w:p>
            <w:r>
              <w:rPr>
                <w:rFonts w:ascii="Aptos" w:hAnsi="Aptos"/>
                <w:b w:val="0"/>
                <w:sz w:val="16"/>
              </w:rPr>
              <w:t>Liquidity</w:t>
            </w:r>
          </w:p>
        </w:tc>
        <w:tc>
          <w:tcPr>
            <w:tcW w:type="dxa" w:w="3312"/>
            <w:tcMar>
              <w:top w:w="70" w:type="dxa"/>
              <w:start w:w="80" w:type="dxa"/>
              <w:bottom w:w="70" w:type="dxa"/>
              <w:end w:w="80" w:type="dxa"/>
            </w:tcMar>
            <w:vAlign w:val="top"/>
          </w:tcPr>
          <w:p>
            <w:r>
              <w:rPr>
                <w:rFonts w:ascii="Aptos" w:hAnsi="Aptos"/>
                <w:b w:val="0"/>
                <w:sz w:val="16"/>
              </w:rPr>
              <w:t>Top-5 funding concentration</w:t>
            </w:r>
          </w:p>
        </w:tc>
        <w:tc>
          <w:tcPr>
            <w:tcW w:type="dxa" w:w="1584"/>
            <w:tcMar>
              <w:top w:w="70" w:type="dxa"/>
              <w:start w:w="80" w:type="dxa"/>
              <w:bottom w:w="70" w:type="dxa"/>
              <w:end w:w="80" w:type="dxa"/>
            </w:tcMar>
            <w:vAlign w:val="top"/>
          </w:tcPr>
          <w:p>
            <w:r>
              <w:rPr>
                <w:rFonts w:ascii="Aptos" w:hAnsi="Aptos"/>
                <w:b w:val="0"/>
                <w:sz w:val="16"/>
              </w:rPr>
              <w:t>Monthly</w:t>
            </w:r>
          </w:p>
        </w:tc>
        <w:tc>
          <w:tcPr>
            <w:tcW w:type="dxa" w:w="2160"/>
            <w:tcMar>
              <w:top w:w="70" w:type="dxa"/>
              <w:start w:w="80" w:type="dxa"/>
              <w:bottom w:w="70" w:type="dxa"/>
              <w:end w:w="80" w:type="dxa"/>
            </w:tcMar>
            <w:vAlign w:val="top"/>
          </w:tcPr>
          <w:p>
            <w:r>
              <w:rPr>
                <w:rFonts w:ascii="Aptos" w:hAnsi="Aptos"/>
                <w:b w:val="0"/>
                <w:sz w:val="16"/>
              </w:rPr>
              <w:t>Treasury</w:t>
            </w:r>
          </w:p>
        </w:tc>
        <w:tc>
          <w:tcPr>
            <w:tcW w:type="dxa" w:w="3024"/>
            <w:tcMar>
              <w:top w:w="70" w:type="dxa"/>
              <w:start w:w="80" w:type="dxa"/>
              <w:bottom w:w="70" w:type="dxa"/>
              <w:end w:w="80" w:type="dxa"/>
            </w:tcMar>
            <w:vAlign w:val="top"/>
          </w:tcPr>
          <w:p>
            <w:r>
              <w:rPr>
                <w:rFonts w:ascii="Aptos" w:hAnsi="Aptos"/>
                <w:b w:val="0"/>
                <w:sz w:val="16"/>
              </w:rPr>
              <w:t>RAS-009 ≤35%</w:t>
            </w:r>
          </w:p>
        </w:tc>
      </w:tr>
      <w:tr>
        <w:tc>
          <w:tcPr>
            <w:tcW w:type="dxa" w:w="1728"/>
            <w:tcMar>
              <w:top w:w="70" w:type="dxa"/>
              <w:start w:w="80" w:type="dxa"/>
              <w:bottom w:w="70" w:type="dxa"/>
              <w:end w:w="80" w:type="dxa"/>
            </w:tcMar>
            <w:vAlign w:val="top"/>
            <w:shd w:fill="F7FAFC"/>
          </w:tcPr>
          <w:p>
            <w:r>
              <w:rPr>
                <w:rFonts w:ascii="Aptos" w:hAnsi="Aptos"/>
                <w:b w:val="0"/>
                <w:sz w:val="16"/>
              </w:rPr>
              <w:t>Liquidity</w:t>
            </w:r>
          </w:p>
        </w:tc>
        <w:tc>
          <w:tcPr>
            <w:tcW w:type="dxa" w:w="3312"/>
            <w:tcMar>
              <w:top w:w="70" w:type="dxa"/>
              <w:start w:w="80" w:type="dxa"/>
              <w:bottom w:w="70" w:type="dxa"/>
              <w:end w:w="80" w:type="dxa"/>
            </w:tcMar>
            <w:vAlign w:val="top"/>
            <w:shd w:fill="F7FAFC"/>
          </w:tcPr>
          <w:p>
            <w:r>
              <w:rPr>
                <w:rFonts w:ascii="Aptos" w:hAnsi="Aptos"/>
                <w:b w:val="0"/>
                <w:sz w:val="16"/>
              </w:rPr>
              <w:t>Unencumbered liquid asset availability</w:t>
            </w:r>
          </w:p>
        </w:tc>
        <w:tc>
          <w:tcPr>
            <w:tcW w:type="dxa" w:w="1584"/>
            <w:tcMar>
              <w:top w:w="70" w:type="dxa"/>
              <w:start w:w="80" w:type="dxa"/>
              <w:bottom w:w="70" w:type="dxa"/>
              <w:end w:w="80" w:type="dxa"/>
            </w:tcMar>
            <w:vAlign w:val="top"/>
            <w:shd w:fill="F7FAFC"/>
          </w:tcPr>
          <w:p>
            <w:r>
              <w:rPr>
                <w:rFonts w:ascii="Aptos" w:hAnsi="Aptos"/>
                <w:b w:val="0"/>
                <w:sz w:val="16"/>
              </w:rPr>
              <w:t>Daily</w:t>
            </w:r>
          </w:p>
        </w:tc>
        <w:tc>
          <w:tcPr>
            <w:tcW w:type="dxa" w:w="2160"/>
            <w:tcMar>
              <w:top w:w="70" w:type="dxa"/>
              <w:start w:w="80" w:type="dxa"/>
              <w:bottom w:w="70" w:type="dxa"/>
              <w:end w:w="80" w:type="dxa"/>
            </w:tcMar>
            <w:vAlign w:val="top"/>
            <w:shd w:fill="F7FAFC"/>
          </w:tcPr>
          <w:p>
            <w:r>
              <w:rPr>
                <w:rFonts w:ascii="Aptos" w:hAnsi="Aptos"/>
                <w:b w:val="0"/>
                <w:sz w:val="16"/>
              </w:rPr>
              <w:t>Treasury</w:t>
            </w:r>
          </w:p>
        </w:tc>
        <w:tc>
          <w:tcPr>
            <w:tcW w:type="dxa" w:w="3024"/>
            <w:tcMar>
              <w:top w:w="70" w:type="dxa"/>
              <w:start w:w="80" w:type="dxa"/>
              <w:bottom w:w="70" w:type="dxa"/>
              <w:end w:w="80" w:type="dxa"/>
            </w:tcMar>
            <w:vAlign w:val="top"/>
            <w:shd w:fill="F7FAFC"/>
          </w:tcPr>
          <w:p>
            <w:r>
              <w:rPr>
                <w:rFonts w:ascii="Aptos" w:hAnsi="Aptos"/>
                <w:b w:val="0"/>
                <w:sz w:val="16"/>
              </w:rPr>
              <w:t>Contingency readiness</w:t>
            </w:r>
          </w:p>
        </w:tc>
      </w:tr>
      <w:tr>
        <w:tc>
          <w:tcPr>
            <w:tcW w:type="dxa" w:w="1728"/>
            <w:tcMar>
              <w:top w:w="70" w:type="dxa"/>
              <w:start w:w="80" w:type="dxa"/>
              <w:bottom w:w="70" w:type="dxa"/>
              <w:end w:w="80" w:type="dxa"/>
            </w:tcMar>
            <w:vAlign w:val="top"/>
          </w:tcPr>
          <w:p>
            <w:r>
              <w:rPr>
                <w:rFonts w:ascii="Aptos" w:hAnsi="Aptos"/>
                <w:b w:val="0"/>
                <w:sz w:val="16"/>
              </w:rPr>
              <w:t>Technology</w:t>
            </w:r>
          </w:p>
        </w:tc>
        <w:tc>
          <w:tcPr>
            <w:tcW w:type="dxa" w:w="3312"/>
            <w:tcMar>
              <w:top w:w="70" w:type="dxa"/>
              <w:start w:w="80" w:type="dxa"/>
              <w:bottom w:w="70" w:type="dxa"/>
              <w:end w:w="80" w:type="dxa"/>
            </w:tcMar>
            <w:vAlign w:val="top"/>
          </w:tcPr>
          <w:p>
            <w:r>
              <w:rPr>
                <w:rFonts w:ascii="Aptos" w:hAnsi="Aptos"/>
                <w:b w:val="0"/>
                <w:sz w:val="16"/>
              </w:rPr>
              <w:t>Critical service availability</w:t>
            </w:r>
          </w:p>
        </w:tc>
        <w:tc>
          <w:tcPr>
            <w:tcW w:type="dxa" w:w="1584"/>
            <w:tcMar>
              <w:top w:w="70" w:type="dxa"/>
              <w:start w:w="80" w:type="dxa"/>
              <w:bottom w:w="70" w:type="dxa"/>
              <w:end w:w="80" w:type="dxa"/>
            </w:tcMar>
            <w:vAlign w:val="top"/>
          </w:tcPr>
          <w:p>
            <w:r>
              <w:rPr>
                <w:rFonts w:ascii="Aptos" w:hAnsi="Aptos"/>
                <w:b w:val="0"/>
                <w:sz w:val="16"/>
              </w:rPr>
              <w:t>Daily/Monthly</w:t>
            </w:r>
          </w:p>
        </w:tc>
        <w:tc>
          <w:tcPr>
            <w:tcW w:type="dxa" w:w="2160"/>
            <w:tcMar>
              <w:top w:w="70" w:type="dxa"/>
              <w:start w:w="80" w:type="dxa"/>
              <w:bottom w:w="70" w:type="dxa"/>
              <w:end w:w="80" w:type="dxa"/>
            </w:tcMar>
            <w:vAlign w:val="top"/>
          </w:tcPr>
          <w:p>
            <w:r>
              <w:rPr>
                <w:rFonts w:ascii="Aptos" w:hAnsi="Aptos"/>
                <w:b w:val="0"/>
                <w:sz w:val="16"/>
              </w:rPr>
              <w:t>Technology</w:t>
            </w:r>
          </w:p>
        </w:tc>
        <w:tc>
          <w:tcPr>
            <w:tcW w:type="dxa" w:w="3024"/>
            <w:tcMar>
              <w:top w:w="70" w:type="dxa"/>
              <w:start w:w="80" w:type="dxa"/>
              <w:bottom w:w="70" w:type="dxa"/>
              <w:end w:w="80" w:type="dxa"/>
            </w:tcMar>
            <w:vAlign w:val="top"/>
          </w:tcPr>
          <w:p>
            <w:r>
              <w:rPr>
                <w:rFonts w:ascii="Aptos" w:hAnsi="Aptos"/>
                <w:b w:val="0"/>
                <w:sz w:val="16"/>
              </w:rPr>
              <w:t>Future IS policy thresholds</w:t>
            </w:r>
          </w:p>
        </w:tc>
      </w:tr>
      <w:tr>
        <w:tc>
          <w:tcPr>
            <w:tcW w:type="dxa" w:w="1728"/>
            <w:tcMar>
              <w:top w:w="70" w:type="dxa"/>
              <w:start w:w="80" w:type="dxa"/>
              <w:bottom w:w="70" w:type="dxa"/>
              <w:end w:w="80" w:type="dxa"/>
            </w:tcMar>
            <w:vAlign w:val="top"/>
            <w:shd w:fill="F7FAFC"/>
          </w:tcPr>
          <w:p>
            <w:r>
              <w:rPr>
                <w:rFonts w:ascii="Aptos" w:hAnsi="Aptos"/>
                <w:b w:val="0"/>
                <w:sz w:val="16"/>
              </w:rPr>
              <w:t>Cyber</w:t>
            </w:r>
          </w:p>
        </w:tc>
        <w:tc>
          <w:tcPr>
            <w:tcW w:type="dxa" w:w="3312"/>
            <w:tcMar>
              <w:top w:w="70" w:type="dxa"/>
              <w:start w:w="80" w:type="dxa"/>
              <w:bottom w:w="70" w:type="dxa"/>
              <w:end w:w="80" w:type="dxa"/>
            </w:tcMar>
            <w:vAlign w:val="top"/>
            <w:shd w:fill="F7FAFC"/>
          </w:tcPr>
          <w:p>
            <w:r>
              <w:rPr>
                <w:rFonts w:ascii="Aptos" w:hAnsi="Aptos"/>
                <w:b w:val="0"/>
                <w:sz w:val="16"/>
              </w:rPr>
              <w:t>Critical vulnerabilities overdue</w:t>
            </w:r>
          </w:p>
        </w:tc>
        <w:tc>
          <w:tcPr>
            <w:tcW w:type="dxa" w:w="1584"/>
            <w:tcMar>
              <w:top w:w="70" w:type="dxa"/>
              <w:start w:w="80" w:type="dxa"/>
              <w:bottom w:w="70" w:type="dxa"/>
              <w:end w:w="80" w:type="dxa"/>
            </w:tcMar>
            <w:vAlign w:val="top"/>
            <w:shd w:fill="F7FAFC"/>
          </w:tcPr>
          <w:p>
            <w:r>
              <w:rPr>
                <w:rFonts w:ascii="Aptos" w:hAnsi="Aptos"/>
                <w:b w:val="0"/>
                <w:sz w:val="16"/>
              </w:rPr>
              <w:t>Weekly</w:t>
            </w:r>
          </w:p>
        </w:tc>
        <w:tc>
          <w:tcPr>
            <w:tcW w:type="dxa" w:w="2160"/>
            <w:tcMar>
              <w:top w:w="70" w:type="dxa"/>
              <w:start w:w="80" w:type="dxa"/>
              <w:bottom w:w="70" w:type="dxa"/>
              <w:end w:w="80" w:type="dxa"/>
            </w:tcMar>
            <w:vAlign w:val="top"/>
            <w:shd w:fill="F7FAFC"/>
          </w:tcPr>
          <w:p>
            <w:r>
              <w:rPr>
                <w:rFonts w:ascii="Aptos" w:hAnsi="Aptos"/>
                <w:b w:val="0"/>
                <w:sz w:val="16"/>
              </w:rPr>
              <w:t>Information Security</w:t>
            </w:r>
          </w:p>
        </w:tc>
        <w:tc>
          <w:tcPr>
            <w:tcW w:type="dxa" w:w="3024"/>
            <w:tcMar>
              <w:top w:w="70" w:type="dxa"/>
              <w:start w:w="80" w:type="dxa"/>
              <w:bottom w:w="70" w:type="dxa"/>
              <w:end w:w="80" w:type="dxa"/>
            </w:tcMar>
            <w:vAlign w:val="top"/>
            <w:shd w:fill="F7FAFC"/>
          </w:tcPr>
          <w:p>
            <w:r>
              <w:rPr>
                <w:rFonts w:ascii="Aptos" w:hAnsi="Aptos"/>
                <w:b w:val="0"/>
                <w:sz w:val="16"/>
              </w:rPr>
              <w:t>Future Batch 5 / zero without acceptance</w:t>
            </w:r>
          </w:p>
        </w:tc>
      </w:tr>
      <w:tr>
        <w:tc>
          <w:tcPr>
            <w:tcW w:type="dxa" w:w="1728"/>
            <w:tcMar>
              <w:top w:w="70" w:type="dxa"/>
              <w:start w:w="80" w:type="dxa"/>
              <w:bottom w:w="70" w:type="dxa"/>
              <w:end w:w="80" w:type="dxa"/>
            </w:tcMar>
            <w:vAlign w:val="top"/>
          </w:tcPr>
          <w:p>
            <w:r>
              <w:rPr>
                <w:rFonts w:ascii="Aptos" w:hAnsi="Aptos"/>
                <w:b w:val="0"/>
                <w:sz w:val="16"/>
              </w:rPr>
              <w:t>Access</w:t>
            </w:r>
          </w:p>
        </w:tc>
        <w:tc>
          <w:tcPr>
            <w:tcW w:type="dxa" w:w="3312"/>
            <w:tcMar>
              <w:top w:w="70" w:type="dxa"/>
              <w:start w:w="80" w:type="dxa"/>
              <w:bottom w:w="70" w:type="dxa"/>
              <w:end w:w="80" w:type="dxa"/>
            </w:tcMar>
            <w:vAlign w:val="top"/>
          </w:tcPr>
          <w:p>
            <w:r>
              <w:rPr>
                <w:rFonts w:ascii="Aptos" w:hAnsi="Aptos"/>
                <w:b w:val="0"/>
                <w:sz w:val="16"/>
              </w:rPr>
              <w:t>Privileged access review overdue</w:t>
            </w:r>
          </w:p>
        </w:tc>
        <w:tc>
          <w:tcPr>
            <w:tcW w:type="dxa" w:w="1584"/>
            <w:tcMar>
              <w:top w:w="70" w:type="dxa"/>
              <w:start w:w="80" w:type="dxa"/>
              <w:bottom w:w="70" w:type="dxa"/>
              <w:end w:w="80" w:type="dxa"/>
            </w:tcMar>
            <w:vAlign w:val="top"/>
          </w:tcPr>
          <w:p>
            <w:r>
              <w:rPr>
                <w:rFonts w:ascii="Aptos" w:hAnsi="Aptos"/>
                <w:b w:val="0"/>
                <w:sz w:val="16"/>
              </w:rPr>
              <w:t>Monthly/Quarterly</w:t>
            </w:r>
          </w:p>
        </w:tc>
        <w:tc>
          <w:tcPr>
            <w:tcW w:type="dxa" w:w="2160"/>
            <w:tcMar>
              <w:top w:w="70" w:type="dxa"/>
              <w:start w:w="80" w:type="dxa"/>
              <w:bottom w:w="70" w:type="dxa"/>
              <w:end w:w="80" w:type="dxa"/>
            </w:tcMar>
            <w:vAlign w:val="top"/>
          </w:tcPr>
          <w:p>
            <w:r>
              <w:rPr>
                <w:rFonts w:ascii="Aptos" w:hAnsi="Aptos"/>
                <w:b w:val="0"/>
                <w:sz w:val="16"/>
              </w:rPr>
              <w:t>Information Security</w:t>
            </w:r>
          </w:p>
        </w:tc>
        <w:tc>
          <w:tcPr>
            <w:tcW w:type="dxa" w:w="3024"/>
            <w:tcMar>
              <w:top w:w="70" w:type="dxa"/>
              <w:start w:w="80" w:type="dxa"/>
              <w:bottom w:w="70" w:type="dxa"/>
              <w:end w:w="80" w:type="dxa"/>
            </w:tcMar>
            <w:vAlign w:val="top"/>
          </w:tcPr>
          <w:p>
            <w:r>
              <w:rPr>
                <w:rFonts w:ascii="Aptos" w:hAnsi="Aptos"/>
                <w:b w:val="0"/>
                <w:sz w:val="16"/>
              </w:rPr>
              <w:t>Future Batch 5</w:t>
            </w:r>
          </w:p>
        </w:tc>
      </w:tr>
      <w:tr>
        <w:tc>
          <w:tcPr>
            <w:tcW w:type="dxa" w:w="1728"/>
            <w:tcMar>
              <w:top w:w="70" w:type="dxa"/>
              <w:start w:w="80" w:type="dxa"/>
              <w:bottom w:w="70" w:type="dxa"/>
              <w:end w:w="80" w:type="dxa"/>
            </w:tcMar>
            <w:vAlign w:val="top"/>
            <w:shd w:fill="F7FAFC"/>
          </w:tcPr>
          <w:p>
            <w:r>
              <w:rPr>
                <w:rFonts w:ascii="Aptos" w:hAnsi="Aptos"/>
                <w:b w:val="0"/>
                <w:sz w:val="16"/>
              </w:rPr>
              <w:t>Vendor</w:t>
            </w:r>
          </w:p>
        </w:tc>
        <w:tc>
          <w:tcPr>
            <w:tcW w:type="dxa" w:w="3312"/>
            <w:tcMar>
              <w:top w:w="70" w:type="dxa"/>
              <w:start w:w="80" w:type="dxa"/>
              <w:bottom w:w="70" w:type="dxa"/>
              <w:end w:w="80" w:type="dxa"/>
            </w:tcMar>
            <w:vAlign w:val="top"/>
            <w:shd w:fill="F7FAFC"/>
          </w:tcPr>
          <w:p>
            <w:r>
              <w:rPr>
                <w:rFonts w:ascii="Aptos" w:hAnsi="Aptos"/>
                <w:b w:val="0"/>
                <w:sz w:val="16"/>
              </w:rPr>
              <w:t>Critical vendor SLA failures</w:t>
            </w:r>
          </w:p>
        </w:tc>
        <w:tc>
          <w:tcPr>
            <w:tcW w:type="dxa" w:w="1584"/>
            <w:tcMar>
              <w:top w:w="70" w:type="dxa"/>
              <w:start w:w="80" w:type="dxa"/>
              <w:bottom w:w="70" w:type="dxa"/>
              <w:end w:w="80" w:type="dxa"/>
            </w:tcMar>
            <w:vAlign w:val="top"/>
            <w:shd w:fill="F7FAFC"/>
          </w:tcPr>
          <w:p>
            <w:r>
              <w:rPr>
                <w:rFonts w:ascii="Aptos" w:hAnsi="Aptos"/>
                <w:b w:val="0"/>
                <w:sz w:val="16"/>
              </w:rPr>
              <w:t>Monthly</w:t>
            </w:r>
          </w:p>
        </w:tc>
        <w:tc>
          <w:tcPr>
            <w:tcW w:type="dxa" w:w="2160"/>
            <w:tcMar>
              <w:top w:w="70" w:type="dxa"/>
              <w:start w:w="80" w:type="dxa"/>
              <w:bottom w:w="70" w:type="dxa"/>
              <w:end w:w="80" w:type="dxa"/>
            </w:tcMar>
            <w:vAlign w:val="top"/>
            <w:shd w:fill="F7FAFC"/>
          </w:tcPr>
          <w:p>
            <w:r>
              <w:rPr>
                <w:rFonts w:ascii="Aptos" w:hAnsi="Aptos"/>
                <w:b w:val="0"/>
                <w:sz w:val="16"/>
              </w:rPr>
              <w:t>Vendor Risk</w:t>
            </w:r>
          </w:p>
        </w:tc>
        <w:tc>
          <w:tcPr>
            <w:tcW w:type="dxa" w:w="3024"/>
            <w:tcMar>
              <w:top w:w="70" w:type="dxa"/>
              <w:start w:w="80" w:type="dxa"/>
              <w:bottom w:w="70" w:type="dxa"/>
              <w:end w:w="80" w:type="dxa"/>
            </w:tcMar>
            <w:vAlign w:val="top"/>
            <w:shd w:fill="F7FAFC"/>
          </w:tcPr>
          <w:p>
            <w:r>
              <w:rPr>
                <w:rFonts w:ascii="Aptos" w:hAnsi="Aptos"/>
                <w:b w:val="0"/>
                <w:sz w:val="16"/>
              </w:rPr>
              <w:t>Escalate repeated material failure</w:t>
            </w:r>
          </w:p>
        </w:tc>
      </w:tr>
      <w:tr>
        <w:tc>
          <w:tcPr>
            <w:tcW w:type="dxa" w:w="1728"/>
            <w:tcMar>
              <w:top w:w="70" w:type="dxa"/>
              <w:start w:w="80" w:type="dxa"/>
              <w:bottom w:w="70" w:type="dxa"/>
              <w:end w:w="80" w:type="dxa"/>
            </w:tcMar>
            <w:vAlign w:val="top"/>
          </w:tcPr>
          <w:p>
            <w:r>
              <w:rPr>
                <w:rFonts w:ascii="Aptos" w:hAnsi="Aptos"/>
                <w:b w:val="0"/>
                <w:sz w:val="16"/>
              </w:rPr>
              <w:t>Model</w:t>
            </w:r>
          </w:p>
        </w:tc>
        <w:tc>
          <w:tcPr>
            <w:tcW w:type="dxa" w:w="3312"/>
            <w:tcMar>
              <w:top w:w="70" w:type="dxa"/>
              <w:start w:w="80" w:type="dxa"/>
              <w:bottom w:w="70" w:type="dxa"/>
              <w:end w:w="80" w:type="dxa"/>
            </w:tcMar>
            <w:vAlign w:val="top"/>
          </w:tcPr>
          <w:p>
            <w:r>
              <w:rPr>
                <w:rFonts w:ascii="Aptos" w:hAnsi="Aptos"/>
                <w:b w:val="0"/>
                <w:sz w:val="16"/>
              </w:rPr>
              <w:t>Override rate by model</w:t>
            </w:r>
          </w:p>
        </w:tc>
        <w:tc>
          <w:tcPr>
            <w:tcW w:type="dxa" w:w="1584"/>
            <w:tcMar>
              <w:top w:w="70" w:type="dxa"/>
              <w:start w:w="80" w:type="dxa"/>
              <w:bottom w:w="70" w:type="dxa"/>
              <w:end w:w="80" w:type="dxa"/>
            </w:tcMar>
            <w:vAlign w:val="top"/>
          </w:tcPr>
          <w:p>
            <w:r>
              <w:rPr>
                <w:rFonts w:ascii="Aptos" w:hAnsi="Aptos"/>
                <w:b w:val="0"/>
                <w:sz w:val="16"/>
              </w:rPr>
              <w:t>Monthly/Quarterly</w:t>
            </w:r>
          </w:p>
        </w:tc>
        <w:tc>
          <w:tcPr>
            <w:tcW w:type="dxa" w:w="2160"/>
            <w:tcMar>
              <w:top w:w="70" w:type="dxa"/>
              <w:start w:w="80" w:type="dxa"/>
              <w:bottom w:w="70" w:type="dxa"/>
              <w:end w:w="80" w:type="dxa"/>
            </w:tcMar>
            <w:vAlign w:val="top"/>
          </w:tcPr>
          <w:p>
            <w:r>
              <w:rPr>
                <w:rFonts w:ascii="Aptos" w:hAnsi="Aptos"/>
                <w:b w:val="0"/>
                <w:sz w:val="16"/>
              </w:rPr>
              <w:t>Model Owner / Risk</w:t>
            </w:r>
          </w:p>
        </w:tc>
        <w:tc>
          <w:tcPr>
            <w:tcW w:type="dxa" w:w="3024"/>
            <w:tcMar>
              <w:top w:w="70" w:type="dxa"/>
              <w:start w:w="80" w:type="dxa"/>
              <w:bottom w:w="70" w:type="dxa"/>
              <w:end w:w="80" w:type="dxa"/>
            </w:tcMar>
            <w:vAlign w:val="top"/>
          </w:tcPr>
          <w:p>
            <w:r>
              <w:rPr>
                <w:rFonts w:ascii="Aptos" w:hAnsi="Aptos"/>
                <w:b w:val="0"/>
                <w:sz w:val="16"/>
              </w:rPr>
              <w:t>&gt;10% sustained review unless designed manual band</w:t>
            </w:r>
          </w:p>
        </w:tc>
      </w:tr>
      <w:tr>
        <w:tc>
          <w:tcPr>
            <w:tcW w:type="dxa" w:w="1728"/>
            <w:tcMar>
              <w:top w:w="70" w:type="dxa"/>
              <w:start w:w="80" w:type="dxa"/>
              <w:bottom w:w="70" w:type="dxa"/>
              <w:end w:w="80" w:type="dxa"/>
            </w:tcMar>
            <w:vAlign w:val="top"/>
            <w:shd w:fill="F7FAFC"/>
          </w:tcPr>
          <w:p>
            <w:r>
              <w:rPr>
                <w:rFonts w:ascii="Aptos" w:hAnsi="Aptos"/>
                <w:b w:val="0"/>
                <w:sz w:val="16"/>
              </w:rPr>
              <w:t>Model</w:t>
            </w:r>
          </w:p>
        </w:tc>
        <w:tc>
          <w:tcPr>
            <w:tcW w:type="dxa" w:w="3312"/>
            <w:tcMar>
              <w:top w:w="70" w:type="dxa"/>
              <w:start w:w="80" w:type="dxa"/>
              <w:bottom w:w="70" w:type="dxa"/>
              <w:end w:w="80" w:type="dxa"/>
            </w:tcMar>
            <w:vAlign w:val="top"/>
            <w:shd w:fill="F7FAFC"/>
          </w:tcPr>
          <w:p>
            <w:r>
              <w:rPr>
                <w:rFonts w:ascii="Aptos" w:hAnsi="Aptos"/>
                <w:b w:val="0"/>
                <w:sz w:val="16"/>
              </w:rPr>
              <w:t>Data-quality exceptions affecting decisions</w:t>
            </w:r>
          </w:p>
        </w:tc>
        <w:tc>
          <w:tcPr>
            <w:tcW w:type="dxa" w:w="1584"/>
            <w:tcMar>
              <w:top w:w="70" w:type="dxa"/>
              <w:start w:w="80" w:type="dxa"/>
              <w:bottom w:w="70" w:type="dxa"/>
              <w:end w:w="80" w:type="dxa"/>
            </w:tcMar>
            <w:vAlign w:val="top"/>
            <w:shd w:fill="F7FAFC"/>
          </w:tcPr>
          <w:p>
            <w:r>
              <w:rPr>
                <w:rFonts w:ascii="Aptos" w:hAnsi="Aptos"/>
                <w:b w:val="0"/>
                <w:sz w:val="16"/>
              </w:rPr>
              <w:t>Event/Monthly</w:t>
            </w:r>
          </w:p>
        </w:tc>
        <w:tc>
          <w:tcPr>
            <w:tcW w:type="dxa" w:w="2160"/>
            <w:tcMar>
              <w:top w:w="70" w:type="dxa"/>
              <w:start w:w="80" w:type="dxa"/>
              <w:bottom w:w="70" w:type="dxa"/>
              <w:end w:w="80" w:type="dxa"/>
            </w:tcMar>
            <w:vAlign w:val="top"/>
            <w:shd w:fill="F7FAFC"/>
          </w:tcPr>
          <w:p>
            <w:r>
              <w:rPr>
                <w:rFonts w:ascii="Aptos" w:hAnsi="Aptos"/>
                <w:b w:val="0"/>
                <w:sz w:val="16"/>
              </w:rPr>
              <w:t>Model Owner</w:t>
            </w:r>
          </w:p>
        </w:tc>
        <w:tc>
          <w:tcPr>
            <w:tcW w:type="dxa" w:w="3024"/>
            <w:tcMar>
              <w:top w:w="70" w:type="dxa"/>
              <w:start w:w="80" w:type="dxa"/>
              <w:bottom w:w="70" w:type="dxa"/>
              <w:end w:w="80" w:type="dxa"/>
            </w:tcMar>
            <w:vAlign w:val="top"/>
            <w:shd w:fill="F7FAFC"/>
          </w:tcPr>
          <w:p>
            <w:r>
              <w:rPr>
                <w:rFonts w:ascii="Aptos" w:hAnsi="Aptos"/>
                <w:b w:val="0"/>
                <w:sz w:val="16"/>
              </w:rPr>
              <w:t>Impact assessment</w:t>
            </w:r>
          </w:p>
        </w:tc>
      </w:tr>
      <w:tr>
        <w:tc>
          <w:tcPr>
            <w:tcW w:type="dxa" w:w="1728"/>
            <w:tcMar>
              <w:top w:w="70" w:type="dxa"/>
              <w:start w:w="80" w:type="dxa"/>
              <w:bottom w:w="70" w:type="dxa"/>
              <w:end w:w="80" w:type="dxa"/>
            </w:tcMar>
            <w:vAlign w:val="top"/>
          </w:tcPr>
          <w:p>
            <w:r>
              <w:rPr>
                <w:rFonts w:ascii="Aptos" w:hAnsi="Aptos"/>
                <w:b w:val="0"/>
                <w:sz w:val="16"/>
              </w:rPr>
              <w:t>Compliance</w:t>
            </w:r>
          </w:p>
        </w:tc>
        <w:tc>
          <w:tcPr>
            <w:tcW w:type="dxa" w:w="3312"/>
            <w:tcMar>
              <w:top w:w="70" w:type="dxa"/>
              <w:start w:w="80" w:type="dxa"/>
              <w:bottom w:w="70" w:type="dxa"/>
              <w:end w:w="80" w:type="dxa"/>
            </w:tcMar>
            <w:vAlign w:val="top"/>
          </w:tcPr>
          <w:p>
            <w:r>
              <w:rPr>
                <w:rFonts w:ascii="Aptos" w:hAnsi="Aptos"/>
                <w:b w:val="0"/>
                <w:sz w:val="16"/>
              </w:rPr>
              <w:t>High-risk remediation actions overdue</w:t>
            </w:r>
          </w:p>
        </w:tc>
        <w:tc>
          <w:tcPr>
            <w:tcW w:type="dxa" w:w="1584"/>
            <w:tcMar>
              <w:top w:w="70" w:type="dxa"/>
              <w:start w:w="80" w:type="dxa"/>
              <w:bottom w:w="70" w:type="dxa"/>
              <w:end w:w="80" w:type="dxa"/>
            </w:tcMar>
            <w:vAlign w:val="top"/>
          </w:tcPr>
          <w:p>
            <w:r>
              <w:rPr>
                <w:rFonts w:ascii="Aptos" w:hAnsi="Aptos"/>
                <w:b w:val="0"/>
                <w:sz w:val="16"/>
              </w:rPr>
              <w:t>Monthly</w:t>
            </w:r>
          </w:p>
        </w:tc>
        <w:tc>
          <w:tcPr>
            <w:tcW w:type="dxa" w:w="2160"/>
            <w:tcMar>
              <w:top w:w="70" w:type="dxa"/>
              <w:start w:w="80" w:type="dxa"/>
              <w:bottom w:w="70" w:type="dxa"/>
              <w:end w:w="80" w:type="dxa"/>
            </w:tcMar>
            <w:vAlign w:val="top"/>
          </w:tcPr>
          <w:p>
            <w:r>
              <w:rPr>
                <w:rFonts w:ascii="Aptos" w:hAnsi="Aptos"/>
                <w:b w:val="0"/>
                <w:sz w:val="16"/>
              </w:rPr>
              <w:t>Compliance</w:t>
            </w:r>
          </w:p>
        </w:tc>
        <w:tc>
          <w:tcPr>
            <w:tcW w:type="dxa" w:w="3024"/>
            <w:tcMar>
              <w:top w:w="70" w:type="dxa"/>
              <w:start w:w="80" w:type="dxa"/>
              <w:bottom w:w="70" w:type="dxa"/>
              <w:end w:w="80" w:type="dxa"/>
            </w:tcMar>
            <w:vAlign w:val="top"/>
          </w:tcPr>
          <w:p>
            <w:r>
              <w:rPr>
                <w:rFonts w:ascii="Aptos" w:hAnsi="Aptos"/>
                <w:b w:val="0"/>
                <w:sz w:val="16"/>
              </w:rPr>
              <w:t>Escalation by severity</w:t>
            </w:r>
          </w:p>
        </w:tc>
      </w:tr>
      <w:tr>
        <w:tc>
          <w:tcPr>
            <w:tcW w:type="dxa" w:w="1728"/>
            <w:tcMar>
              <w:top w:w="70" w:type="dxa"/>
              <w:start w:w="80" w:type="dxa"/>
              <w:bottom w:w="70" w:type="dxa"/>
              <w:end w:w="80" w:type="dxa"/>
            </w:tcMar>
            <w:vAlign w:val="top"/>
            <w:shd w:fill="F7FAFC"/>
          </w:tcPr>
          <w:p>
            <w:r>
              <w:rPr>
                <w:rFonts w:ascii="Aptos" w:hAnsi="Aptos"/>
                <w:b w:val="0"/>
                <w:sz w:val="16"/>
              </w:rPr>
              <w:t>Complaints</w:t>
            </w:r>
          </w:p>
        </w:tc>
        <w:tc>
          <w:tcPr>
            <w:tcW w:type="dxa" w:w="3312"/>
            <w:tcMar>
              <w:top w:w="70" w:type="dxa"/>
              <w:start w:w="80" w:type="dxa"/>
              <w:bottom w:w="70" w:type="dxa"/>
              <w:end w:w="80" w:type="dxa"/>
            </w:tcMar>
            <w:vAlign w:val="top"/>
            <w:shd w:fill="F7FAFC"/>
          </w:tcPr>
          <w:p>
            <w:r>
              <w:rPr>
                <w:rFonts w:ascii="Aptos" w:hAnsi="Aptos"/>
                <w:b w:val="0"/>
                <w:sz w:val="16"/>
              </w:rPr>
              <w:t>Repeat root-cause complaint themes</w:t>
            </w:r>
          </w:p>
        </w:tc>
        <w:tc>
          <w:tcPr>
            <w:tcW w:type="dxa" w:w="1584"/>
            <w:tcMar>
              <w:top w:w="70" w:type="dxa"/>
              <w:start w:w="80" w:type="dxa"/>
              <w:bottom w:w="70" w:type="dxa"/>
              <w:end w:w="80" w:type="dxa"/>
            </w:tcMar>
            <w:vAlign w:val="top"/>
            <w:shd w:fill="F7FAFC"/>
          </w:tcPr>
          <w:p>
            <w:r>
              <w:rPr>
                <w:rFonts w:ascii="Aptos" w:hAnsi="Aptos"/>
                <w:b w:val="0"/>
                <w:sz w:val="16"/>
              </w:rPr>
              <w:t>Monthly</w:t>
            </w:r>
          </w:p>
        </w:tc>
        <w:tc>
          <w:tcPr>
            <w:tcW w:type="dxa" w:w="2160"/>
            <w:tcMar>
              <w:top w:w="70" w:type="dxa"/>
              <w:start w:w="80" w:type="dxa"/>
              <w:bottom w:w="70" w:type="dxa"/>
              <w:end w:w="80" w:type="dxa"/>
            </w:tcMar>
            <w:vAlign w:val="top"/>
            <w:shd w:fill="F7FAFC"/>
          </w:tcPr>
          <w:p>
            <w:r>
              <w:rPr>
                <w:rFonts w:ascii="Aptos" w:hAnsi="Aptos"/>
                <w:b w:val="0"/>
                <w:sz w:val="16"/>
              </w:rPr>
              <w:t>Customer Service / Compliance</w:t>
            </w:r>
          </w:p>
        </w:tc>
        <w:tc>
          <w:tcPr>
            <w:tcW w:type="dxa" w:w="3024"/>
            <w:tcMar>
              <w:top w:w="70" w:type="dxa"/>
              <w:start w:w="80" w:type="dxa"/>
              <w:bottom w:w="70" w:type="dxa"/>
              <w:end w:w="80" w:type="dxa"/>
            </w:tcMar>
            <w:vAlign w:val="top"/>
            <w:shd w:fill="F7FAFC"/>
          </w:tcPr>
          <w:p>
            <w:r>
              <w:rPr>
                <w:rFonts w:ascii="Aptos" w:hAnsi="Aptos"/>
                <w:b w:val="0"/>
                <w:sz w:val="16"/>
              </w:rPr>
              <w:t>Conduct risk trend</w:t>
            </w:r>
          </w:p>
        </w:tc>
      </w:tr>
    </w:tbl>
    <w:p/>
    <w:p>
      <w:r>
        <w:br w:type="page"/>
      </w:r>
    </w:p>
    <w:p>
      <w:pPr>
        <w:pStyle w:val="Heading1"/>
      </w:pPr>
      <w:r>
        <w:t>Appendix F — Cross-Risk Event Scenarios and Required Response</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3744"/>
            <w:shd w:fill="17365D"/>
            <w:tcMar>
              <w:top w:w="70" w:type="dxa"/>
              <w:start w:w="80" w:type="dxa"/>
              <w:bottom w:w="70" w:type="dxa"/>
              <w:end w:w="80" w:type="dxa"/>
            </w:tcMar>
          </w:tcPr>
          <w:p>
            <w:r>
              <w:rPr>
                <w:rFonts w:ascii="Aptos" w:hAnsi="Aptos"/>
                <w:b/>
                <w:color w:val="FFFFFF"/>
                <w:sz w:val="16"/>
              </w:rPr>
              <w:t>Event</w:t>
            </w:r>
          </w:p>
        </w:tc>
        <w:tc>
          <w:tcPr>
            <w:tcW w:type="dxa" w:w="3024"/>
            <w:shd w:fill="17365D"/>
            <w:tcMar>
              <w:top w:w="70" w:type="dxa"/>
              <w:start w:w="80" w:type="dxa"/>
              <w:bottom w:w="70" w:type="dxa"/>
              <w:end w:w="80" w:type="dxa"/>
            </w:tcMar>
          </w:tcPr>
          <w:p>
            <w:r>
              <w:rPr>
                <w:rFonts w:ascii="Aptos" w:hAnsi="Aptos"/>
                <w:b/>
                <w:color w:val="FFFFFF"/>
                <w:sz w:val="16"/>
              </w:rPr>
              <w:t>Primary / Secondary Risks</w:t>
            </w:r>
          </w:p>
        </w:tc>
        <w:tc>
          <w:tcPr>
            <w:tcW w:type="dxa" w:w="4464"/>
            <w:shd w:fill="17365D"/>
            <w:tcMar>
              <w:top w:w="70" w:type="dxa"/>
              <w:start w:w="80" w:type="dxa"/>
              <w:bottom w:w="70" w:type="dxa"/>
              <w:end w:w="80" w:type="dxa"/>
            </w:tcMar>
          </w:tcPr>
          <w:p>
            <w:r>
              <w:rPr>
                <w:rFonts w:ascii="Aptos" w:hAnsi="Aptos"/>
                <w:b/>
                <w:color w:val="FFFFFF"/>
                <w:sz w:val="16"/>
              </w:rPr>
              <w:t>Minimum Response</w:t>
            </w:r>
          </w:p>
        </w:tc>
        <w:tc>
          <w:tcPr>
            <w:tcW w:type="dxa" w:w="2304"/>
            <w:shd w:fill="17365D"/>
            <w:tcMar>
              <w:top w:w="70" w:type="dxa"/>
              <w:start w:w="80" w:type="dxa"/>
              <w:bottom w:w="70" w:type="dxa"/>
              <w:end w:w="80" w:type="dxa"/>
            </w:tcMar>
          </w:tcPr>
          <w:p>
            <w:r>
              <w:rPr>
                <w:rFonts w:ascii="Aptos" w:hAnsi="Aptos"/>
                <w:b/>
                <w:color w:val="FFFFFF"/>
                <w:sz w:val="16"/>
              </w:rPr>
              <w:t>Owners</w:t>
            </w:r>
          </w:p>
        </w:tc>
      </w:tr>
      <w:tr>
        <w:tc>
          <w:tcPr>
            <w:tcW w:type="dxa" w:w="3744"/>
            <w:tcMar>
              <w:top w:w="70" w:type="dxa"/>
              <w:start w:w="80" w:type="dxa"/>
              <w:bottom w:w="70" w:type="dxa"/>
              <w:end w:w="80" w:type="dxa"/>
            </w:tcMar>
            <w:vAlign w:val="top"/>
          </w:tcPr>
          <w:p>
            <w:r>
              <w:rPr>
                <w:rFonts w:ascii="Aptos" w:hAnsi="Aptos"/>
                <w:b w:val="0"/>
                <w:sz w:val="16"/>
              </w:rPr>
              <w:t>Loan approved above delegated authority</w:t>
            </w:r>
          </w:p>
        </w:tc>
        <w:tc>
          <w:tcPr>
            <w:tcW w:type="dxa" w:w="3024"/>
            <w:tcMar>
              <w:top w:w="70" w:type="dxa"/>
              <w:start w:w="80" w:type="dxa"/>
              <w:bottom w:w="70" w:type="dxa"/>
              <w:end w:w="80" w:type="dxa"/>
            </w:tcMar>
            <w:vAlign w:val="top"/>
          </w:tcPr>
          <w:p>
            <w:r>
              <w:rPr>
                <w:rFonts w:ascii="Aptos" w:hAnsi="Aptos"/>
                <w:b w:val="0"/>
                <w:sz w:val="16"/>
              </w:rPr>
              <w:t>Credit/Operational</w:t>
            </w:r>
          </w:p>
        </w:tc>
        <w:tc>
          <w:tcPr>
            <w:tcW w:type="dxa" w:w="4464"/>
            <w:tcMar>
              <w:top w:w="70" w:type="dxa"/>
              <w:start w:w="80" w:type="dxa"/>
              <w:bottom w:w="70" w:type="dxa"/>
              <w:end w:w="80" w:type="dxa"/>
            </w:tcMar>
            <w:vAlign w:val="top"/>
          </w:tcPr>
          <w:p>
            <w:r>
              <w:rPr>
                <w:rFonts w:ascii="Aptos" w:hAnsi="Aptos"/>
                <w:b w:val="0"/>
                <w:sz w:val="16"/>
              </w:rPr>
              <w:t>Stop further release if not disbursed; confirm authority/version; breach record</w:t>
            </w:r>
          </w:p>
        </w:tc>
        <w:tc>
          <w:tcPr>
            <w:tcW w:type="dxa" w:w="2304"/>
            <w:tcMar>
              <w:top w:w="70" w:type="dxa"/>
              <w:start w:w="80" w:type="dxa"/>
              <w:bottom w:w="70" w:type="dxa"/>
              <w:end w:w="80" w:type="dxa"/>
            </w:tcMar>
            <w:vAlign w:val="top"/>
          </w:tcPr>
          <w:p>
            <w:r>
              <w:rPr>
                <w:rFonts w:ascii="Aptos" w:hAnsi="Aptos"/>
                <w:b w:val="0"/>
                <w:sz w:val="16"/>
              </w:rPr>
              <w:t>Credit Risk + Operations</w:t>
            </w:r>
          </w:p>
        </w:tc>
      </w:tr>
      <w:tr>
        <w:tc>
          <w:tcPr>
            <w:tcW w:type="dxa" w:w="3744"/>
            <w:tcMar>
              <w:top w:w="70" w:type="dxa"/>
              <w:start w:w="80" w:type="dxa"/>
              <w:bottom w:w="70" w:type="dxa"/>
              <w:end w:w="80" w:type="dxa"/>
            </w:tcMar>
            <w:vAlign w:val="top"/>
            <w:shd w:fill="F7FAFC"/>
          </w:tcPr>
          <w:p>
            <w:r>
              <w:rPr>
                <w:rFonts w:ascii="Aptos" w:hAnsi="Aptos"/>
                <w:b w:val="0"/>
                <w:sz w:val="16"/>
              </w:rPr>
              <w:t>DTI 47% approved with CA2 only</w:t>
            </w:r>
          </w:p>
        </w:tc>
        <w:tc>
          <w:tcPr>
            <w:tcW w:type="dxa" w:w="3024"/>
            <w:tcMar>
              <w:top w:w="70" w:type="dxa"/>
              <w:start w:w="80" w:type="dxa"/>
              <w:bottom w:w="70" w:type="dxa"/>
              <w:end w:w="80" w:type="dxa"/>
            </w:tcMar>
            <w:vAlign w:val="top"/>
            <w:shd w:fill="F7FAFC"/>
          </w:tcPr>
          <w:p>
            <w:r>
              <w:rPr>
                <w:rFonts w:ascii="Aptos" w:hAnsi="Aptos"/>
                <w:b w:val="0"/>
                <w:sz w:val="16"/>
              </w:rPr>
              <w:t>Credit</w:t>
            </w:r>
          </w:p>
        </w:tc>
        <w:tc>
          <w:tcPr>
            <w:tcW w:type="dxa" w:w="4464"/>
            <w:tcMar>
              <w:top w:w="70" w:type="dxa"/>
              <w:start w:w="80" w:type="dxa"/>
              <w:bottom w:w="70" w:type="dxa"/>
              <w:end w:w="80" w:type="dxa"/>
            </w:tcMar>
            <w:vAlign w:val="top"/>
            <w:shd w:fill="F7FAFC"/>
          </w:tcPr>
          <w:p>
            <w:r>
              <w:rPr>
                <w:rFonts w:ascii="Aptos" w:hAnsi="Aptos"/>
                <w:b w:val="0"/>
                <w:sz w:val="16"/>
              </w:rPr>
              <w:t>Reassess authority; E3 band requires CA4 + Credit Risk concurrence</w:t>
            </w:r>
          </w:p>
        </w:tc>
        <w:tc>
          <w:tcPr>
            <w:tcW w:type="dxa" w:w="2304"/>
            <w:tcMar>
              <w:top w:w="70" w:type="dxa"/>
              <w:start w:w="80" w:type="dxa"/>
              <w:bottom w:w="70" w:type="dxa"/>
              <w:end w:w="80" w:type="dxa"/>
            </w:tcMar>
            <w:vAlign w:val="top"/>
            <w:shd w:fill="F7FAFC"/>
          </w:tcPr>
          <w:p>
            <w:r>
              <w:rPr>
                <w:rFonts w:ascii="Aptos" w:hAnsi="Aptos"/>
                <w:b w:val="0"/>
                <w:sz w:val="16"/>
              </w:rPr>
              <w:t>Credit Risk</w:t>
            </w:r>
          </w:p>
        </w:tc>
      </w:tr>
      <w:tr>
        <w:tc>
          <w:tcPr>
            <w:tcW w:type="dxa" w:w="3744"/>
            <w:tcMar>
              <w:top w:w="70" w:type="dxa"/>
              <w:start w:w="80" w:type="dxa"/>
              <w:bottom w:w="70" w:type="dxa"/>
              <w:end w:w="80" w:type="dxa"/>
            </w:tcMar>
            <w:vAlign w:val="top"/>
          </w:tcPr>
          <w:p>
            <w:r>
              <w:rPr>
                <w:rFonts w:ascii="Aptos" w:hAnsi="Aptos"/>
                <w:b w:val="0"/>
                <w:sz w:val="16"/>
              </w:rPr>
              <w:t>Customer record activated with unresolved sanctions hit</w:t>
            </w:r>
          </w:p>
        </w:tc>
        <w:tc>
          <w:tcPr>
            <w:tcW w:type="dxa" w:w="3024"/>
            <w:tcMar>
              <w:top w:w="70" w:type="dxa"/>
              <w:start w:w="80" w:type="dxa"/>
              <w:bottom w:w="70" w:type="dxa"/>
              <w:end w:w="80" w:type="dxa"/>
            </w:tcMar>
            <w:vAlign w:val="top"/>
          </w:tcPr>
          <w:p>
            <w:r>
              <w:rPr>
                <w:rFonts w:ascii="Aptos" w:hAnsi="Aptos"/>
                <w:b w:val="0"/>
                <w:sz w:val="16"/>
              </w:rPr>
              <w:t>AML/Compliance</w:t>
            </w:r>
          </w:p>
        </w:tc>
        <w:tc>
          <w:tcPr>
            <w:tcW w:type="dxa" w:w="4464"/>
            <w:tcMar>
              <w:top w:w="70" w:type="dxa"/>
              <w:start w:w="80" w:type="dxa"/>
              <w:bottom w:w="70" w:type="dxa"/>
              <w:end w:w="80" w:type="dxa"/>
            </w:tcMar>
            <w:vAlign w:val="top"/>
          </w:tcPr>
          <w:p>
            <w:r>
              <w:rPr>
                <w:rFonts w:ascii="Aptos" w:hAnsi="Aptos"/>
                <w:b w:val="0"/>
                <w:sz w:val="16"/>
              </w:rPr>
              <w:t>Immediate restriction and specialist escalation</w:t>
            </w:r>
          </w:p>
        </w:tc>
        <w:tc>
          <w:tcPr>
            <w:tcW w:type="dxa" w:w="2304"/>
            <w:tcMar>
              <w:top w:w="70" w:type="dxa"/>
              <w:start w:w="80" w:type="dxa"/>
              <w:bottom w:w="70" w:type="dxa"/>
              <w:end w:w="80" w:type="dxa"/>
            </w:tcMar>
            <w:vAlign w:val="top"/>
          </w:tcPr>
          <w:p>
            <w:r>
              <w:rPr>
                <w:rFonts w:ascii="Aptos" w:hAnsi="Aptos"/>
                <w:b w:val="0"/>
                <w:sz w:val="16"/>
              </w:rPr>
              <w:t>AML Compliance</w:t>
            </w:r>
          </w:p>
        </w:tc>
      </w:tr>
      <w:tr>
        <w:tc>
          <w:tcPr>
            <w:tcW w:type="dxa" w:w="3744"/>
            <w:tcMar>
              <w:top w:w="70" w:type="dxa"/>
              <w:start w:w="80" w:type="dxa"/>
              <w:bottom w:w="70" w:type="dxa"/>
              <w:end w:w="80" w:type="dxa"/>
            </w:tcMar>
            <w:vAlign w:val="top"/>
            <w:shd w:fill="F7FAFC"/>
          </w:tcPr>
          <w:p>
            <w:r>
              <w:rPr>
                <w:rFonts w:ascii="Aptos" w:hAnsi="Aptos"/>
                <w:b w:val="0"/>
                <w:sz w:val="16"/>
              </w:rPr>
              <w:t>High-risk review backlog rises above 2%</w:t>
            </w:r>
          </w:p>
        </w:tc>
        <w:tc>
          <w:tcPr>
            <w:tcW w:type="dxa" w:w="3024"/>
            <w:tcMar>
              <w:top w:w="70" w:type="dxa"/>
              <w:start w:w="80" w:type="dxa"/>
              <w:bottom w:w="70" w:type="dxa"/>
              <w:end w:w="80" w:type="dxa"/>
            </w:tcMar>
            <w:vAlign w:val="top"/>
            <w:shd w:fill="F7FAFC"/>
          </w:tcPr>
          <w:p>
            <w:r>
              <w:rPr>
                <w:rFonts w:ascii="Aptos" w:hAnsi="Aptos"/>
                <w:b w:val="0"/>
                <w:sz w:val="16"/>
              </w:rPr>
              <w:t>AML/KYC</w:t>
            </w:r>
          </w:p>
        </w:tc>
        <w:tc>
          <w:tcPr>
            <w:tcW w:type="dxa" w:w="4464"/>
            <w:tcMar>
              <w:top w:w="70" w:type="dxa"/>
              <w:start w:w="80" w:type="dxa"/>
              <w:bottom w:w="70" w:type="dxa"/>
              <w:end w:w="80" w:type="dxa"/>
            </w:tcMar>
            <w:vAlign w:val="top"/>
            <w:shd w:fill="F7FAFC"/>
          </w:tcPr>
          <w:p>
            <w:r>
              <w:rPr>
                <w:rFonts w:ascii="Aptos" w:hAnsi="Aptos"/>
                <w:b w:val="0"/>
                <w:sz w:val="16"/>
              </w:rPr>
              <w:t>Appetite breach plan, capacity/root cause, committee reporting</w:t>
            </w:r>
          </w:p>
        </w:tc>
        <w:tc>
          <w:tcPr>
            <w:tcW w:type="dxa" w:w="2304"/>
            <w:tcMar>
              <w:top w:w="70" w:type="dxa"/>
              <w:start w:w="80" w:type="dxa"/>
              <w:bottom w:w="70" w:type="dxa"/>
              <w:end w:w="80" w:type="dxa"/>
            </w:tcMar>
            <w:vAlign w:val="top"/>
            <w:shd w:fill="F7FAFC"/>
          </w:tcPr>
          <w:p>
            <w:r>
              <w:rPr>
                <w:rFonts w:ascii="Aptos" w:hAnsi="Aptos"/>
                <w:b w:val="0"/>
                <w:sz w:val="16"/>
              </w:rPr>
              <w:t>KYC + Enterprise Risk</w:t>
            </w:r>
          </w:p>
        </w:tc>
      </w:tr>
      <w:tr>
        <w:tc>
          <w:tcPr>
            <w:tcW w:type="dxa" w:w="3744"/>
            <w:tcMar>
              <w:top w:w="70" w:type="dxa"/>
              <w:start w:w="80" w:type="dxa"/>
              <w:bottom w:w="70" w:type="dxa"/>
              <w:end w:w="80" w:type="dxa"/>
            </w:tcMar>
            <w:vAlign w:val="top"/>
          </w:tcPr>
          <w:p>
            <w:r>
              <w:rPr>
                <w:rFonts w:ascii="Aptos" w:hAnsi="Aptos"/>
                <w:b w:val="0"/>
                <w:sz w:val="16"/>
              </w:rPr>
              <w:t>ATM alerts ageing &gt;5% beyond 30 days</w:t>
            </w:r>
          </w:p>
        </w:tc>
        <w:tc>
          <w:tcPr>
            <w:tcW w:type="dxa" w:w="3024"/>
            <w:tcMar>
              <w:top w:w="70" w:type="dxa"/>
              <w:start w:w="80" w:type="dxa"/>
              <w:bottom w:w="70" w:type="dxa"/>
              <w:end w:w="80" w:type="dxa"/>
            </w:tcMar>
            <w:vAlign w:val="top"/>
          </w:tcPr>
          <w:p>
            <w:r>
              <w:rPr>
                <w:rFonts w:ascii="Aptos" w:hAnsi="Aptos"/>
                <w:b w:val="0"/>
                <w:sz w:val="16"/>
              </w:rPr>
              <w:t>AML/Operational</w:t>
            </w:r>
          </w:p>
        </w:tc>
        <w:tc>
          <w:tcPr>
            <w:tcW w:type="dxa" w:w="4464"/>
            <w:tcMar>
              <w:top w:w="70" w:type="dxa"/>
              <w:start w:w="80" w:type="dxa"/>
              <w:bottom w:w="70" w:type="dxa"/>
              <w:end w:w="80" w:type="dxa"/>
            </w:tcMar>
            <w:vAlign w:val="top"/>
          </w:tcPr>
          <w:p>
            <w:r>
              <w:rPr>
                <w:rFonts w:ascii="Aptos" w:hAnsi="Aptos"/>
                <w:b w:val="0"/>
                <w:sz w:val="16"/>
              </w:rPr>
              <w:t>Prioritize backlog, quality guardrails, resourcing/action</w:t>
            </w:r>
          </w:p>
        </w:tc>
        <w:tc>
          <w:tcPr>
            <w:tcW w:type="dxa" w:w="2304"/>
            <w:tcMar>
              <w:top w:w="70" w:type="dxa"/>
              <w:start w:w="80" w:type="dxa"/>
              <w:bottom w:w="70" w:type="dxa"/>
              <w:end w:w="80" w:type="dxa"/>
            </w:tcMar>
            <w:vAlign w:val="top"/>
          </w:tcPr>
          <w:p>
            <w:r>
              <w:rPr>
                <w:rFonts w:ascii="Aptos" w:hAnsi="Aptos"/>
                <w:b w:val="0"/>
                <w:sz w:val="16"/>
              </w:rPr>
              <w:t>AML Monitoring</w:t>
            </w:r>
          </w:p>
        </w:tc>
      </w:tr>
      <w:tr>
        <w:tc>
          <w:tcPr>
            <w:tcW w:type="dxa" w:w="3744"/>
            <w:tcMar>
              <w:top w:w="70" w:type="dxa"/>
              <w:start w:w="80" w:type="dxa"/>
              <w:bottom w:w="70" w:type="dxa"/>
              <w:end w:w="80" w:type="dxa"/>
            </w:tcMar>
            <w:vAlign w:val="top"/>
            <w:shd w:fill="F7FAFC"/>
          </w:tcPr>
          <w:p>
            <w:r>
              <w:rPr>
                <w:rFonts w:ascii="Aptos" w:hAnsi="Aptos"/>
                <w:b w:val="0"/>
                <w:sz w:val="16"/>
              </w:rPr>
              <w:t>Repeated vendor outage affects onboarding</w:t>
            </w:r>
          </w:p>
        </w:tc>
        <w:tc>
          <w:tcPr>
            <w:tcW w:type="dxa" w:w="3024"/>
            <w:tcMar>
              <w:top w:w="70" w:type="dxa"/>
              <w:start w:w="80" w:type="dxa"/>
              <w:bottom w:w="70" w:type="dxa"/>
              <w:end w:w="80" w:type="dxa"/>
            </w:tcMar>
            <w:vAlign w:val="top"/>
            <w:shd w:fill="F7FAFC"/>
          </w:tcPr>
          <w:p>
            <w:r>
              <w:rPr>
                <w:rFonts w:ascii="Aptos" w:hAnsi="Aptos"/>
                <w:b w:val="0"/>
                <w:sz w:val="16"/>
              </w:rPr>
              <w:t>Operational/Vendor/Strategic</w:t>
            </w:r>
          </w:p>
        </w:tc>
        <w:tc>
          <w:tcPr>
            <w:tcW w:type="dxa" w:w="4464"/>
            <w:tcMar>
              <w:top w:w="70" w:type="dxa"/>
              <w:start w:w="80" w:type="dxa"/>
              <w:bottom w:w="70" w:type="dxa"/>
              <w:end w:w="80" w:type="dxa"/>
            </w:tcMar>
            <w:vAlign w:val="top"/>
            <w:shd w:fill="F7FAFC"/>
          </w:tcPr>
          <w:p>
            <w:r>
              <w:rPr>
                <w:rFonts w:ascii="Aptos" w:hAnsi="Aptos"/>
                <w:b w:val="0"/>
                <w:sz w:val="16"/>
              </w:rPr>
              <w:t>Incident analysis, contingency route, vendor remediation</w:t>
            </w:r>
          </w:p>
        </w:tc>
        <w:tc>
          <w:tcPr>
            <w:tcW w:type="dxa" w:w="2304"/>
            <w:tcMar>
              <w:top w:w="70" w:type="dxa"/>
              <w:start w:w="80" w:type="dxa"/>
              <w:bottom w:w="70" w:type="dxa"/>
              <w:end w:w="80" w:type="dxa"/>
            </w:tcMar>
            <w:vAlign w:val="top"/>
            <w:shd w:fill="F7FAFC"/>
          </w:tcPr>
          <w:p>
            <w:r>
              <w:rPr>
                <w:rFonts w:ascii="Aptos" w:hAnsi="Aptos"/>
                <w:b w:val="0"/>
                <w:sz w:val="16"/>
              </w:rPr>
              <w:t>Operations + Vendor Risk</w:t>
            </w:r>
          </w:p>
        </w:tc>
      </w:tr>
      <w:tr>
        <w:tc>
          <w:tcPr>
            <w:tcW w:type="dxa" w:w="3744"/>
            <w:tcMar>
              <w:top w:w="70" w:type="dxa"/>
              <w:start w:w="80" w:type="dxa"/>
              <w:bottom w:w="70" w:type="dxa"/>
              <w:end w:w="80" w:type="dxa"/>
            </w:tcMar>
            <w:vAlign w:val="top"/>
          </w:tcPr>
          <w:p>
            <w:r>
              <w:rPr>
                <w:rFonts w:ascii="Aptos" w:hAnsi="Aptos"/>
                <w:b w:val="0"/>
                <w:sz w:val="16"/>
              </w:rPr>
              <w:t>Credit scoring model override &gt;10% sustained</w:t>
            </w:r>
          </w:p>
        </w:tc>
        <w:tc>
          <w:tcPr>
            <w:tcW w:type="dxa" w:w="3024"/>
            <w:tcMar>
              <w:top w:w="70" w:type="dxa"/>
              <w:start w:w="80" w:type="dxa"/>
              <w:bottom w:w="70" w:type="dxa"/>
              <w:end w:w="80" w:type="dxa"/>
            </w:tcMar>
            <w:vAlign w:val="top"/>
          </w:tcPr>
          <w:p>
            <w:r>
              <w:rPr>
                <w:rFonts w:ascii="Aptos" w:hAnsi="Aptos"/>
                <w:b w:val="0"/>
                <w:sz w:val="16"/>
              </w:rPr>
              <w:t>Model/Credit</w:t>
            </w:r>
          </w:p>
        </w:tc>
        <w:tc>
          <w:tcPr>
            <w:tcW w:type="dxa" w:w="4464"/>
            <w:tcMar>
              <w:top w:w="70" w:type="dxa"/>
              <w:start w:w="80" w:type="dxa"/>
              <w:bottom w:w="70" w:type="dxa"/>
              <w:end w:w="80" w:type="dxa"/>
            </w:tcMar>
            <w:vAlign w:val="top"/>
          </w:tcPr>
          <w:p>
            <w:r>
              <w:rPr>
                <w:rFonts w:ascii="Aptos" w:hAnsi="Aptos"/>
                <w:b w:val="0"/>
                <w:sz w:val="16"/>
              </w:rPr>
              <w:t>Segment analysis, calibration review, misuse check</w:t>
            </w:r>
          </w:p>
        </w:tc>
        <w:tc>
          <w:tcPr>
            <w:tcW w:type="dxa" w:w="2304"/>
            <w:tcMar>
              <w:top w:w="70" w:type="dxa"/>
              <w:start w:w="80" w:type="dxa"/>
              <w:bottom w:w="70" w:type="dxa"/>
              <w:end w:w="80" w:type="dxa"/>
            </w:tcMar>
            <w:vAlign w:val="top"/>
          </w:tcPr>
          <w:p>
            <w:r>
              <w:rPr>
                <w:rFonts w:ascii="Aptos" w:hAnsi="Aptos"/>
                <w:b w:val="0"/>
                <w:sz w:val="16"/>
              </w:rPr>
              <w:t>Credit Risk + Model Risk</w:t>
            </w:r>
          </w:p>
        </w:tc>
      </w:tr>
      <w:tr>
        <w:tc>
          <w:tcPr>
            <w:tcW w:type="dxa" w:w="3744"/>
            <w:tcMar>
              <w:top w:w="70" w:type="dxa"/>
              <w:start w:w="80" w:type="dxa"/>
              <w:bottom w:w="70" w:type="dxa"/>
              <w:end w:w="80" w:type="dxa"/>
            </w:tcMar>
            <w:vAlign w:val="top"/>
            <w:shd w:fill="F7FAFC"/>
          </w:tcPr>
          <w:p>
            <w:r>
              <w:rPr>
                <w:rFonts w:ascii="Aptos" w:hAnsi="Aptos"/>
                <w:b w:val="0"/>
                <w:sz w:val="16"/>
              </w:rPr>
              <w:t>Customer risk scoring overrides cluster by analyst</w:t>
            </w:r>
          </w:p>
        </w:tc>
        <w:tc>
          <w:tcPr>
            <w:tcW w:type="dxa" w:w="3024"/>
            <w:tcMar>
              <w:top w:w="70" w:type="dxa"/>
              <w:start w:w="80" w:type="dxa"/>
              <w:bottom w:w="70" w:type="dxa"/>
              <w:end w:w="80" w:type="dxa"/>
            </w:tcMar>
            <w:vAlign w:val="top"/>
            <w:shd w:fill="F7FAFC"/>
          </w:tcPr>
          <w:p>
            <w:r>
              <w:rPr>
                <w:rFonts w:ascii="Aptos" w:hAnsi="Aptos"/>
                <w:b w:val="0"/>
                <w:sz w:val="16"/>
              </w:rPr>
              <w:t>Model/AML</w:t>
            </w:r>
          </w:p>
        </w:tc>
        <w:tc>
          <w:tcPr>
            <w:tcW w:type="dxa" w:w="4464"/>
            <w:tcMar>
              <w:top w:w="70" w:type="dxa"/>
              <w:start w:w="80" w:type="dxa"/>
              <w:bottom w:w="70" w:type="dxa"/>
              <w:end w:w="80" w:type="dxa"/>
            </w:tcMar>
            <w:vAlign w:val="top"/>
            <w:shd w:fill="F7FAFC"/>
          </w:tcPr>
          <w:p>
            <w:r>
              <w:rPr>
                <w:rFonts w:ascii="Aptos" w:hAnsi="Aptos"/>
                <w:b w:val="0"/>
                <w:sz w:val="16"/>
              </w:rPr>
              <w:t>QA, training and potential parameter review</w:t>
            </w:r>
          </w:p>
        </w:tc>
        <w:tc>
          <w:tcPr>
            <w:tcW w:type="dxa" w:w="2304"/>
            <w:tcMar>
              <w:top w:w="70" w:type="dxa"/>
              <w:start w:w="80" w:type="dxa"/>
              <w:bottom w:w="70" w:type="dxa"/>
              <w:end w:w="80" w:type="dxa"/>
            </w:tcMar>
            <w:vAlign w:val="top"/>
            <w:shd w:fill="F7FAFC"/>
          </w:tcPr>
          <w:p>
            <w:r>
              <w:rPr>
                <w:rFonts w:ascii="Aptos" w:hAnsi="Aptos"/>
                <w:b w:val="0"/>
                <w:sz w:val="16"/>
              </w:rPr>
              <w:t>AML Governance</w:t>
            </w:r>
          </w:p>
        </w:tc>
      </w:tr>
      <w:tr>
        <w:tc>
          <w:tcPr>
            <w:tcW w:type="dxa" w:w="3744"/>
            <w:tcMar>
              <w:top w:w="70" w:type="dxa"/>
              <w:start w:w="80" w:type="dxa"/>
              <w:bottom w:w="70" w:type="dxa"/>
              <w:end w:w="80" w:type="dxa"/>
            </w:tcMar>
            <w:vAlign w:val="top"/>
          </w:tcPr>
          <w:p>
            <w:r>
              <w:rPr>
                <w:rFonts w:ascii="Aptos" w:hAnsi="Aptos"/>
                <w:b w:val="0"/>
                <w:sz w:val="16"/>
              </w:rPr>
              <w:t>Non-production security incident exposes real customer data</w:t>
            </w:r>
          </w:p>
        </w:tc>
        <w:tc>
          <w:tcPr>
            <w:tcW w:type="dxa" w:w="3024"/>
            <w:tcMar>
              <w:top w:w="70" w:type="dxa"/>
              <w:start w:w="80" w:type="dxa"/>
              <w:bottom w:w="70" w:type="dxa"/>
              <w:end w:w="80" w:type="dxa"/>
            </w:tcMar>
            <w:vAlign w:val="top"/>
          </w:tcPr>
          <w:p>
            <w:r>
              <w:rPr>
                <w:rFonts w:ascii="Aptos" w:hAnsi="Aptos"/>
                <w:b w:val="0"/>
                <w:sz w:val="16"/>
              </w:rPr>
              <w:t>Cyber/Compliance</w:t>
            </w:r>
          </w:p>
        </w:tc>
        <w:tc>
          <w:tcPr>
            <w:tcW w:type="dxa" w:w="4464"/>
            <w:tcMar>
              <w:top w:w="70" w:type="dxa"/>
              <w:start w:w="80" w:type="dxa"/>
              <w:bottom w:w="70" w:type="dxa"/>
              <w:end w:w="80" w:type="dxa"/>
            </w:tcMar>
            <w:vAlign w:val="top"/>
          </w:tcPr>
          <w:p>
            <w:r>
              <w:rPr>
                <w:rFonts w:ascii="Aptos" w:hAnsi="Aptos"/>
                <w:b w:val="0"/>
                <w:sz w:val="16"/>
              </w:rPr>
              <w:t>Classify by data/access impact, not environment label</w:t>
            </w:r>
          </w:p>
        </w:tc>
        <w:tc>
          <w:tcPr>
            <w:tcW w:type="dxa" w:w="2304"/>
            <w:tcMar>
              <w:top w:w="70" w:type="dxa"/>
              <w:start w:w="80" w:type="dxa"/>
              <w:bottom w:w="70" w:type="dxa"/>
              <w:end w:w="80" w:type="dxa"/>
            </w:tcMar>
            <w:vAlign w:val="top"/>
          </w:tcPr>
          <w:p>
            <w:r>
              <w:rPr>
                <w:rFonts w:ascii="Aptos" w:hAnsi="Aptos"/>
                <w:b w:val="0"/>
                <w:sz w:val="16"/>
              </w:rPr>
              <w:t>Information Security</w:t>
            </w:r>
          </w:p>
        </w:tc>
      </w:tr>
      <w:tr>
        <w:tc>
          <w:tcPr>
            <w:tcW w:type="dxa" w:w="3744"/>
            <w:tcMar>
              <w:top w:w="70" w:type="dxa"/>
              <w:start w:w="80" w:type="dxa"/>
              <w:bottom w:w="70" w:type="dxa"/>
              <w:end w:w="80" w:type="dxa"/>
            </w:tcMar>
            <w:vAlign w:val="top"/>
            <w:shd w:fill="F7FAFC"/>
          </w:tcPr>
          <w:p>
            <w:r>
              <w:rPr>
                <w:rFonts w:ascii="Aptos" w:hAnsi="Aptos"/>
                <w:b w:val="0"/>
                <w:sz w:val="16"/>
              </w:rPr>
              <w:t>Investment approaches issuer limit</w:t>
            </w:r>
          </w:p>
        </w:tc>
        <w:tc>
          <w:tcPr>
            <w:tcW w:type="dxa" w:w="3024"/>
            <w:tcMar>
              <w:top w:w="70" w:type="dxa"/>
              <w:start w:w="80" w:type="dxa"/>
              <w:bottom w:w="70" w:type="dxa"/>
              <w:end w:w="80" w:type="dxa"/>
            </w:tcMar>
            <w:vAlign w:val="top"/>
            <w:shd w:fill="F7FAFC"/>
          </w:tcPr>
          <w:p>
            <w:r>
              <w:rPr>
                <w:rFonts w:ascii="Aptos" w:hAnsi="Aptos"/>
                <w:b w:val="0"/>
                <w:sz w:val="16"/>
              </w:rPr>
              <w:t>Market/Credit</w:t>
            </w:r>
          </w:p>
        </w:tc>
        <w:tc>
          <w:tcPr>
            <w:tcW w:type="dxa" w:w="4464"/>
            <w:tcMar>
              <w:top w:w="70" w:type="dxa"/>
              <w:start w:w="80" w:type="dxa"/>
              <w:bottom w:w="70" w:type="dxa"/>
              <w:end w:w="80" w:type="dxa"/>
            </w:tcMar>
            <w:vAlign w:val="top"/>
            <w:shd w:fill="F7FAFC"/>
          </w:tcPr>
          <w:p>
            <w:r>
              <w:rPr>
                <w:rFonts w:ascii="Aptos" w:hAnsi="Aptos"/>
                <w:b w:val="0"/>
                <w:sz w:val="16"/>
              </w:rPr>
              <w:t>Pre-emptive limit review; no need to wait for breach</w:t>
            </w:r>
          </w:p>
        </w:tc>
        <w:tc>
          <w:tcPr>
            <w:tcW w:type="dxa" w:w="2304"/>
            <w:tcMar>
              <w:top w:w="70" w:type="dxa"/>
              <w:start w:w="80" w:type="dxa"/>
              <w:bottom w:w="70" w:type="dxa"/>
              <w:end w:w="80" w:type="dxa"/>
            </w:tcMar>
            <w:vAlign w:val="top"/>
            <w:shd w:fill="F7FAFC"/>
          </w:tcPr>
          <w:p>
            <w:r>
              <w:rPr>
                <w:rFonts w:ascii="Aptos" w:hAnsi="Aptos"/>
                <w:b w:val="0"/>
                <w:sz w:val="16"/>
              </w:rPr>
              <w:t>Investment Risk</w:t>
            </w:r>
          </w:p>
        </w:tc>
      </w:tr>
      <w:tr>
        <w:tc>
          <w:tcPr>
            <w:tcW w:type="dxa" w:w="3744"/>
            <w:tcMar>
              <w:top w:w="70" w:type="dxa"/>
              <w:start w:w="80" w:type="dxa"/>
              <w:bottom w:w="70" w:type="dxa"/>
              <w:end w:w="80" w:type="dxa"/>
            </w:tcMar>
            <w:vAlign w:val="top"/>
          </w:tcPr>
          <w:p>
            <w:r>
              <w:rPr>
                <w:rFonts w:ascii="Aptos" w:hAnsi="Aptos"/>
                <w:b w:val="0"/>
                <w:sz w:val="16"/>
              </w:rPr>
              <w:t>Large customer complaint remediation theme</w:t>
            </w:r>
          </w:p>
        </w:tc>
        <w:tc>
          <w:tcPr>
            <w:tcW w:type="dxa" w:w="3024"/>
            <w:tcMar>
              <w:top w:w="70" w:type="dxa"/>
              <w:start w:w="80" w:type="dxa"/>
              <w:bottom w:w="70" w:type="dxa"/>
              <w:end w:w="80" w:type="dxa"/>
            </w:tcMar>
            <w:vAlign w:val="top"/>
          </w:tcPr>
          <w:p>
            <w:r>
              <w:rPr>
                <w:rFonts w:ascii="Aptos" w:hAnsi="Aptos"/>
                <w:b w:val="0"/>
                <w:sz w:val="16"/>
              </w:rPr>
              <w:t>Conduct/Reputation</w:t>
            </w:r>
          </w:p>
        </w:tc>
        <w:tc>
          <w:tcPr>
            <w:tcW w:type="dxa" w:w="4464"/>
            <w:tcMar>
              <w:top w:w="70" w:type="dxa"/>
              <w:start w:w="80" w:type="dxa"/>
              <w:bottom w:w="70" w:type="dxa"/>
              <w:end w:w="80" w:type="dxa"/>
            </w:tcMar>
            <w:vAlign w:val="top"/>
          </w:tcPr>
          <w:p>
            <w:r>
              <w:rPr>
                <w:rFonts w:ascii="Aptos" w:hAnsi="Aptos"/>
                <w:b w:val="0"/>
                <w:sz w:val="16"/>
              </w:rPr>
              <w:t>Root-cause and customer-impact analysis</w:t>
            </w:r>
          </w:p>
        </w:tc>
        <w:tc>
          <w:tcPr>
            <w:tcW w:type="dxa" w:w="2304"/>
            <w:tcMar>
              <w:top w:w="70" w:type="dxa"/>
              <w:start w:w="80" w:type="dxa"/>
              <w:bottom w:w="70" w:type="dxa"/>
              <w:end w:w="80" w:type="dxa"/>
            </w:tcMar>
            <w:vAlign w:val="top"/>
          </w:tcPr>
          <w:p>
            <w:r>
              <w:rPr>
                <w:rFonts w:ascii="Aptos" w:hAnsi="Aptos"/>
                <w:b w:val="0"/>
                <w:sz w:val="16"/>
              </w:rPr>
              <w:t>Compliance / Customer Service</w:t>
            </w:r>
          </w:p>
        </w:tc>
      </w:tr>
      <w:tr>
        <w:tc>
          <w:tcPr>
            <w:tcW w:type="dxa" w:w="3744"/>
            <w:tcMar>
              <w:top w:w="70" w:type="dxa"/>
              <w:start w:w="80" w:type="dxa"/>
              <w:bottom w:w="70" w:type="dxa"/>
              <w:end w:w="80" w:type="dxa"/>
            </w:tcMar>
            <w:vAlign w:val="top"/>
            <w:shd w:fill="F7FAFC"/>
          </w:tcPr>
          <w:p>
            <w:r>
              <w:rPr>
                <w:rFonts w:ascii="Aptos" w:hAnsi="Aptos"/>
                <w:b w:val="0"/>
                <w:sz w:val="16"/>
              </w:rPr>
              <w:t>Funding source concentration rises rapidly but below 35%</w:t>
            </w:r>
          </w:p>
        </w:tc>
        <w:tc>
          <w:tcPr>
            <w:tcW w:type="dxa" w:w="3024"/>
            <w:tcMar>
              <w:top w:w="70" w:type="dxa"/>
              <w:start w:w="80" w:type="dxa"/>
              <w:bottom w:w="70" w:type="dxa"/>
              <w:end w:w="80" w:type="dxa"/>
            </w:tcMar>
            <w:vAlign w:val="top"/>
            <w:shd w:fill="F7FAFC"/>
          </w:tcPr>
          <w:p>
            <w:r>
              <w:rPr>
                <w:rFonts w:ascii="Aptos" w:hAnsi="Aptos"/>
                <w:b w:val="0"/>
                <w:sz w:val="16"/>
              </w:rPr>
              <w:t>Liquidity/Strategic</w:t>
            </w:r>
          </w:p>
        </w:tc>
        <w:tc>
          <w:tcPr>
            <w:tcW w:type="dxa" w:w="4464"/>
            <w:tcMar>
              <w:top w:w="70" w:type="dxa"/>
              <w:start w:w="80" w:type="dxa"/>
              <w:bottom w:w="70" w:type="dxa"/>
              <w:end w:w="80" w:type="dxa"/>
            </w:tcMar>
            <w:vAlign w:val="top"/>
            <w:shd w:fill="F7FAFC"/>
          </w:tcPr>
          <w:p>
            <w:r>
              <w:rPr>
                <w:rFonts w:ascii="Aptos" w:hAnsi="Aptos"/>
                <w:b w:val="0"/>
                <w:sz w:val="16"/>
              </w:rPr>
              <w:t>Early warning and diversification action</w:t>
            </w:r>
          </w:p>
        </w:tc>
        <w:tc>
          <w:tcPr>
            <w:tcW w:type="dxa" w:w="2304"/>
            <w:tcMar>
              <w:top w:w="70" w:type="dxa"/>
              <w:start w:w="80" w:type="dxa"/>
              <w:bottom w:w="70" w:type="dxa"/>
              <w:end w:w="80" w:type="dxa"/>
            </w:tcMar>
            <w:vAlign w:val="top"/>
            <w:shd w:fill="F7FAFC"/>
          </w:tcPr>
          <w:p>
            <w:r>
              <w:rPr>
                <w:rFonts w:ascii="Aptos" w:hAnsi="Aptos"/>
                <w:b w:val="0"/>
                <w:sz w:val="16"/>
              </w:rPr>
              <w:t>Treasury</w:t>
            </w:r>
          </w:p>
        </w:tc>
      </w:tr>
      <w:tr>
        <w:tc>
          <w:tcPr>
            <w:tcW w:type="dxa" w:w="3744"/>
            <w:tcMar>
              <w:top w:w="70" w:type="dxa"/>
              <w:start w:w="80" w:type="dxa"/>
              <w:bottom w:w="70" w:type="dxa"/>
              <w:end w:w="80" w:type="dxa"/>
            </w:tcMar>
            <w:vAlign w:val="top"/>
          </w:tcPr>
          <w:p>
            <w:r>
              <w:rPr>
                <w:rFonts w:ascii="Aptos" w:hAnsi="Aptos"/>
                <w:b w:val="0"/>
                <w:sz w:val="16"/>
              </w:rPr>
              <w:t>System entitlement permits action above CDAS authority</w:t>
            </w:r>
          </w:p>
        </w:tc>
        <w:tc>
          <w:tcPr>
            <w:tcW w:type="dxa" w:w="3024"/>
            <w:tcMar>
              <w:top w:w="70" w:type="dxa"/>
              <w:start w:w="80" w:type="dxa"/>
              <w:bottom w:w="70" w:type="dxa"/>
              <w:end w:w="80" w:type="dxa"/>
            </w:tcMar>
            <w:vAlign w:val="top"/>
          </w:tcPr>
          <w:p>
            <w:r>
              <w:rPr>
                <w:rFonts w:ascii="Aptos" w:hAnsi="Aptos"/>
                <w:b w:val="0"/>
                <w:sz w:val="16"/>
              </w:rPr>
              <w:t>Operational/Access</w:t>
            </w:r>
          </w:p>
        </w:tc>
        <w:tc>
          <w:tcPr>
            <w:tcW w:type="dxa" w:w="4464"/>
            <w:tcMar>
              <w:top w:w="70" w:type="dxa"/>
              <w:start w:w="80" w:type="dxa"/>
              <w:bottom w:w="70" w:type="dxa"/>
              <w:end w:w="80" w:type="dxa"/>
            </w:tcMar>
            <w:vAlign w:val="top"/>
          </w:tcPr>
          <w:p>
            <w:r>
              <w:rPr>
                <w:rFonts w:ascii="Aptos" w:hAnsi="Aptos"/>
                <w:b w:val="0"/>
                <w:sz w:val="16"/>
              </w:rPr>
              <w:t>Remove/limit entitlement; authority schedule prevails</w:t>
            </w:r>
          </w:p>
        </w:tc>
        <w:tc>
          <w:tcPr>
            <w:tcW w:type="dxa" w:w="2304"/>
            <w:tcMar>
              <w:top w:w="70" w:type="dxa"/>
              <w:start w:w="80" w:type="dxa"/>
              <w:bottom w:w="70" w:type="dxa"/>
              <w:end w:w="80" w:type="dxa"/>
            </w:tcMar>
            <w:vAlign w:val="top"/>
          </w:tcPr>
          <w:p>
            <w:r>
              <w:rPr>
                <w:rFonts w:ascii="Aptos" w:hAnsi="Aptos"/>
                <w:b w:val="0"/>
                <w:sz w:val="16"/>
              </w:rPr>
              <w:t>Operations + Technology</w:t>
            </w:r>
          </w:p>
        </w:tc>
      </w:tr>
      <w:tr>
        <w:tc>
          <w:tcPr>
            <w:tcW w:type="dxa" w:w="3744"/>
            <w:tcMar>
              <w:top w:w="70" w:type="dxa"/>
              <w:start w:w="80" w:type="dxa"/>
              <w:bottom w:w="70" w:type="dxa"/>
              <w:end w:w="80" w:type="dxa"/>
            </w:tcMar>
            <w:vAlign w:val="top"/>
            <w:shd w:fill="F7FAFC"/>
          </w:tcPr>
          <w:p>
            <w:r>
              <w:rPr>
                <w:rFonts w:ascii="Aptos" w:hAnsi="Aptos"/>
                <w:b w:val="0"/>
                <w:sz w:val="16"/>
              </w:rPr>
              <w:t>Historical case used valid old DTI transition</w:t>
            </w:r>
          </w:p>
        </w:tc>
        <w:tc>
          <w:tcPr>
            <w:tcW w:type="dxa" w:w="3024"/>
            <w:tcMar>
              <w:top w:w="70" w:type="dxa"/>
              <w:start w:w="80" w:type="dxa"/>
              <w:bottom w:w="70" w:type="dxa"/>
              <w:end w:w="80" w:type="dxa"/>
            </w:tcMar>
            <w:vAlign w:val="top"/>
            <w:shd w:fill="F7FAFC"/>
          </w:tcPr>
          <w:p>
            <w:r>
              <w:rPr>
                <w:rFonts w:ascii="Aptos" w:hAnsi="Aptos"/>
                <w:b w:val="0"/>
                <w:sz w:val="16"/>
              </w:rPr>
              <w:t>Credit</w:t>
            </w:r>
          </w:p>
        </w:tc>
        <w:tc>
          <w:tcPr>
            <w:tcW w:type="dxa" w:w="4464"/>
            <w:tcMar>
              <w:top w:w="70" w:type="dxa"/>
              <w:start w:w="80" w:type="dxa"/>
              <w:bottom w:w="70" w:type="dxa"/>
              <w:end w:w="80" w:type="dxa"/>
            </w:tcMar>
            <w:vAlign w:val="top"/>
            <w:shd w:fill="F7FAFC"/>
          </w:tcPr>
          <w:p>
            <w:r>
              <w:rPr>
                <w:rFonts w:ascii="Aptos" w:hAnsi="Aptos"/>
                <w:b w:val="0"/>
                <w:sz w:val="16"/>
              </w:rPr>
              <w:t>No breach if submission/approval dates and evidence satisfy T-01</w:t>
            </w:r>
          </w:p>
        </w:tc>
        <w:tc>
          <w:tcPr>
            <w:tcW w:type="dxa" w:w="2304"/>
            <w:tcMar>
              <w:top w:w="70" w:type="dxa"/>
              <w:start w:w="80" w:type="dxa"/>
              <w:bottom w:w="70" w:type="dxa"/>
              <w:end w:w="80" w:type="dxa"/>
            </w:tcMar>
            <w:vAlign w:val="top"/>
            <w:shd w:fill="F7FAFC"/>
          </w:tcPr>
          <w:p>
            <w:r>
              <w:rPr>
                <w:rFonts w:ascii="Aptos" w:hAnsi="Aptos"/>
                <w:b w:val="0"/>
                <w:sz w:val="16"/>
              </w:rPr>
              <w:t>Credit Governance</w:t>
            </w:r>
          </w:p>
        </w:tc>
      </w:tr>
      <w:tr>
        <w:tc>
          <w:tcPr>
            <w:tcW w:type="dxa" w:w="3744"/>
            <w:tcMar>
              <w:top w:w="70" w:type="dxa"/>
              <w:start w:w="80" w:type="dxa"/>
              <w:bottom w:w="70" w:type="dxa"/>
              <w:end w:w="80" w:type="dxa"/>
            </w:tcMar>
            <w:vAlign w:val="top"/>
          </w:tcPr>
          <w:p>
            <w:r>
              <w:rPr>
                <w:rFonts w:ascii="Aptos" w:hAnsi="Aptos"/>
                <w:b w:val="0"/>
                <w:sz w:val="16"/>
              </w:rPr>
              <w:t>Historical AML alert used prior ₹12L threshold</w:t>
            </w:r>
          </w:p>
        </w:tc>
        <w:tc>
          <w:tcPr>
            <w:tcW w:type="dxa" w:w="3024"/>
            <w:tcMar>
              <w:top w:w="70" w:type="dxa"/>
              <w:start w:w="80" w:type="dxa"/>
              <w:bottom w:w="70" w:type="dxa"/>
              <w:end w:w="80" w:type="dxa"/>
            </w:tcMar>
            <w:vAlign w:val="top"/>
          </w:tcPr>
          <w:p>
            <w:r>
              <w:rPr>
                <w:rFonts w:ascii="Aptos" w:hAnsi="Aptos"/>
                <w:b w:val="0"/>
                <w:sz w:val="16"/>
              </w:rPr>
              <w:t>AML/Model</w:t>
            </w:r>
          </w:p>
        </w:tc>
        <w:tc>
          <w:tcPr>
            <w:tcW w:type="dxa" w:w="4464"/>
            <w:tcMar>
              <w:top w:w="70" w:type="dxa"/>
              <w:start w:w="80" w:type="dxa"/>
              <w:bottom w:w="70" w:type="dxa"/>
              <w:end w:w="80" w:type="dxa"/>
            </w:tcMar>
            <w:vAlign w:val="top"/>
          </w:tcPr>
          <w:p>
            <w:r>
              <w:rPr>
                <w:rFonts w:ascii="Aptos" w:hAnsi="Aptos"/>
                <w:b w:val="0"/>
                <w:sz w:val="16"/>
              </w:rPr>
              <w:t>Retain generation-time parameter; no automatic regeneration</w:t>
            </w:r>
          </w:p>
        </w:tc>
        <w:tc>
          <w:tcPr>
            <w:tcW w:type="dxa" w:w="2304"/>
            <w:tcMar>
              <w:top w:w="70" w:type="dxa"/>
              <w:start w:w="80" w:type="dxa"/>
              <w:bottom w:w="70" w:type="dxa"/>
              <w:end w:w="80" w:type="dxa"/>
            </w:tcMar>
            <w:vAlign w:val="top"/>
          </w:tcPr>
          <w:p>
            <w:r>
              <w:rPr>
                <w:rFonts w:ascii="Aptos" w:hAnsi="Aptos"/>
                <w:b w:val="0"/>
                <w:sz w:val="16"/>
              </w:rPr>
              <w:t>AML Monitoring</w:t>
            </w:r>
          </w:p>
        </w:tc>
      </w:tr>
    </w:tbl>
    <w:p/>
    <w:p>
      <w:r>
        <w:br w:type="page"/>
      </w:r>
    </w:p>
    <w:p>
      <w:pPr>
        <w:pStyle w:val="Heading1"/>
      </w:pPr>
      <w:r>
        <w:t>Appendix G — Enterprise Stress Scenario Catalogue</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880"/>
            <w:shd w:fill="17365D"/>
            <w:tcMar>
              <w:top w:w="70" w:type="dxa"/>
              <w:start w:w="80" w:type="dxa"/>
              <w:bottom w:w="70" w:type="dxa"/>
              <w:end w:w="80" w:type="dxa"/>
            </w:tcMar>
          </w:tcPr>
          <w:p>
            <w:r>
              <w:rPr>
                <w:rFonts w:ascii="Aptos" w:hAnsi="Aptos"/>
                <w:b/>
                <w:color w:val="FFFFFF"/>
                <w:sz w:val="16"/>
              </w:rPr>
              <w:t>Scenario</w:t>
            </w:r>
          </w:p>
        </w:tc>
        <w:tc>
          <w:tcPr>
            <w:tcW w:type="dxa" w:w="3744"/>
            <w:shd w:fill="17365D"/>
            <w:tcMar>
              <w:top w:w="70" w:type="dxa"/>
              <w:start w:w="80" w:type="dxa"/>
              <w:bottom w:w="70" w:type="dxa"/>
              <w:end w:w="80" w:type="dxa"/>
            </w:tcMar>
          </w:tcPr>
          <w:p>
            <w:r>
              <w:rPr>
                <w:rFonts w:ascii="Aptos" w:hAnsi="Aptos"/>
                <w:b/>
                <w:color w:val="FFFFFF"/>
                <w:sz w:val="16"/>
              </w:rPr>
              <w:t>Shock</w:t>
            </w:r>
          </w:p>
        </w:tc>
        <w:tc>
          <w:tcPr>
            <w:tcW w:type="dxa" w:w="2880"/>
            <w:shd w:fill="17365D"/>
            <w:tcMar>
              <w:top w:w="70" w:type="dxa"/>
              <w:start w:w="80" w:type="dxa"/>
              <w:bottom w:w="70" w:type="dxa"/>
              <w:end w:w="80" w:type="dxa"/>
            </w:tcMar>
          </w:tcPr>
          <w:p>
            <w:r>
              <w:rPr>
                <w:rFonts w:ascii="Aptos" w:hAnsi="Aptos"/>
                <w:b/>
                <w:color w:val="FFFFFF"/>
                <w:sz w:val="16"/>
              </w:rPr>
              <w:t>Risks</w:t>
            </w:r>
          </w:p>
        </w:tc>
        <w:tc>
          <w:tcPr>
            <w:tcW w:type="dxa" w:w="3744"/>
            <w:shd w:fill="17365D"/>
            <w:tcMar>
              <w:top w:w="70" w:type="dxa"/>
              <w:start w:w="80" w:type="dxa"/>
              <w:bottom w:w="70" w:type="dxa"/>
              <w:end w:w="80" w:type="dxa"/>
            </w:tcMar>
          </w:tcPr>
          <w:p>
            <w:r>
              <w:rPr>
                <w:rFonts w:ascii="Aptos" w:hAnsi="Aptos"/>
                <w:b/>
                <w:color w:val="FFFFFF"/>
                <w:sz w:val="16"/>
              </w:rPr>
              <w:t>Metrics to Review</w:t>
            </w:r>
          </w:p>
        </w:tc>
      </w:tr>
      <w:tr>
        <w:tc>
          <w:tcPr>
            <w:tcW w:type="dxa" w:w="2880"/>
            <w:tcMar>
              <w:top w:w="70" w:type="dxa"/>
              <w:start w:w="80" w:type="dxa"/>
              <w:bottom w:w="70" w:type="dxa"/>
              <w:end w:w="80" w:type="dxa"/>
            </w:tcMar>
            <w:vAlign w:val="top"/>
          </w:tcPr>
          <w:p>
            <w:r>
              <w:rPr>
                <w:rFonts w:ascii="Aptos" w:hAnsi="Aptos"/>
                <w:b w:val="0"/>
                <w:sz w:val="16"/>
              </w:rPr>
              <w:t>Retail recession shock</w:t>
            </w:r>
          </w:p>
        </w:tc>
        <w:tc>
          <w:tcPr>
            <w:tcW w:type="dxa" w:w="3744"/>
            <w:tcMar>
              <w:top w:w="70" w:type="dxa"/>
              <w:start w:w="80" w:type="dxa"/>
              <w:bottom w:w="70" w:type="dxa"/>
              <w:end w:w="80" w:type="dxa"/>
            </w:tcMar>
            <w:vAlign w:val="top"/>
          </w:tcPr>
          <w:p>
            <w:r>
              <w:rPr>
                <w:rFonts w:ascii="Aptos" w:hAnsi="Aptos"/>
                <w:b w:val="0"/>
                <w:sz w:val="16"/>
              </w:rPr>
              <w:t>Unemployment + income decline</w:t>
            </w:r>
          </w:p>
        </w:tc>
        <w:tc>
          <w:tcPr>
            <w:tcW w:type="dxa" w:w="2880"/>
            <w:tcMar>
              <w:top w:w="70" w:type="dxa"/>
              <w:start w:w="80" w:type="dxa"/>
              <w:bottom w:w="70" w:type="dxa"/>
              <w:end w:w="80" w:type="dxa"/>
            </w:tcMar>
            <w:vAlign w:val="top"/>
          </w:tcPr>
          <w:p>
            <w:r>
              <w:rPr>
                <w:rFonts w:ascii="Aptos" w:hAnsi="Aptos"/>
                <w:b w:val="0"/>
                <w:sz w:val="16"/>
              </w:rPr>
              <w:t>Credit, liquidity, operational collections load</w:t>
            </w:r>
          </w:p>
        </w:tc>
        <w:tc>
          <w:tcPr>
            <w:tcW w:type="dxa" w:w="3744"/>
            <w:tcMar>
              <w:top w:w="70" w:type="dxa"/>
              <w:start w:w="80" w:type="dxa"/>
              <w:bottom w:w="70" w:type="dxa"/>
              <w:end w:w="80" w:type="dxa"/>
            </w:tcMar>
            <w:vAlign w:val="top"/>
          </w:tcPr>
          <w:p>
            <w:r>
              <w:rPr>
                <w:rFonts w:ascii="Aptos" w:hAnsi="Aptos"/>
                <w:b w:val="0"/>
                <w:sz w:val="16"/>
              </w:rPr>
              <w:t>DPD/NPA migration, ECL increase, hardship requests, collections capacity</w:t>
            </w:r>
          </w:p>
        </w:tc>
      </w:tr>
      <w:tr>
        <w:tc>
          <w:tcPr>
            <w:tcW w:type="dxa" w:w="2880"/>
            <w:tcMar>
              <w:top w:w="70" w:type="dxa"/>
              <w:start w:w="80" w:type="dxa"/>
              <w:bottom w:w="70" w:type="dxa"/>
              <w:end w:w="80" w:type="dxa"/>
            </w:tcMar>
            <w:vAlign w:val="top"/>
            <w:shd w:fill="F7FAFC"/>
          </w:tcPr>
          <w:p>
            <w:r>
              <w:rPr>
                <w:rFonts w:ascii="Aptos" w:hAnsi="Aptos"/>
                <w:b w:val="0"/>
                <w:sz w:val="16"/>
              </w:rPr>
              <w:t>Property value correction</w:t>
            </w:r>
          </w:p>
        </w:tc>
        <w:tc>
          <w:tcPr>
            <w:tcW w:type="dxa" w:w="3744"/>
            <w:tcMar>
              <w:top w:w="70" w:type="dxa"/>
              <w:start w:w="80" w:type="dxa"/>
              <w:bottom w:w="70" w:type="dxa"/>
              <w:end w:w="80" w:type="dxa"/>
            </w:tcMar>
            <w:vAlign w:val="top"/>
            <w:shd w:fill="F7FAFC"/>
          </w:tcPr>
          <w:p>
            <w:r>
              <w:rPr>
                <w:rFonts w:ascii="Aptos" w:hAnsi="Aptos"/>
                <w:b w:val="0"/>
                <w:sz w:val="16"/>
              </w:rPr>
              <w:t>Secured collateral decline</w:t>
            </w:r>
          </w:p>
        </w:tc>
        <w:tc>
          <w:tcPr>
            <w:tcW w:type="dxa" w:w="2880"/>
            <w:tcMar>
              <w:top w:w="70" w:type="dxa"/>
              <w:start w:w="80" w:type="dxa"/>
              <w:bottom w:w="70" w:type="dxa"/>
              <w:end w:w="80" w:type="dxa"/>
            </w:tcMar>
            <w:vAlign w:val="top"/>
            <w:shd w:fill="F7FAFC"/>
          </w:tcPr>
          <w:p>
            <w:r>
              <w:rPr>
                <w:rFonts w:ascii="Aptos" w:hAnsi="Aptos"/>
                <w:b w:val="0"/>
                <w:sz w:val="16"/>
              </w:rPr>
              <w:t>Credit, market, liquidity</w:t>
            </w:r>
          </w:p>
        </w:tc>
        <w:tc>
          <w:tcPr>
            <w:tcW w:type="dxa" w:w="3744"/>
            <w:tcMar>
              <w:top w:w="70" w:type="dxa"/>
              <w:start w:w="80" w:type="dxa"/>
              <w:bottom w:w="70" w:type="dxa"/>
              <w:end w:w="80" w:type="dxa"/>
            </w:tcMar>
            <w:vAlign w:val="top"/>
            <w:shd w:fill="F7FAFC"/>
          </w:tcPr>
          <w:p>
            <w:r>
              <w:rPr>
                <w:rFonts w:ascii="Aptos" w:hAnsi="Aptos"/>
                <w:b w:val="0"/>
                <w:sz w:val="16"/>
              </w:rPr>
              <w:t>LTV migration, recovery shortfall, concentration</w:t>
            </w:r>
          </w:p>
        </w:tc>
      </w:tr>
      <w:tr>
        <w:tc>
          <w:tcPr>
            <w:tcW w:type="dxa" w:w="2880"/>
            <w:tcMar>
              <w:top w:w="70" w:type="dxa"/>
              <w:start w:w="80" w:type="dxa"/>
              <w:bottom w:w="70" w:type="dxa"/>
              <w:end w:w="80" w:type="dxa"/>
            </w:tcMar>
            <w:vAlign w:val="top"/>
          </w:tcPr>
          <w:p>
            <w:r>
              <w:rPr>
                <w:rFonts w:ascii="Aptos" w:hAnsi="Aptos"/>
                <w:b w:val="0"/>
                <w:sz w:val="16"/>
              </w:rPr>
              <w:t>Major fraud ring</w:t>
            </w:r>
          </w:p>
        </w:tc>
        <w:tc>
          <w:tcPr>
            <w:tcW w:type="dxa" w:w="3744"/>
            <w:tcMar>
              <w:top w:w="70" w:type="dxa"/>
              <w:start w:w="80" w:type="dxa"/>
              <w:bottom w:w="70" w:type="dxa"/>
              <w:end w:w="80" w:type="dxa"/>
            </w:tcMar>
            <w:vAlign w:val="top"/>
          </w:tcPr>
          <w:p>
            <w:r>
              <w:rPr>
                <w:rFonts w:ascii="Aptos" w:hAnsi="Aptos"/>
                <w:b w:val="0"/>
                <w:sz w:val="16"/>
              </w:rPr>
              <w:t>Coordinated synthetic/identity fraud</w:t>
            </w:r>
          </w:p>
        </w:tc>
        <w:tc>
          <w:tcPr>
            <w:tcW w:type="dxa" w:w="2880"/>
            <w:tcMar>
              <w:top w:w="70" w:type="dxa"/>
              <w:start w:w="80" w:type="dxa"/>
              <w:bottom w:w="70" w:type="dxa"/>
              <w:end w:w="80" w:type="dxa"/>
            </w:tcMar>
            <w:vAlign w:val="top"/>
          </w:tcPr>
          <w:p>
            <w:r>
              <w:rPr>
                <w:rFonts w:ascii="Aptos" w:hAnsi="Aptos"/>
                <w:b w:val="0"/>
                <w:sz w:val="16"/>
              </w:rPr>
              <w:t>Fraud, credit, AML, operational</w:t>
            </w:r>
          </w:p>
        </w:tc>
        <w:tc>
          <w:tcPr>
            <w:tcW w:type="dxa" w:w="3744"/>
            <w:tcMar>
              <w:top w:w="70" w:type="dxa"/>
              <w:start w:w="80" w:type="dxa"/>
              <w:bottom w:w="70" w:type="dxa"/>
              <w:end w:w="80" w:type="dxa"/>
            </w:tcMar>
            <w:vAlign w:val="top"/>
          </w:tcPr>
          <w:p>
            <w:r>
              <w:rPr>
                <w:rFonts w:ascii="Aptos" w:hAnsi="Aptos"/>
                <w:b w:val="0"/>
                <w:sz w:val="16"/>
              </w:rPr>
              <w:t>Application losses, KYC defects, investigation capacity</w:t>
            </w:r>
          </w:p>
        </w:tc>
      </w:tr>
      <w:tr>
        <w:tc>
          <w:tcPr>
            <w:tcW w:type="dxa" w:w="2880"/>
            <w:tcMar>
              <w:top w:w="70" w:type="dxa"/>
              <w:start w:w="80" w:type="dxa"/>
              <w:bottom w:w="70" w:type="dxa"/>
              <w:end w:w="80" w:type="dxa"/>
            </w:tcMar>
            <w:vAlign w:val="top"/>
            <w:shd w:fill="F7FAFC"/>
          </w:tcPr>
          <w:p>
            <w:r>
              <w:rPr>
                <w:rFonts w:ascii="Aptos" w:hAnsi="Aptos"/>
                <w:b w:val="0"/>
                <w:sz w:val="16"/>
              </w:rPr>
              <w:t>AML monitoring outage</w:t>
            </w:r>
          </w:p>
        </w:tc>
        <w:tc>
          <w:tcPr>
            <w:tcW w:type="dxa" w:w="3744"/>
            <w:tcMar>
              <w:top w:w="70" w:type="dxa"/>
              <w:start w:w="80" w:type="dxa"/>
              <w:bottom w:w="70" w:type="dxa"/>
              <w:end w:w="80" w:type="dxa"/>
            </w:tcMar>
            <w:vAlign w:val="top"/>
            <w:shd w:fill="F7FAFC"/>
          </w:tcPr>
          <w:p>
            <w:r>
              <w:rPr>
                <w:rFonts w:ascii="Aptos" w:hAnsi="Aptos"/>
                <w:b w:val="0"/>
                <w:sz w:val="16"/>
              </w:rPr>
              <w:t>No alerts generated for period</w:t>
            </w:r>
          </w:p>
        </w:tc>
        <w:tc>
          <w:tcPr>
            <w:tcW w:type="dxa" w:w="2880"/>
            <w:tcMar>
              <w:top w:w="70" w:type="dxa"/>
              <w:start w:w="80" w:type="dxa"/>
              <w:bottom w:w="70" w:type="dxa"/>
              <w:end w:w="80" w:type="dxa"/>
            </w:tcMar>
            <w:vAlign w:val="top"/>
            <w:shd w:fill="F7FAFC"/>
          </w:tcPr>
          <w:p>
            <w:r>
              <w:rPr>
                <w:rFonts w:ascii="Aptos" w:hAnsi="Aptos"/>
                <w:b w:val="0"/>
                <w:sz w:val="16"/>
              </w:rPr>
              <w:t>AML, operational, compliance</w:t>
            </w:r>
          </w:p>
        </w:tc>
        <w:tc>
          <w:tcPr>
            <w:tcW w:type="dxa" w:w="3744"/>
            <w:tcMar>
              <w:top w:w="70" w:type="dxa"/>
              <w:start w:w="80" w:type="dxa"/>
              <w:bottom w:w="70" w:type="dxa"/>
              <w:end w:w="80" w:type="dxa"/>
            </w:tcMar>
            <w:vAlign w:val="top"/>
            <w:shd w:fill="F7FAFC"/>
          </w:tcPr>
          <w:p>
            <w:r>
              <w:rPr>
                <w:rFonts w:ascii="Aptos" w:hAnsi="Aptos"/>
                <w:b w:val="0"/>
                <w:sz w:val="16"/>
              </w:rPr>
              <w:t>Detection gap, backfill population, backlog</w:t>
            </w:r>
          </w:p>
        </w:tc>
      </w:tr>
      <w:tr>
        <w:tc>
          <w:tcPr>
            <w:tcW w:type="dxa" w:w="2880"/>
            <w:tcMar>
              <w:top w:w="70" w:type="dxa"/>
              <w:start w:w="80" w:type="dxa"/>
              <w:bottom w:w="70" w:type="dxa"/>
              <w:end w:w="80" w:type="dxa"/>
            </w:tcMar>
            <w:vAlign w:val="top"/>
          </w:tcPr>
          <w:p>
            <w:r>
              <w:rPr>
                <w:rFonts w:ascii="Aptos" w:hAnsi="Aptos"/>
                <w:b w:val="0"/>
                <w:sz w:val="16"/>
              </w:rPr>
              <w:t>KYC vendor failure</w:t>
            </w:r>
          </w:p>
        </w:tc>
        <w:tc>
          <w:tcPr>
            <w:tcW w:type="dxa" w:w="3744"/>
            <w:tcMar>
              <w:top w:w="70" w:type="dxa"/>
              <w:start w:w="80" w:type="dxa"/>
              <w:bottom w:w="70" w:type="dxa"/>
              <w:end w:w="80" w:type="dxa"/>
            </w:tcMar>
            <w:vAlign w:val="top"/>
          </w:tcPr>
          <w:p>
            <w:r>
              <w:rPr>
                <w:rFonts w:ascii="Aptos" w:hAnsi="Aptos"/>
                <w:b w:val="0"/>
                <w:sz w:val="16"/>
              </w:rPr>
              <w:t>Identity verification unavailable</w:t>
            </w:r>
          </w:p>
        </w:tc>
        <w:tc>
          <w:tcPr>
            <w:tcW w:type="dxa" w:w="2880"/>
            <w:tcMar>
              <w:top w:w="70" w:type="dxa"/>
              <w:start w:w="80" w:type="dxa"/>
              <w:bottom w:w="70" w:type="dxa"/>
              <w:end w:w="80" w:type="dxa"/>
            </w:tcMar>
            <w:vAlign w:val="top"/>
          </w:tcPr>
          <w:p>
            <w:r>
              <w:rPr>
                <w:rFonts w:ascii="Aptos" w:hAnsi="Aptos"/>
                <w:b w:val="0"/>
                <w:sz w:val="16"/>
              </w:rPr>
              <w:t>Operational, AML, strategic</w:t>
            </w:r>
          </w:p>
        </w:tc>
        <w:tc>
          <w:tcPr>
            <w:tcW w:type="dxa" w:w="3744"/>
            <w:tcMar>
              <w:top w:w="70" w:type="dxa"/>
              <w:start w:w="80" w:type="dxa"/>
              <w:bottom w:w="70" w:type="dxa"/>
              <w:end w:w="80" w:type="dxa"/>
            </w:tcMar>
            <w:vAlign w:val="top"/>
          </w:tcPr>
          <w:p>
            <w:r>
              <w:rPr>
                <w:rFonts w:ascii="Aptos" w:hAnsi="Aptos"/>
                <w:b w:val="0"/>
                <w:sz w:val="16"/>
              </w:rPr>
              <w:t>Onboarding halt/workaround, control capacity</w:t>
            </w:r>
          </w:p>
        </w:tc>
      </w:tr>
      <w:tr>
        <w:tc>
          <w:tcPr>
            <w:tcW w:type="dxa" w:w="2880"/>
            <w:tcMar>
              <w:top w:w="70" w:type="dxa"/>
              <w:start w:w="80" w:type="dxa"/>
              <w:bottom w:w="70" w:type="dxa"/>
              <w:end w:w="80" w:type="dxa"/>
            </w:tcMar>
            <w:vAlign w:val="top"/>
            <w:shd w:fill="F7FAFC"/>
          </w:tcPr>
          <w:p>
            <w:r>
              <w:rPr>
                <w:rFonts w:ascii="Aptos" w:hAnsi="Aptos"/>
                <w:b w:val="0"/>
                <w:sz w:val="16"/>
              </w:rPr>
              <w:t>Cyber ransomware event</w:t>
            </w:r>
          </w:p>
        </w:tc>
        <w:tc>
          <w:tcPr>
            <w:tcW w:type="dxa" w:w="3744"/>
            <w:tcMar>
              <w:top w:w="70" w:type="dxa"/>
              <w:start w:w="80" w:type="dxa"/>
              <w:bottom w:w="70" w:type="dxa"/>
              <w:end w:w="80" w:type="dxa"/>
            </w:tcMar>
            <w:vAlign w:val="top"/>
            <w:shd w:fill="F7FAFC"/>
          </w:tcPr>
          <w:p>
            <w:r>
              <w:rPr>
                <w:rFonts w:ascii="Aptos" w:hAnsi="Aptos"/>
                <w:b w:val="0"/>
                <w:sz w:val="16"/>
              </w:rPr>
              <w:t>Critical systems unavailable</w:t>
            </w:r>
          </w:p>
        </w:tc>
        <w:tc>
          <w:tcPr>
            <w:tcW w:type="dxa" w:w="2880"/>
            <w:tcMar>
              <w:top w:w="70" w:type="dxa"/>
              <w:start w:w="80" w:type="dxa"/>
              <w:bottom w:w="70" w:type="dxa"/>
              <w:end w:w="80" w:type="dxa"/>
            </w:tcMar>
            <w:vAlign w:val="top"/>
            <w:shd w:fill="F7FAFC"/>
          </w:tcPr>
          <w:p>
            <w:r>
              <w:rPr>
                <w:rFonts w:ascii="Aptos" w:hAnsi="Aptos"/>
                <w:b w:val="0"/>
                <w:sz w:val="16"/>
              </w:rPr>
              <w:t>Cyber, operational, liquidity, reputation</w:t>
            </w:r>
          </w:p>
        </w:tc>
        <w:tc>
          <w:tcPr>
            <w:tcW w:type="dxa" w:w="3744"/>
            <w:tcMar>
              <w:top w:w="70" w:type="dxa"/>
              <w:start w:w="80" w:type="dxa"/>
              <w:bottom w:w="70" w:type="dxa"/>
              <w:end w:w="80" w:type="dxa"/>
            </w:tcMar>
            <w:vAlign w:val="top"/>
            <w:shd w:fill="F7FAFC"/>
          </w:tcPr>
          <w:p>
            <w:r>
              <w:rPr>
                <w:rFonts w:ascii="Aptos" w:hAnsi="Aptos"/>
                <w:b w:val="0"/>
                <w:sz w:val="16"/>
              </w:rPr>
              <w:t>Service outage, data integrity, manual process risk</w:t>
            </w:r>
          </w:p>
        </w:tc>
      </w:tr>
      <w:tr>
        <w:tc>
          <w:tcPr>
            <w:tcW w:type="dxa" w:w="2880"/>
            <w:tcMar>
              <w:top w:w="70" w:type="dxa"/>
              <w:start w:w="80" w:type="dxa"/>
              <w:bottom w:w="70" w:type="dxa"/>
              <w:end w:w="80" w:type="dxa"/>
            </w:tcMar>
            <w:vAlign w:val="top"/>
          </w:tcPr>
          <w:p>
            <w:r>
              <w:rPr>
                <w:rFonts w:ascii="Aptos" w:hAnsi="Aptos"/>
                <w:b w:val="0"/>
                <w:sz w:val="16"/>
              </w:rPr>
              <w:t>Liquidity run</w:t>
            </w:r>
          </w:p>
        </w:tc>
        <w:tc>
          <w:tcPr>
            <w:tcW w:type="dxa" w:w="3744"/>
            <w:tcMar>
              <w:top w:w="70" w:type="dxa"/>
              <w:start w:w="80" w:type="dxa"/>
              <w:bottom w:w="70" w:type="dxa"/>
              <w:end w:w="80" w:type="dxa"/>
            </w:tcMar>
            <w:vAlign w:val="top"/>
          </w:tcPr>
          <w:p>
            <w:r>
              <w:rPr>
                <w:rFonts w:ascii="Aptos" w:hAnsi="Aptos"/>
                <w:b w:val="0"/>
                <w:sz w:val="16"/>
              </w:rPr>
              <w:t>Rapid withdrawals / funding loss</w:t>
            </w:r>
          </w:p>
        </w:tc>
        <w:tc>
          <w:tcPr>
            <w:tcW w:type="dxa" w:w="2880"/>
            <w:tcMar>
              <w:top w:w="70" w:type="dxa"/>
              <w:start w:w="80" w:type="dxa"/>
              <w:bottom w:w="70" w:type="dxa"/>
              <w:end w:w="80" w:type="dxa"/>
            </w:tcMar>
            <w:vAlign w:val="top"/>
          </w:tcPr>
          <w:p>
            <w:r>
              <w:rPr>
                <w:rFonts w:ascii="Aptos" w:hAnsi="Aptos"/>
                <w:b w:val="0"/>
                <w:sz w:val="16"/>
              </w:rPr>
              <w:t>Liquidity, market, reputation</w:t>
            </w:r>
          </w:p>
        </w:tc>
        <w:tc>
          <w:tcPr>
            <w:tcW w:type="dxa" w:w="3744"/>
            <w:tcMar>
              <w:top w:w="70" w:type="dxa"/>
              <w:start w:w="80" w:type="dxa"/>
              <w:bottom w:w="70" w:type="dxa"/>
              <w:end w:w="80" w:type="dxa"/>
            </w:tcMar>
            <w:vAlign w:val="top"/>
          </w:tcPr>
          <w:p>
            <w:r>
              <w:rPr>
                <w:rFonts w:ascii="Aptos" w:hAnsi="Aptos"/>
                <w:b w:val="0"/>
                <w:sz w:val="16"/>
              </w:rPr>
              <w:t>Buffer consumption, contingency actions, asset sale pressure</w:t>
            </w:r>
          </w:p>
        </w:tc>
      </w:tr>
      <w:tr>
        <w:tc>
          <w:tcPr>
            <w:tcW w:type="dxa" w:w="2880"/>
            <w:tcMar>
              <w:top w:w="70" w:type="dxa"/>
              <w:start w:w="80" w:type="dxa"/>
              <w:bottom w:w="70" w:type="dxa"/>
              <w:end w:w="80" w:type="dxa"/>
            </w:tcMar>
            <w:vAlign w:val="top"/>
            <w:shd w:fill="F7FAFC"/>
          </w:tcPr>
          <w:p>
            <w:r>
              <w:rPr>
                <w:rFonts w:ascii="Aptos" w:hAnsi="Aptos"/>
                <w:b w:val="0"/>
                <w:sz w:val="16"/>
              </w:rPr>
              <w:t>Interest-rate shock</w:t>
            </w:r>
          </w:p>
        </w:tc>
        <w:tc>
          <w:tcPr>
            <w:tcW w:type="dxa" w:w="3744"/>
            <w:tcMar>
              <w:top w:w="70" w:type="dxa"/>
              <w:start w:w="80" w:type="dxa"/>
              <w:bottom w:w="70" w:type="dxa"/>
              <w:end w:w="80" w:type="dxa"/>
            </w:tcMar>
            <w:vAlign w:val="top"/>
            <w:shd w:fill="F7FAFC"/>
          </w:tcPr>
          <w:p>
            <w:r>
              <w:rPr>
                <w:rFonts w:ascii="Aptos" w:hAnsi="Aptos"/>
                <w:b w:val="0"/>
                <w:sz w:val="16"/>
              </w:rPr>
              <w:t>Rates rise sharply</w:t>
            </w:r>
          </w:p>
        </w:tc>
        <w:tc>
          <w:tcPr>
            <w:tcW w:type="dxa" w:w="2880"/>
            <w:tcMar>
              <w:top w:w="70" w:type="dxa"/>
              <w:start w:w="80" w:type="dxa"/>
              <w:bottom w:w="70" w:type="dxa"/>
              <w:end w:w="80" w:type="dxa"/>
            </w:tcMar>
            <w:vAlign w:val="top"/>
            <w:shd w:fill="F7FAFC"/>
          </w:tcPr>
          <w:p>
            <w:r>
              <w:rPr>
                <w:rFonts w:ascii="Aptos" w:hAnsi="Aptos"/>
                <w:b w:val="0"/>
                <w:sz w:val="16"/>
              </w:rPr>
              <w:t>Market, credit, liquidity</w:t>
            </w:r>
          </w:p>
        </w:tc>
        <w:tc>
          <w:tcPr>
            <w:tcW w:type="dxa" w:w="3744"/>
            <w:tcMar>
              <w:top w:w="70" w:type="dxa"/>
              <w:start w:w="80" w:type="dxa"/>
              <w:bottom w:w="70" w:type="dxa"/>
              <w:end w:w="80" w:type="dxa"/>
            </w:tcMar>
            <w:vAlign w:val="top"/>
            <w:shd w:fill="F7FAFC"/>
          </w:tcPr>
          <w:p>
            <w:r>
              <w:rPr>
                <w:rFonts w:ascii="Aptos" w:hAnsi="Aptos"/>
                <w:b w:val="0"/>
                <w:sz w:val="16"/>
              </w:rPr>
              <w:t>Valuation changes, funding cost, borrower affordability</w:t>
            </w:r>
          </w:p>
        </w:tc>
      </w:tr>
      <w:tr>
        <w:tc>
          <w:tcPr>
            <w:tcW w:type="dxa" w:w="2880"/>
            <w:tcMar>
              <w:top w:w="70" w:type="dxa"/>
              <w:start w:w="80" w:type="dxa"/>
              <w:bottom w:w="70" w:type="dxa"/>
              <w:end w:w="80" w:type="dxa"/>
            </w:tcMar>
            <w:vAlign w:val="top"/>
          </w:tcPr>
          <w:p>
            <w:r>
              <w:rPr>
                <w:rFonts w:ascii="Aptos" w:hAnsi="Aptos"/>
                <w:b w:val="0"/>
                <w:sz w:val="16"/>
              </w:rPr>
              <w:t>Sourcing partner collapse</w:t>
            </w:r>
          </w:p>
        </w:tc>
        <w:tc>
          <w:tcPr>
            <w:tcW w:type="dxa" w:w="3744"/>
            <w:tcMar>
              <w:top w:w="70" w:type="dxa"/>
              <w:start w:w="80" w:type="dxa"/>
              <w:bottom w:w="70" w:type="dxa"/>
              <w:end w:w="80" w:type="dxa"/>
            </w:tcMar>
            <w:vAlign w:val="top"/>
          </w:tcPr>
          <w:p>
            <w:r>
              <w:rPr>
                <w:rFonts w:ascii="Aptos" w:hAnsi="Aptos"/>
                <w:b w:val="0"/>
                <w:sz w:val="16"/>
              </w:rPr>
              <w:t>Major acquisition channel stops</w:t>
            </w:r>
          </w:p>
        </w:tc>
        <w:tc>
          <w:tcPr>
            <w:tcW w:type="dxa" w:w="2880"/>
            <w:tcMar>
              <w:top w:w="70" w:type="dxa"/>
              <w:start w:w="80" w:type="dxa"/>
              <w:bottom w:w="70" w:type="dxa"/>
              <w:end w:w="80" w:type="dxa"/>
            </w:tcMar>
            <w:vAlign w:val="top"/>
          </w:tcPr>
          <w:p>
            <w:r>
              <w:rPr>
                <w:rFonts w:ascii="Aptos" w:hAnsi="Aptos"/>
                <w:b w:val="0"/>
                <w:sz w:val="16"/>
              </w:rPr>
              <w:t>Strategic, operational, credit concentration</w:t>
            </w:r>
          </w:p>
        </w:tc>
        <w:tc>
          <w:tcPr>
            <w:tcW w:type="dxa" w:w="3744"/>
            <w:tcMar>
              <w:top w:w="70" w:type="dxa"/>
              <w:start w:w="80" w:type="dxa"/>
              <w:bottom w:w="70" w:type="dxa"/>
              <w:end w:w="80" w:type="dxa"/>
            </w:tcMar>
            <w:vAlign w:val="top"/>
          </w:tcPr>
          <w:p>
            <w:r>
              <w:rPr>
                <w:rFonts w:ascii="Aptos" w:hAnsi="Aptos"/>
                <w:b w:val="0"/>
                <w:sz w:val="16"/>
              </w:rPr>
              <w:t>Pipeline disruption, concentration unwind, customer communication</w:t>
            </w:r>
          </w:p>
        </w:tc>
      </w:tr>
      <w:tr>
        <w:tc>
          <w:tcPr>
            <w:tcW w:type="dxa" w:w="2880"/>
            <w:tcMar>
              <w:top w:w="70" w:type="dxa"/>
              <w:start w:w="80" w:type="dxa"/>
              <w:bottom w:w="70" w:type="dxa"/>
              <w:end w:w="80" w:type="dxa"/>
            </w:tcMar>
            <w:vAlign w:val="top"/>
            <w:shd w:fill="F7FAFC"/>
          </w:tcPr>
          <w:p>
            <w:r>
              <w:rPr>
                <w:rFonts w:ascii="Aptos" w:hAnsi="Aptos"/>
                <w:b w:val="0"/>
                <w:sz w:val="16"/>
              </w:rPr>
              <w:t>Regulatory interpretation change</w:t>
            </w:r>
          </w:p>
        </w:tc>
        <w:tc>
          <w:tcPr>
            <w:tcW w:type="dxa" w:w="3744"/>
            <w:tcMar>
              <w:top w:w="70" w:type="dxa"/>
              <w:start w:w="80" w:type="dxa"/>
              <w:bottom w:w="70" w:type="dxa"/>
              <w:end w:w="80" w:type="dxa"/>
            </w:tcMar>
            <w:vAlign w:val="top"/>
            <w:shd w:fill="F7FAFC"/>
          </w:tcPr>
          <w:p>
            <w:r>
              <w:rPr>
                <w:rFonts w:ascii="Aptos" w:hAnsi="Aptos"/>
                <w:b w:val="0"/>
                <w:sz w:val="16"/>
              </w:rPr>
              <w:t>Internal controls require rapid change</w:t>
            </w:r>
          </w:p>
        </w:tc>
        <w:tc>
          <w:tcPr>
            <w:tcW w:type="dxa" w:w="2880"/>
            <w:tcMar>
              <w:top w:w="70" w:type="dxa"/>
              <w:start w:w="80" w:type="dxa"/>
              <w:bottom w:w="70" w:type="dxa"/>
              <w:end w:w="80" w:type="dxa"/>
            </w:tcMar>
            <w:vAlign w:val="top"/>
            <w:shd w:fill="F7FAFC"/>
          </w:tcPr>
          <w:p>
            <w:r>
              <w:rPr>
                <w:rFonts w:ascii="Aptos" w:hAnsi="Aptos"/>
                <w:b w:val="0"/>
                <w:sz w:val="16"/>
              </w:rPr>
              <w:t>Compliance, operational, strategic</w:t>
            </w:r>
          </w:p>
        </w:tc>
        <w:tc>
          <w:tcPr>
            <w:tcW w:type="dxa" w:w="3744"/>
            <w:tcMar>
              <w:top w:w="70" w:type="dxa"/>
              <w:start w:w="80" w:type="dxa"/>
              <w:bottom w:w="70" w:type="dxa"/>
              <w:end w:w="80" w:type="dxa"/>
            </w:tcMar>
            <w:vAlign w:val="top"/>
            <w:shd w:fill="F7FAFC"/>
          </w:tcPr>
          <w:p>
            <w:r>
              <w:rPr>
                <w:rFonts w:ascii="Aptos" w:hAnsi="Aptos"/>
                <w:b w:val="0"/>
                <w:sz w:val="16"/>
              </w:rPr>
              <w:t>Change backlog, training, system/configuration updates</w:t>
            </w:r>
          </w:p>
        </w:tc>
      </w:tr>
      <w:tr>
        <w:tc>
          <w:tcPr>
            <w:tcW w:type="dxa" w:w="2880"/>
            <w:tcMar>
              <w:top w:w="70" w:type="dxa"/>
              <w:start w:w="80" w:type="dxa"/>
              <w:bottom w:w="70" w:type="dxa"/>
              <w:end w:w="80" w:type="dxa"/>
            </w:tcMar>
            <w:vAlign w:val="top"/>
          </w:tcPr>
          <w:p>
            <w:r>
              <w:rPr>
                <w:rFonts w:ascii="Aptos" w:hAnsi="Aptos"/>
                <w:b w:val="0"/>
                <w:sz w:val="16"/>
              </w:rPr>
              <w:t>Cloud provider regional outage</w:t>
            </w:r>
          </w:p>
        </w:tc>
        <w:tc>
          <w:tcPr>
            <w:tcW w:type="dxa" w:w="3744"/>
            <w:tcMar>
              <w:top w:w="70" w:type="dxa"/>
              <w:start w:w="80" w:type="dxa"/>
              <w:bottom w:w="70" w:type="dxa"/>
              <w:end w:w="80" w:type="dxa"/>
            </w:tcMar>
            <w:vAlign w:val="top"/>
          </w:tcPr>
          <w:p>
            <w:r>
              <w:rPr>
                <w:rFonts w:ascii="Aptos" w:hAnsi="Aptos"/>
                <w:b w:val="0"/>
                <w:sz w:val="16"/>
              </w:rPr>
              <w:t>Key systems inaccessible</w:t>
            </w:r>
          </w:p>
        </w:tc>
        <w:tc>
          <w:tcPr>
            <w:tcW w:type="dxa" w:w="2880"/>
            <w:tcMar>
              <w:top w:w="70" w:type="dxa"/>
              <w:start w:w="80" w:type="dxa"/>
              <w:bottom w:w="70" w:type="dxa"/>
              <w:end w:w="80" w:type="dxa"/>
            </w:tcMar>
            <w:vAlign w:val="top"/>
          </w:tcPr>
          <w:p>
            <w:r>
              <w:rPr>
                <w:rFonts w:ascii="Aptos" w:hAnsi="Aptos"/>
                <w:b w:val="0"/>
                <w:sz w:val="16"/>
              </w:rPr>
              <w:t>Operational, cyber, vendor</w:t>
            </w:r>
          </w:p>
        </w:tc>
        <w:tc>
          <w:tcPr>
            <w:tcW w:type="dxa" w:w="3744"/>
            <w:tcMar>
              <w:top w:w="70" w:type="dxa"/>
              <w:start w:w="80" w:type="dxa"/>
              <w:bottom w:w="70" w:type="dxa"/>
              <w:end w:w="80" w:type="dxa"/>
            </w:tcMar>
            <w:vAlign w:val="top"/>
          </w:tcPr>
          <w:p>
            <w:r>
              <w:rPr>
                <w:rFonts w:ascii="Aptos" w:hAnsi="Aptos"/>
                <w:b w:val="0"/>
                <w:sz w:val="16"/>
              </w:rPr>
              <w:t>BCP failover, data synchronization, manual controls</w:t>
            </w:r>
          </w:p>
        </w:tc>
      </w:tr>
      <w:tr>
        <w:tc>
          <w:tcPr>
            <w:tcW w:type="dxa" w:w="2880"/>
            <w:tcMar>
              <w:top w:w="70" w:type="dxa"/>
              <w:start w:w="80" w:type="dxa"/>
              <w:bottom w:w="70" w:type="dxa"/>
              <w:end w:w="80" w:type="dxa"/>
            </w:tcMar>
            <w:vAlign w:val="top"/>
            <w:shd w:fill="F7FAFC"/>
          </w:tcPr>
          <w:p>
            <w:r>
              <w:rPr>
                <w:rFonts w:ascii="Aptos" w:hAnsi="Aptos"/>
                <w:b w:val="0"/>
                <w:sz w:val="16"/>
              </w:rPr>
              <w:t>Model defect discovered</w:t>
            </w:r>
          </w:p>
        </w:tc>
        <w:tc>
          <w:tcPr>
            <w:tcW w:type="dxa" w:w="3744"/>
            <w:tcMar>
              <w:top w:w="70" w:type="dxa"/>
              <w:start w:w="80" w:type="dxa"/>
              <w:bottom w:w="70" w:type="dxa"/>
              <w:end w:w="80" w:type="dxa"/>
            </w:tcMar>
            <w:vAlign w:val="top"/>
            <w:shd w:fill="F7FAFC"/>
          </w:tcPr>
          <w:p>
            <w:r>
              <w:rPr>
                <w:rFonts w:ascii="Aptos" w:hAnsi="Aptos"/>
                <w:b w:val="0"/>
                <w:sz w:val="16"/>
              </w:rPr>
              <w:t>Score/risk rating wrong for past population</w:t>
            </w:r>
          </w:p>
        </w:tc>
        <w:tc>
          <w:tcPr>
            <w:tcW w:type="dxa" w:w="2880"/>
            <w:tcMar>
              <w:top w:w="70" w:type="dxa"/>
              <w:start w:w="80" w:type="dxa"/>
              <w:bottom w:w="70" w:type="dxa"/>
              <w:end w:w="80" w:type="dxa"/>
            </w:tcMar>
            <w:vAlign w:val="top"/>
            <w:shd w:fill="F7FAFC"/>
          </w:tcPr>
          <w:p>
            <w:r>
              <w:rPr>
                <w:rFonts w:ascii="Aptos" w:hAnsi="Aptos"/>
                <w:b w:val="0"/>
                <w:sz w:val="16"/>
              </w:rPr>
              <w:t>Model, credit/AML, compliance</w:t>
            </w:r>
          </w:p>
        </w:tc>
        <w:tc>
          <w:tcPr>
            <w:tcW w:type="dxa" w:w="3744"/>
            <w:tcMar>
              <w:top w:w="70" w:type="dxa"/>
              <w:start w:w="80" w:type="dxa"/>
              <w:bottom w:w="70" w:type="dxa"/>
              <w:end w:w="80" w:type="dxa"/>
            </w:tcMar>
            <w:vAlign w:val="top"/>
            <w:shd w:fill="F7FAFC"/>
          </w:tcPr>
          <w:p>
            <w:r>
              <w:rPr>
                <w:rFonts w:ascii="Aptos" w:hAnsi="Aptos"/>
                <w:b w:val="0"/>
                <w:sz w:val="16"/>
              </w:rPr>
              <w:t>Impact assessment, decision review, remediation population</w:t>
            </w:r>
          </w:p>
        </w:tc>
      </w:tr>
    </w:tbl>
    <w:p/>
    <w:p>
      <w:r>
        <w:br w:type="page"/>
      </w:r>
    </w:p>
    <w:p>
      <w:pPr>
        <w:pStyle w:val="Heading1"/>
      </w:pPr>
      <w:r>
        <w:t>Appendix H — Risk Committee Pack Minimum Content</w:t>
      </w:r>
    </w:p>
    <w:p>
      <w:pPr>
        <w:pStyle w:val="ControlBullet"/>
      </w:pPr>
      <w:r>
        <w:rPr>
          <w:b/>
        </w:rPr>
        <w:t xml:space="preserve">• </w:t>
      </w:r>
      <w:r>
        <w:t>Executive summary of changes since prior meeting, including emerging risks and decisions required.</w:t>
      </w:r>
    </w:p>
    <w:p>
      <w:pPr>
        <w:pStyle w:val="ControlBullet"/>
      </w:pPr>
      <w:r>
        <w:rPr>
          <w:b/>
        </w:rPr>
        <w:t xml:space="preserve">• </w:t>
      </w:r>
      <w:r>
        <w:t>Risk appetite dashboard with current value, trend, status, breaches, temporary accepted excesses and return-to-appetite dates.</w:t>
      </w:r>
    </w:p>
    <w:p>
      <w:pPr>
        <w:pStyle w:val="ControlBullet"/>
      </w:pPr>
      <w:r>
        <w:rPr>
          <w:b/>
        </w:rPr>
        <w:t xml:space="preserve">• </w:t>
      </w:r>
      <w:r>
        <w:t>Credit portfolio quality: DPD/NPA/ECL, score/DTI/FOIR distribution, exceptions, concentrations and vintage trends.</w:t>
      </w:r>
    </w:p>
    <w:p>
      <w:pPr>
        <w:pStyle w:val="ControlBullet"/>
      </w:pPr>
      <w:r>
        <w:rPr>
          <w:b/>
        </w:rPr>
        <w:t xml:space="preserve">• </w:t>
      </w:r>
      <w:r>
        <w:t>Liquidity and market summary: buffer status, funding concentration, market/investment exposures and stress indicators.</w:t>
      </w:r>
    </w:p>
    <w:p>
      <w:pPr>
        <w:pStyle w:val="ControlBullet"/>
      </w:pPr>
      <w:r>
        <w:rPr>
          <w:b/>
        </w:rPr>
        <w:t xml:space="preserve">• </w:t>
      </w:r>
      <w:r>
        <w:t>Operational risk: high-severity incidents, gross losses, repeat root causes, critical process/control failures and vendor issues.</w:t>
      </w:r>
    </w:p>
    <w:p>
      <w:pPr>
        <w:pStyle w:val="ControlBullet"/>
      </w:pPr>
      <w:r>
        <w:rPr>
          <w:b/>
        </w:rPr>
        <w:t xml:space="preserve">• </w:t>
      </w:r>
      <w:r>
        <w:t>Financial-crime risk: high-risk customers, overdue reviews, sanctions status, alert/case ageing, EDD backlog and QA themes.</w:t>
      </w:r>
    </w:p>
    <w:p>
      <w:pPr>
        <w:pStyle w:val="ControlBullet"/>
      </w:pPr>
      <w:r>
        <w:rPr>
          <w:b/>
        </w:rPr>
        <w:t xml:space="preserve">• </w:t>
      </w:r>
      <w:r>
        <w:t>Cyber/information security: critical incidents, vulnerabilities, access issues and recovery readiness as available.</w:t>
      </w:r>
    </w:p>
    <w:p>
      <w:pPr>
        <w:pStyle w:val="ControlBullet"/>
      </w:pPr>
      <w:r>
        <w:rPr>
          <w:b/>
        </w:rPr>
        <w:t xml:space="preserve">• </w:t>
      </w:r>
      <w:r>
        <w:t>Model risk: material changes, overrides, data issues, validation/review findings and remediation.</w:t>
      </w:r>
    </w:p>
    <w:p>
      <w:pPr>
        <w:pStyle w:val="ControlBullet"/>
      </w:pPr>
      <w:r>
        <w:rPr>
          <w:b/>
        </w:rPr>
        <w:t xml:space="preserve">• </w:t>
      </w:r>
      <w:r>
        <w:t>Compliance/conduct: material breaches, complaints themes, remediation and regulatory-change implementation as applicable.</w:t>
      </w:r>
    </w:p>
    <w:p>
      <w:pPr>
        <w:pStyle w:val="ControlBullet"/>
      </w:pPr>
      <w:r>
        <w:rPr>
          <w:b/>
        </w:rPr>
        <w:t xml:space="preserve">• </w:t>
      </w:r>
      <w:r>
        <w:t>Material issues and audit findings with owner, target date, ageing and evidence of closure.</w:t>
      </w:r>
    </w:p>
    <w:p>
      <w:pPr>
        <w:pStyle w:val="ControlBullet"/>
      </w:pPr>
      <w:r>
        <w:rPr>
          <w:b/>
        </w:rPr>
        <w:t xml:space="preserve">• </w:t>
      </w:r>
      <w:r>
        <w:t>Stress testing results, management actions, limitations and changes to scenario assumptions.</w:t>
      </w:r>
    </w:p>
    <w:p>
      <w:pPr>
        <w:pStyle w:val="ControlBullet"/>
      </w:pPr>
      <w:r>
        <w:rPr>
          <w:b/>
        </w:rPr>
        <w:t xml:space="preserve">• </w:t>
      </w:r>
      <w:r>
        <w:t>Explicit decisions requested from the committee with authority basis and recorded outcome.</w:t>
      </w:r>
    </w:p>
    <w:p>
      <w:pPr>
        <w:jc w:val="center"/>
      </w:pPr>
      <w:r>
        <w:rPr>
          <w:rFonts w:ascii="Aptos" w:hAnsi="Aptos"/>
          <w:b/>
          <w:color w:val="666666"/>
          <w:sz w:val="16"/>
        </w:rPr>
        <w:t>END OF CONTROLLED DOCUMENT</w:t>
      </w:r>
    </w:p>
    <w:sectPr w:rsidR="00FC693F" w:rsidRPr="0006063C" w:rsidSect="00034616">
      <w:headerReference w:type="default" r:id="rId9"/>
      <w:footerReference w:type="default" r:id="rId10"/>
      <w:pgSz w:w="12240" w:h="15840"/>
      <w:pgMar w:top="792" w:right="936" w:bottom="835"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456"/>
      <w:gridCol w:w="3456"/>
      <w:gridCol w:w="3456"/>
    </w:tblGrid>
    <w:tr>
      <w:tc>
        <w:tcPr>
          <w:tcW w:type="dxa" w:w="3312"/>
          <w:tcMar>
            <w:top w:w="20" w:type="dxa"/>
            <w:start w:w="20" w:type="dxa"/>
            <w:bottom w:w="20" w:type="dxa"/>
            <w:end w:w="20" w:type="dxa"/>
          </w:tcMar>
        </w:tcPr>
        <w:p>
          <w:r>
            <w:rPr>
              <w:rFonts w:ascii="Aptos" w:hAnsi="Aptos"/>
              <w:color w:val="666666"/>
              <w:sz w:val="14"/>
            </w:rPr>
            <w:t>RMF-008 | v2.0</w:t>
          </w:r>
        </w:p>
      </w:tc>
      <w:tc>
        <w:tcPr>
          <w:tcW w:type="dxa" w:w="4032"/>
          <w:tcMar>
            <w:top w:w="20" w:type="dxa"/>
            <w:start w:w="20" w:type="dxa"/>
            <w:bottom w:w="20" w:type="dxa"/>
            <w:end w:w="20" w:type="dxa"/>
          </w:tcMar>
        </w:tcPr>
        <w:p>
          <w:pPr>
            <w:jc w:val="center"/>
          </w:pPr>
          <w:r>
            <w:rPr>
              <w:rFonts w:ascii="Aptos" w:hAnsi="Aptos"/>
              <w:color w:val="666666"/>
              <w:sz w:val="14"/>
            </w:rPr>
            <w:t>Synthetic Internal Document</w:t>
          </w:r>
        </w:p>
      </w:tc>
      <w:tc>
        <w:tcPr>
          <w:tcW w:type="dxa" w:w="3024"/>
          <w:tcMar>
            <w:top w:w="20" w:type="dxa"/>
            <w:start w:w="20" w:type="dxa"/>
            <w:bottom w:w="20" w:type="dxa"/>
            <w:end w:w="20" w:type="dxa"/>
          </w:tcMar>
        </w:tcPr>
        <w:p>
          <w:pPr>
            <w:jc w:val="right"/>
          </w:pPr>
          <w:r>
            <w:rPr>
              <w:rFonts w:ascii="Aptos" w:hAnsi="Aptos"/>
              <w:color w:val="666666"/>
              <w:sz w:val="14"/>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5"/>
      </w:rPr>
      <w:t>NORTHSTAR FINANCIAL  |  INTERNAL —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6666"/>
      <w:sz w:val="16"/>
    </w:rPr>
  </w:style>
  <w:style w:type="paragraph" w:customStyle="1" w:styleId="ControlBullet">
    <w:name w:val="Control Bullet"/>
    <w:pPr>
      <w:spacing w:after="44"/>
      <w:ind w:left="259" w:hanging="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