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Vendor Risk Management Procedure</w:t>
      </w:r>
    </w:p>
    <w:p>
      <w:pPr>
        <w:jc w:val="center"/>
      </w:pPr>
      <w:r>
        <w:rPr>
          <w:sz w:val="20"/>
        </w:rPr>
        <w:t>VRP-053  |  Version 1.0  |  Internal — Confidential</w:t>
      </w:r>
    </w:p>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D9EAF7"/>
          </w:tcPr>
          <w:p>
            <w:r/>
            <w:r>
              <w:rPr>
                <w:b/>
                <w:color w:val="17365D"/>
                <w:sz w:val="16"/>
              </w:rPr>
              <w:t>Document ID</w:t>
            </w:r>
          </w:p>
        </w:tc>
        <w:tc>
          <w:tcPr>
            <w:tcW w:type="dxa" w:w="5155"/>
            <w:vAlign w:val="center"/>
          </w:tcPr>
          <w:p>
            <w:r/>
            <w:r>
              <w:rPr>
                <w:b w:val="0"/>
                <w:sz w:val="16"/>
              </w:rPr>
              <w:t>VRP-053</w:t>
            </w:r>
          </w:p>
        </w:tc>
      </w:tr>
      <w:tr>
        <w:tc>
          <w:tcPr>
            <w:tcW w:type="dxa" w:w="5155"/>
            <w:vAlign w:val="center"/>
            <w:shd w:fill="D9EAF7"/>
          </w:tcPr>
          <w:p>
            <w:r/>
            <w:r>
              <w:rPr>
                <w:b/>
                <w:color w:val="17365D"/>
                <w:sz w:val="16"/>
              </w:rPr>
              <w:t>Document Title</w:t>
            </w:r>
          </w:p>
        </w:tc>
        <w:tc>
          <w:tcPr>
            <w:tcW w:type="dxa" w:w="5155"/>
            <w:vAlign w:val="center"/>
          </w:tcPr>
          <w:p>
            <w:r/>
            <w:r>
              <w:rPr>
                <w:b w:val="0"/>
                <w:sz w:val="16"/>
              </w:rPr>
              <w:t>Vendor Risk Management Procedure</w:t>
            </w:r>
          </w:p>
        </w:tc>
      </w:tr>
      <w:tr>
        <w:tc>
          <w:tcPr>
            <w:tcW w:type="dxa" w:w="5155"/>
            <w:vAlign w:val="center"/>
            <w:shd w:fill="D9EAF7"/>
          </w:tcPr>
          <w:p>
            <w:r/>
            <w:r>
              <w:rPr>
                <w:b/>
                <w:color w:val="17365D"/>
                <w:sz w:val="16"/>
              </w:rPr>
              <w:t>Version</w:t>
            </w:r>
          </w:p>
        </w:tc>
        <w:tc>
          <w:tcPr>
            <w:tcW w:type="dxa" w:w="5155"/>
            <w:vAlign w:val="center"/>
          </w:tcPr>
          <w:p>
            <w:r/>
            <w:r>
              <w:rPr>
                <w:b w:val="0"/>
                <w:sz w:val="16"/>
              </w:rPr>
              <w:t>1.0</w:t>
            </w:r>
          </w:p>
        </w:tc>
      </w:tr>
      <w:tr>
        <w:tc>
          <w:tcPr>
            <w:tcW w:type="dxa" w:w="5155"/>
            <w:vAlign w:val="center"/>
            <w:shd w:fill="D9EAF7"/>
          </w:tcPr>
          <w:p>
            <w:r/>
            <w:r>
              <w:rPr>
                <w:b/>
                <w:color w:val="17365D"/>
                <w:sz w:val="16"/>
              </w:rPr>
              <w:t>Policy Owner</w:t>
            </w:r>
          </w:p>
        </w:tc>
        <w:tc>
          <w:tcPr>
            <w:tcW w:type="dxa" w:w="5155"/>
            <w:vAlign w:val="center"/>
          </w:tcPr>
          <w:p>
            <w:r/>
            <w:r>
              <w:rPr>
                <w:b w:val="0"/>
                <w:sz w:val="16"/>
              </w:rPr>
              <w:t>Ishita Bose — Head of Third-Party Risk</w:t>
            </w:r>
          </w:p>
        </w:tc>
      </w:tr>
      <w:tr>
        <w:tc>
          <w:tcPr>
            <w:tcW w:type="dxa" w:w="5155"/>
            <w:vAlign w:val="center"/>
            <w:shd w:fill="D9EAF7"/>
          </w:tcPr>
          <w:p>
            <w:r/>
            <w:r>
              <w:rPr>
                <w:b/>
                <w:color w:val="17365D"/>
                <w:sz w:val="16"/>
              </w:rPr>
              <w:t>Business Unit</w:t>
            </w:r>
          </w:p>
        </w:tc>
        <w:tc>
          <w:tcPr>
            <w:tcW w:type="dxa" w:w="5155"/>
            <w:vAlign w:val="center"/>
          </w:tcPr>
          <w:p>
            <w:r/>
            <w:r>
              <w:rPr>
                <w:b w:val="0"/>
                <w:sz w:val="16"/>
              </w:rPr>
              <w:t>Enterprise Risk / Procurement / Information Security</w:t>
            </w:r>
          </w:p>
        </w:tc>
      </w:tr>
      <w:tr>
        <w:tc>
          <w:tcPr>
            <w:tcW w:type="dxa" w:w="5155"/>
            <w:vAlign w:val="center"/>
            <w:shd w:fill="D9EAF7"/>
          </w:tcPr>
          <w:p>
            <w:r/>
            <w:r>
              <w:rPr>
                <w:b/>
                <w:color w:val="17365D"/>
                <w:sz w:val="16"/>
              </w:rPr>
              <w:t>Approving Authority</w:t>
            </w:r>
          </w:p>
        </w:tc>
        <w:tc>
          <w:tcPr>
            <w:tcW w:type="dxa" w:w="5155"/>
            <w:vAlign w:val="center"/>
          </w:tcPr>
          <w:p>
            <w:r/>
            <w:r>
              <w:rPr>
                <w:b w:val="0"/>
                <w:sz w:val="16"/>
              </w:rPr>
              <w:t>Chief Risk Officer</w:t>
            </w:r>
          </w:p>
        </w:tc>
      </w:tr>
      <w:tr>
        <w:tc>
          <w:tcPr>
            <w:tcW w:type="dxa" w:w="5155"/>
            <w:vAlign w:val="center"/>
            <w:shd w:fill="D9EAF7"/>
          </w:tcPr>
          <w:p>
            <w:r/>
            <w:r>
              <w:rPr>
                <w:b/>
                <w:color w:val="17365D"/>
                <w:sz w:val="16"/>
              </w:rPr>
              <w:t>Effective Date</w:t>
            </w:r>
          </w:p>
        </w:tc>
        <w:tc>
          <w:tcPr>
            <w:tcW w:type="dxa" w:w="5155"/>
            <w:vAlign w:val="center"/>
          </w:tcPr>
          <w:p>
            <w:r/>
            <w:r>
              <w:rPr>
                <w:b w:val="0"/>
                <w:sz w:val="16"/>
              </w:rPr>
              <w:t>15 May 2026</w:t>
            </w:r>
          </w:p>
        </w:tc>
      </w:tr>
      <w:tr>
        <w:tc>
          <w:tcPr>
            <w:tcW w:type="dxa" w:w="5155"/>
            <w:vAlign w:val="center"/>
            <w:shd w:fill="D9EAF7"/>
          </w:tcPr>
          <w:p>
            <w:r/>
            <w:r>
              <w:rPr>
                <w:b/>
                <w:color w:val="17365D"/>
                <w:sz w:val="16"/>
              </w:rPr>
              <w:t>Previous Version</w:t>
            </w:r>
          </w:p>
        </w:tc>
        <w:tc>
          <w:tcPr>
            <w:tcW w:type="dxa" w:w="5155"/>
            <w:vAlign w:val="center"/>
          </w:tcPr>
          <w:p>
            <w:r/>
            <w:r>
              <w:rPr>
                <w:b w:val="0"/>
                <w:sz w:val="16"/>
              </w:rPr>
              <w:t>N/A — First Controlled Version</w:t>
            </w:r>
          </w:p>
        </w:tc>
      </w:tr>
      <w:tr>
        <w:tc>
          <w:tcPr>
            <w:tcW w:type="dxa" w:w="5155"/>
            <w:vAlign w:val="center"/>
            <w:shd w:fill="D9EAF7"/>
          </w:tcPr>
          <w:p>
            <w:r/>
            <w:r>
              <w:rPr>
                <w:b/>
                <w:color w:val="17365D"/>
                <w:sz w:val="16"/>
              </w:rPr>
              <w:t>Review Frequency</w:t>
            </w:r>
          </w:p>
        </w:tc>
        <w:tc>
          <w:tcPr>
            <w:tcW w:type="dxa" w:w="5155"/>
            <w:vAlign w:val="center"/>
          </w:tcPr>
          <w:p>
            <w:r/>
            <w:r>
              <w:rPr>
                <w:b w:val="0"/>
                <w:sz w:val="16"/>
              </w:rPr>
              <w:t>Annual</w:t>
            </w:r>
          </w:p>
        </w:tc>
      </w:tr>
      <w:tr>
        <w:tc>
          <w:tcPr>
            <w:tcW w:type="dxa" w:w="5155"/>
            <w:vAlign w:val="center"/>
            <w:shd w:fill="D9EAF7"/>
          </w:tcPr>
          <w:p>
            <w:r/>
            <w:r>
              <w:rPr>
                <w:b/>
                <w:color w:val="17365D"/>
                <w:sz w:val="16"/>
              </w:rPr>
              <w:t>Classification</w:t>
            </w:r>
          </w:p>
        </w:tc>
        <w:tc>
          <w:tcPr>
            <w:tcW w:type="dxa" w:w="5155"/>
            <w:vAlign w:val="center"/>
          </w:tcPr>
          <w:p>
            <w:r/>
            <w:r>
              <w:rPr>
                <w:b w:val="0"/>
                <w:sz w:val="16"/>
              </w:rPr>
              <w:t>Internal — Confidential</w:t>
            </w:r>
          </w:p>
        </w:tc>
      </w:tr>
      <w:tr>
        <w:tc>
          <w:tcPr>
            <w:tcW w:type="dxa" w:w="5155"/>
            <w:vAlign w:val="center"/>
            <w:shd w:fill="D9EAF7"/>
          </w:tcPr>
          <w:p>
            <w:r/>
            <w:r>
              <w:rPr>
                <w:b/>
                <w:color w:val="17365D"/>
                <w:sz w:val="16"/>
              </w:rPr>
              <w:t>Status</w:t>
            </w:r>
          </w:p>
        </w:tc>
        <w:tc>
          <w:tcPr>
            <w:tcW w:type="dxa" w:w="5155"/>
            <w:vAlign w:val="center"/>
          </w:tcPr>
          <w:p>
            <w:r/>
            <w:r>
              <w:rPr>
                <w:b w:val="0"/>
                <w:sz w:val="16"/>
              </w:rPr>
              <w:t>Approved</w:t>
            </w:r>
          </w:p>
        </w:tc>
      </w:tr>
      <w:tr>
        <w:tc>
          <w:tcPr>
            <w:tcW w:type="dxa" w:w="5155"/>
            <w:vAlign w:val="center"/>
            <w:shd w:fill="D9EAF7"/>
          </w:tcPr>
          <w:p>
            <w:r/>
            <w:r>
              <w:rPr>
                <w:b/>
                <w:color w:val="17365D"/>
                <w:sz w:val="16"/>
              </w:rPr>
              <w:t>Supersedes</w:t>
            </w:r>
          </w:p>
        </w:tc>
        <w:tc>
          <w:tcPr>
            <w:tcW w:type="dxa" w:w="5155"/>
            <w:vAlign w:val="center"/>
          </w:tcPr>
          <w:p>
            <w:r/>
            <w:r>
              <w:rPr>
                <w:b w:val="0"/>
                <w:sz w:val="16"/>
              </w:rPr>
              <w:t>Departmental Vendor Due Diligence Notes dated 5 Nov 2024</w:t>
            </w:r>
          </w:p>
        </w:tc>
      </w:tr>
      <w:tr>
        <w:tc>
          <w:tcPr>
            <w:tcW w:type="dxa" w:w="5155"/>
            <w:vAlign w:val="center"/>
            <w:shd w:fill="D9EAF7"/>
          </w:tcPr>
          <w:p>
            <w:r/>
            <w:r>
              <w:rPr>
                <w:b/>
                <w:color w:val="17365D"/>
                <w:sz w:val="16"/>
              </w:rPr>
              <w:t>Related Documents</w:t>
            </w:r>
          </w:p>
        </w:tc>
        <w:tc>
          <w:tcPr>
            <w:tcW w:type="dxa" w:w="5155"/>
            <w:vAlign w:val="center"/>
          </w:tcPr>
          <w:p>
            <w:r/>
            <w:r>
              <w:rPr>
                <w:b w:val="0"/>
                <w:sz w:val="16"/>
              </w:rPr>
              <w:t>RMF-008; RAS-009; ISP-014; ACS-051; SIR-052; CMP-012; CBP-043; EOM-020</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Version</w:t>
            </w:r>
          </w:p>
        </w:tc>
        <w:tc>
          <w:tcPr>
            <w:tcW w:type="dxa" w:w="2577"/>
            <w:vAlign w:val="center"/>
            <w:shd w:fill="17365D"/>
          </w:tcPr>
          <w:p>
            <w:r/>
            <w:r>
              <w:rPr>
                <w:b/>
                <w:color w:val="FFFFFF"/>
                <w:sz w:val="15"/>
              </w:rPr>
              <w:t>Effective Date</w:t>
            </w:r>
          </w:p>
        </w:tc>
        <w:tc>
          <w:tcPr>
            <w:tcW w:type="dxa" w:w="2577"/>
            <w:vAlign w:val="center"/>
            <w:shd w:fill="17365D"/>
          </w:tcPr>
          <w:p>
            <w:r/>
            <w:r>
              <w:rPr>
                <w:b/>
                <w:color w:val="FFFFFF"/>
                <w:sz w:val="15"/>
              </w:rPr>
              <w:t>Change Summary</w:t>
            </w:r>
          </w:p>
        </w:tc>
        <w:tc>
          <w:tcPr>
            <w:tcW w:type="dxa" w:w="2577"/>
            <w:vAlign w:val="center"/>
            <w:shd w:fill="17365D"/>
          </w:tcPr>
          <w:p>
            <w:r/>
            <w:r>
              <w:rPr>
                <w:b/>
                <w:color w:val="FFFFFF"/>
                <w:sz w:val="15"/>
              </w:rPr>
              <w:t>Approving Authority</w:t>
            </w:r>
          </w:p>
        </w:tc>
      </w:tr>
      <w:tr>
        <w:tc>
          <w:tcPr>
            <w:tcW w:type="dxa" w:w="2577"/>
            <w:vAlign w:val="center"/>
          </w:tcPr>
          <w:p>
            <w:r/>
            <w:r>
              <w:rPr>
                <w:b w:val="0"/>
                <w:sz w:val="15"/>
              </w:rPr>
              <w:t>0.9</w:t>
            </w:r>
          </w:p>
        </w:tc>
        <w:tc>
          <w:tcPr>
            <w:tcW w:type="dxa" w:w="2577"/>
            <w:vAlign w:val="center"/>
          </w:tcPr>
          <w:p>
            <w:r/>
            <w:r>
              <w:rPr>
                <w:b w:val="0"/>
                <w:sz w:val="15"/>
              </w:rPr>
              <w:t>1 Apr 2026</w:t>
            </w:r>
          </w:p>
        </w:tc>
        <w:tc>
          <w:tcPr>
            <w:tcW w:type="dxa" w:w="2577"/>
            <w:vAlign w:val="center"/>
          </w:tcPr>
          <w:p>
            <w:r/>
            <w:r>
              <w:rPr>
                <w:b w:val="0"/>
                <w:sz w:val="15"/>
              </w:rPr>
              <w:t>Pilot controlled draft consolidating Procurement, Risk and Security requirements.</w:t>
            </w:r>
          </w:p>
        </w:tc>
        <w:tc>
          <w:tcPr>
            <w:tcW w:type="dxa" w:w="2577"/>
            <w:vAlign w:val="center"/>
          </w:tcPr>
          <w:p>
            <w:r/>
            <w:r>
              <w:rPr>
                <w:b w:val="0"/>
                <w:sz w:val="15"/>
              </w:rPr>
              <w:t>Third-Party Risk Working Group</w:t>
            </w:r>
          </w:p>
        </w:tc>
      </w:tr>
      <w:tr>
        <w:tc>
          <w:tcPr>
            <w:tcW w:type="dxa" w:w="2577"/>
            <w:vAlign w:val="center"/>
          </w:tcPr>
          <w:p>
            <w:r/>
            <w:r>
              <w:rPr>
                <w:b w:val="0"/>
                <w:sz w:val="15"/>
              </w:rPr>
              <w:t>1.0</w:t>
            </w:r>
          </w:p>
        </w:tc>
        <w:tc>
          <w:tcPr>
            <w:tcW w:type="dxa" w:w="2577"/>
            <w:vAlign w:val="center"/>
          </w:tcPr>
          <w:p>
            <w:r/>
            <w:r>
              <w:rPr>
                <w:b w:val="0"/>
                <w:sz w:val="15"/>
              </w:rPr>
              <w:t>15 May 2026</w:t>
            </w:r>
          </w:p>
        </w:tc>
        <w:tc>
          <w:tcPr>
            <w:tcW w:type="dxa" w:w="2577"/>
            <w:vAlign w:val="center"/>
          </w:tcPr>
          <w:p>
            <w:r/>
            <w:r>
              <w:rPr>
                <w:b w:val="0"/>
                <w:sz w:val="15"/>
              </w:rPr>
              <w:t>First controlled enterprise procedure; introduced T1–T4 criticality and lifecycle reviews.</w:t>
            </w:r>
          </w:p>
        </w:tc>
        <w:tc>
          <w:tcPr>
            <w:tcW w:type="dxa" w:w="2577"/>
            <w:vAlign w:val="center"/>
          </w:tcPr>
          <w:p>
            <w:r/>
            <w:r>
              <w:rPr>
                <w:b w:val="0"/>
                <w:sz w:val="15"/>
              </w:rPr>
              <w:t>Chief Risk Officer</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Procedure defines Northstar Financial’s lifecycle for identifying, assessing, approving, contracting, monitoring and exiting third-party relationships that may create operational, information-security, compliance, financial, concentration or customer risk.</w:t>
      </w:r>
    </w:p>
    <w:p>
      <w:pPr>
        <w:pStyle w:val="Heading1"/>
      </w:pPr>
      <w:r>
        <w:t>2. Scope</w:t>
      </w:r>
    </w:p>
    <w:p>
      <w:r>
        <w:t>It applies to vendors, outsourced service providers, consultants, cloud/SaaS providers, data processors, collection/support partners and other third parties with material access to Northstar systems, information, customers or critical operations.</w:t>
      </w:r>
    </w:p>
    <w:p>
      <w:r>
        <w:t>Ordinary low-value purchases with no system/data/service dependency may use simplified review. Risk classification is based on impact and access, not only contract value.</w:t>
      </w:r>
    </w:p>
    <w:p>
      <w:pPr>
        <w:pStyle w:val="Heading1"/>
      </w:pPr>
      <w:r>
        <w:t>3. Roles and Responsibilities</w:t>
      </w:r>
    </w:p>
    <w:p>
      <w:r>
        <w:t>Vendor risk uses shared ownership across the business, Procurement, Third-Party Risk, Information Security, Compliance, Legal and specialist functions.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Role</w:t>
            </w:r>
          </w:p>
        </w:tc>
        <w:tc>
          <w:tcPr>
            <w:tcW w:type="dxa" w:w="5155"/>
            <w:vAlign w:val="center"/>
            <w:shd w:fill="17365D"/>
          </w:tcPr>
          <w:p>
            <w:r/>
            <w:r>
              <w:rPr>
                <w:b/>
                <w:color w:val="FFFFFF"/>
                <w:sz w:val="15"/>
              </w:rPr>
              <w:t>Responsibility</w:t>
            </w:r>
          </w:p>
        </w:tc>
      </w:tr>
      <w:tr>
        <w:tc>
          <w:tcPr>
            <w:tcW w:type="dxa" w:w="5155"/>
            <w:vAlign w:val="center"/>
          </w:tcPr>
          <w:p>
            <w:r/>
            <w:r>
              <w:rPr>
                <w:b w:val="0"/>
                <w:sz w:val="15"/>
              </w:rPr>
              <w:t>Business Owner</w:t>
            </w:r>
          </w:p>
        </w:tc>
        <w:tc>
          <w:tcPr>
            <w:tcW w:type="dxa" w:w="5155"/>
            <w:vAlign w:val="center"/>
          </w:tcPr>
          <w:p>
            <w:r/>
            <w:r>
              <w:rPr>
                <w:b w:val="0"/>
                <w:sz w:val="15"/>
              </w:rPr>
              <w:t>Business need, performance, ongoing ownership and exit readiness.</w:t>
            </w:r>
          </w:p>
        </w:tc>
      </w:tr>
      <w:tr>
        <w:tc>
          <w:tcPr>
            <w:tcW w:type="dxa" w:w="5155"/>
            <w:vAlign w:val="center"/>
          </w:tcPr>
          <w:p>
            <w:r/>
            <w:r>
              <w:rPr>
                <w:b w:val="0"/>
                <w:sz w:val="15"/>
              </w:rPr>
              <w:t>Procurement</w:t>
            </w:r>
          </w:p>
        </w:tc>
        <w:tc>
          <w:tcPr>
            <w:tcW w:type="dxa" w:w="5155"/>
            <w:vAlign w:val="center"/>
          </w:tcPr>
          <w:p>
            <w:r/>
            <w:r>
              <w:rPr>
                <w:b w:val="0"/>
                <w:sz w:val="15"/>
              </w:rPr>
              <w:t>Commercial process, contract coordination and vendor records.</w:t>
            </w:r>
          </w:p>
        </w:tc>
      </w:tr>
      <w:tr>
        <w:tc>
          <w:tcPr>
            <w:tcW w:type="dxa" w:w="5155"/>
            <w:vAlign w:val="center"/>
          </w:tcPr>
          <w:p>
            <w:r/>
            <w:r>
              <w:rPr>
                <w:b w:val="0"/>
                <w:sz w:val="15"/>
              </w:rPr>
              <w:t>Third-Party Risk</w:t>
            </w:r>
          </w:p>
        </w:tc>
        <w:tc>
          <w:tcPr>
            <w:tcW w:type="dxa" w:w="5155"/>
            <w:vAlign w:val="center"/>
          </w:tcPr>
          <w:p>
            <w:r/>
            <w:r>
              <w:rPr>
                <w:b w:val="0"/>
                <w:sz w:val="15"/>
              </w:rPr>
              <w:t>Criticality, risk assessment, monitoring and escalation.</w:t>
            </w:r>
          </w:p>
        </w:tc>
      </w:tr>
      <w:tr>
        <w:tc>
          <w:tcPr>
            <w:tcW w:type="dxa" w:w="5155"/>
            <w:vAlign w:val="center"/>
          </w:tcPr>
          <w:p>
            <w:r/>
            <w:r>
              <w:rPr>
                <w:b w:val="0"/>
                <w:sz w:val="15"/>
              </w:rPr>
              <w:t>Information Security</w:t>
            </w:r>
          </w:p>
        </w:tc>
        <w:tc>
          <w:tcPr>
            <w:tcW w:type="dxa" w:w="5155"/>
            <w:vAlign w:val="center"/>
          </w:tcPr>
          <w:p>
            <w:r/>
            <w:r>
              <w:rPr>
                <w:b w:val="0"/>
                <w:sz w:val="15"/>
              </w:rPr>
              <w:t>Security review for system/data access and cyber risk.</w:t>
            </w:r>
          </w:p>
        </w:tc>
      </w:tr>
      <w:tr>
        <w:tc>
          <w:tcPr>
            <w:tcW w:type="dxa" w:w="5155"/>
            <w:vAlign w:val="center"/>
          </w:tcPr>
          <w:p>
            <w:r/>
            <w:r>
              <w:rPr>
                <w:b w:val="0"/>
                <w:sz w:val="15"/>
              </w:rPr>
              <w:t>Compliance/AML/KYC</w:t>
            </w:r>
          </w:p>
        </w:tc>
        <w:tc>
          <w:tcPr>
            <w:tcW w:type="dxa" w:w="5155"/>
            <w:vAlign w:val="center"/>
          </w:tcPr>
          <w:p>
            <w:r/>
            <w:r>
              <w:rPr>
                <w:b w:val="0"/>
                <w:sz w:val="15"/>
              </w:rPr>
              <w:t>Specialist review where outsourced activity affects controlled obligations.</w:t>
            </w:r>
          </w:p>
        </w:tc>
      </w:tr>
      <w:tr>
        <w:tc>
          <w:tcPr>
            <w:tcW w:type="dxa" w:w="5155"/>
            <w:vAlign w:val="center"/>
          </w:tcPr>
          <w:p>
            <w:r/>
            <w:r>
              <w:rPr>
                <w:b w:val="0"/>
                <w:sz w:val="15"/>
              </w:rPr>
              <w:t>Legal</w:t>
            </w:r>
          </w:p>
        </w:tc>
        <w:tc>
          <w:tcPr>
            <w:tcW w:type="dxa" w:w="5155"/>
            <w:vAlign w:val="center"/>
          </w:tcPr>
          <w:p>
            <w:r/>
            <w:r>
              <w:rPr>
                <w:b w:val="0"/>
                <w:sz w:val="15"/>
              </w:rPr>
              <w:t>Contract terms, liability and legal interpretation.</w:t>
            </w:r>
          </w:p>
        </w:tc>
      </w:tr>
      <w:tr>
        <w:tc>
          <w:tcPr>
            <w:tcW w:type="dxa" w:w="5155"/>
            <w:vAlign w:val="center"/>
          </w:tcPr>
          <w:p>
            <w:r/>
            <w:r>
              <w:rPr>
                <w:b w:val="0"/>
                <w:sz w:val="15"/>
              </w:rPr>
              <w:t>Finance/Treasury</w:t>
            </w:r>
          </w:p>
        </w:tc>
        <w:tc>
          <w:tcPr>
            <w:tcW w:type="dxa" w:w="5155"/>
            <w:vAlign w:val="center"/>
          </w:tcPr>
          <w:p>
            <w:r/>
            <w:r>
              <w:rPr>
                <w:b w:val="0"/>
                <w:sz w:val="15"/>
              </w:rPr>
              <w:t>Financial exposure and payment controls where relevant.</w:t>
            </w:r>
          </w:p>
        </w:tc>
      </w:tr>
    </w:tbl>
    <w:p/>
    <w:p>
      <w:pPr>
        <w:pStyle w:val="Heading1"/>
      </w:pPr>
      <w:r>
        <w:t>4. Vendor Criticality</w:t>
      </w:r>
    </w:p>
    <w:p>
      <w:r>
        <w:t>Northstar classifies vendors T1–T4.</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Tier</w:t>
            </w:r>
          </w:p>
        </w:tc>
        <w:tc>
          <w:tcPr>
            <w:tcW w:type="dxa" w:w="3437"/>
            <w:vAlign w:val="center"/>
            <w:shd w:fill="17365D"/>
          </w:tcPr>
          <w:p>
            <w:r/>
            <w:r>
              <w:rPr>
                <w:b/>
                <w:color w:val="FFFFFF"/>
                <w:sz w:val="15"/>
              </w:rPr>
              <w:t>Description</w:t>
            </w:r>
          </w:p>
        </w:tc>
        <w:tc>
          <w:tcPr>
            <w:tcW w:type="dxa" w:w="3437"/>
            <w:vAlign w:val="center"/>
            <w:shd w:fill="17365D"/>
          </w:tcPr>
          <w:p>
            <w:r/>
            <w:r>
              <w:rPr>
                <w:b/>
                <w:color w:val="FFFFFF"/>
                <w:sz w:val="15"/>
              </w:rPr>
              <w:t>Examples</w:t>
            </w:r>
          </w:p>
        </w:tc>
      </w:tr>
      <w:tr>
        <w:tc>
          <w:tcPr>
            <w:tcW w:type="dxa" w:w="3437"/>
            <w:vAlign w:val="center"/>
          </w:tcPr>
          <w:p>
            <w:r/>
            <w:r>
              <w:rPr>
                <w:b w:val="0"/>
                <w:sz w:val="15"/>
              </w:rPr>
              <w:t>T1 Critical</w:t>
            </w:r>
          </w:p>
        </w:tc>
        <w:tc>
          <w:tcPr>
            <w:tcW w:type="dxa" w:w="3437"/>
            <w:vAlign w:val="center"/>
          </w:tcPr>
          <w:p>
            <w:r/>
            <w:r>
              <w:rPr>
                <w:b w:val="0"/>
                <w:sz w:val="15"/>
              </w:rPr>
              <w:t>Failure could materially disrupt critical services, expose high-volume Restricted data or create severe financial/control impact.</w:t>
            </w:r>
          </w:p>
        </w:tc>
        <w:tc>
          <w:tcPr>
            <w:tcW w:type="dxa" w:w="3437"/>
            <w:vAlign w:val="center"/>
          </w:tcPr>
          <w:p>
            <w:r/>
            <w:r>
              <w:rPr>
                <w:b w:val="0"/>
                <w:sz w:val="15"/>
              </w:rPr>
              <w:t>Core hosting, identity infrastructure, critical payment/servicing platform.</w:t>
            </w:r>
          </w:p>
        </w:tc>
      </w:tr>
      <w:tr>
        <w:tc>
          <w:tcPr>
            <w:tcW w:type="dxa" w:w="3437"/>
            <w:vAlign w:val="center"/>
          </w:tcPr>
          <w:p>
            <w:r/>
            <w:r>
              <w:rPr>
                <w:b w:val="0"/>
                <w:sz w:val="15"/>
              </w:rPr>
              <w:t>T2 High</w:t>
            </w:r>
          </w:p>
        </w:tc>
        <w:tc>
          <w:tcPr>
            <w:tcW w:type="dxa" w:w="3437"/>
            <w:vAlign w:val="center"/>
          </w:tcPr>
          <w:p>
            <w:r/>
            <w:r>
              <w:rPr>
                <w:b w:val="0"/>
                <w:sz w:val="15"/>
              </w:rPr>
              <w:t>Material service/data dependency with meaningful but manageable alternatives.</w:t>
            </w:r>
          </w:p>
        </w:tc>
        <w:tc>
          <w:tcPr>
            <w:tcW w:type="dxa" w:w="3437"/>
            <w:vAlign w:val="center"/>
          </w:tcPr>
          <w:p>
            <w:r/>
            <w:r>
              <w:rPr>
                <w:b w:val="0"/>
                <w:sz w:val="15"/>
              </w:rPr>
              <w:t>Major SaaS, outsourced operations with customer data, primary telecom/network.</w:t>
            </w:r>
          </w:p>
        </w:tc>
      </w:tr>
      <w:tr>
        <w:tc>
          <w:tcPr>
            <w:tcW w:type="dxa" w:w="3437"/>
            <w:vAlign w:val="center"/>
          </w:tcPr>
          <w:p>
            <w:r/>
            <w:r>
              <w:rPr>
                <w:b w:val="0"/>
                <w:sz w:val="15"/>
              </w:rPr>
              <w:t>T3 Medium</w:t>
            </w:r>
          </w:p>
        </w:tc>
        <w:tc>
          <w:tcPr>
            <w:tcW w:type="dxa" w:w="3437"/>
            <w:vAlign w:val="center"/>
          </w:tcPr>
          <w:p>
            <w:r/>
            <w:r>
              <w:rPr>
                <w:b w:val="0"/>
                <w:sz w:val="15"/>
              </w:rPr>
              <w:t>Moderate operational or Confidential-data exposure.</w:t>
            </w:r>
          </w:p>
        </w:tc>
        <w:tc>
          <w:tcPr>
            <w:tcW w:type="dxa" w:w="3437"/>
            <w:vAlign w:val="center"/>
          </w:tcPr>
          <w:p>
            <w:r/>
            <w:r>
              <w:rPr>
                <w:b w:val="0"/>
                <w:sz w:val="15"/>
              </w:rPr>
              <w:t>Specialist software, professional service with limited data.</w:t>
            </w:r>
          </w:p>
        </w:tc>
      </w:tr>
      <w:tr>
        <w:tc>
          <w:tcPr>
            <w:tcW w:type="dxa" w:w="3437"/>
            <w:vAlign w:val="center"/>
          </w:tcPr>
          <w:p>
            <w:r/>
            <w:r>
              <w:rPr>
                <w:b w:val="0"/>
                <w:sz w:val="15"/>
              </w:rPr>
              <w:t>T4 Low</w:t>
            </w:r>
          </w:p>
        </w:tc>
        <w:tc>
          <w:tcPr>
            <w:tcW w:type="dxa" w:w="3437"/>
            <w:vAlign w:val="center"/>
          </w:tcPr>
          <w:p>
            <w:r/>
            <w:r>
              <w:rPr>
                <w:b w:val="0"/>
                <w:sz w:val="15"/>
              </w:rPr>
              <w:t>Low impact; no material system/data dependency.</w:t>
            </w:r>
          </w:p>
        </w:tc>
        <w:tc>
          <w:tcPr>
            <w:tcW w:type="dxa" w:w="3437"/>
            <w:vAlign w:val="center"/>
          </w:tcPr>
          <w:p>
            <w:r/>
            <w:r>
              <w:rPr>
                <w:b w:val="0"/>
                <w:sz w:val="15"/>
              </w:rPr>
              <w:t>Office services, low-risk commodity supply.</w:t>
            </w:r>
          </w:p>
        </w:tc>
      </w:tr>
    </w:tbl>
    <w:p/>
    <w:p>
      <w:pPr>
        <w:pStyle w:val="Heading1"/>
      </w:pPr>
      <w:r>
        <w:t>5. Criticality Factors</w:t>
      </w:r>
    </w:p>
    <w:p>
      <w:r>
        <w:t>Tiering shall consider business criticality, data sensitivity, system connectivity, customer impact, substitutability, concentration and financial/control dependency.</w:t>
      </w:r>
    </w:p>
    <w:p>
      <w:pPr>
        <w:pStyle w:val="ListBullet"/>
      </w:pPr>
      <w:r>
        <w:t>Contract value alone shall not determine tier.</w:t>
      </w:r>
    </w:p>
    <w:p>
      <w:pPr>
        <w:pStyle w:val="ListBullet"/>
      </w:pPr>
      <w:r>
        <w:t>A small vendor with privileged production access may be T1/T2.</w:t>
      </w:r>
    </w:p>
    <w:p>
      <w:pPr>
        <w:pStyle w:val="ListBullet"/>
      </w:pPr>
      <w:r>
        <w:t>A large facilities contract with no material data/system dependency may be lower risk.</w:t>
      </w:r>
    </w:p>
    <w:p>
      <w:pPr>
        <w:pStyle w:val="ListBullet"/>
      </w:pPr>
      <w:r>
        <w:t>Multiple services from the same vendor/group shall be considered in aggregate.</w:t>
      </w:r>
    </w:p>
    <w:p>
      <w:pPr>
        <w:pStyle w:val="Heading1"/>
      </w:pPr>
      <w:r>
        <w:t>6. Pre-Engagement Screening</w:t>
      </w:r>
    </w:p>
    <w:p>
      <w:r>
        <w:t>Before detailed due diligence, the business owner shall identify service scope, location, data, integrations, subcontracting, customer contact and continuity needs.</w:t>
      </w:r>
    </w:p>
    <w:p>
      <w:pPr>
        <w:pStyle w:val="Heading1"/>
      </w:pPr>
      <w:r>
        <w:t>7. Due Diligence by Tier</w:t>
      </w:r>
    </w:p>
    <w:p>
      <w:r>
        <w:t>Review depth increases with tier.</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vAlign w:val="center"/>
            <w:shd w:fill="17365D"/>
          </w:tcPr>
          <w:p>
            <w:r/>
            <w:r>
              <w:rPr>
                <w:b/>
                <w:color w:val="FFFFFF"/>
                <w:sz w:val="15"/>
              </w:rPr>
              <w:t>Area</w:t>
            </w:r>
          </w:p>
        </w:tc>
        <w:tc>
          <w:tcPr>
            <w:tcW w:type="dxa" w:w="2062"/>
            <w:vAlign w:val="center"/>
            <w:shd w:fill="17365D"/>
          </w:tcPr>
          <w:p>
            <w:r/>
            <w:r>
              <w:rPr>
                <w:b/>
                <w:color w:val="FFFFFF"/>
                <w:sz w:val="15"/>
              </w:rPr>
              <w:t>T1</w:t>
            </w:r>
          </w:p>
        </w:tc>
        <w:tc>
          <w:tcPr>
            <w:tcW w:type="dxa" w:w="2062"/>
            <w:vAlign w:val="center"/>
            <w:shd w:fill="17365D"/>
          </w:tcPr>
          <w:p>
            <w:r/>
            <w:r>
              <w:rPr>
                <w:b/>
                <w:color w:val="FFFFFF"/>
                <w:sz w:val="15"/>
              </w:rPr>
              <w:t>T2</w:t>
            </w:r>
          </w:p>
        </w:tc>
        <w:tc>
          <w:tcPr>
            <w:tcW w:type="dxa" w:w="2062"/>
            <w:vAlign w:val="center"/>
            <w:shd w:fill="17365D"/>
          </w:tcPr>
          <w:p>
            <w:r/>
            <w:r>
              <w:rPr>
                <w:b/>
                <w:color w:val="FFFFFF"/>
                <w:sz w:val="15"/>
              </w:rPr>
              <w:t>T3</w:t>
            </w:r>
          </w:p>
        </w:tc>
        <w:tc>
          <w:tcPr>
            <w:tcW w:type="dxa" w:w="2062"/>
            <w:vAlign w:val="center"/>
            <w:shd w:fill="17365D"/>
          </w:tcPr>
          <w:p>
            <w:r/>
            <w:r>
              <w:rPr>
                <w:b/>
                <w:color w:val="FFFFFF"/>
                <w:sz w:val="15"/>
              </w:rPr>
              <w:t>T4</w:t>
            </w:r>
          </w:p>
        </w:tc>
      </w:tr>
      <w:tr>
        <w:tc>
          <w:tcPr>
            <w:tcW w:type="dxa" w:w="2062"/>
            <w:vAlign w:val="center"/>
          </w:tcPr>
          <w:p>
            <w:r/>
            <w:r>
              <w:rPr>
                <w:b w:val="0"/>
                <w:sz w:val="15"/>
              </w:rPr>
              <w:t>Financial stability</w:t>
            </w:r>
          </w:p>
        </w:tc>
        <w:tc>
          <w:tcPr>
            <w:tcW w:type="dxa" w:w="2062"/>
            <w:vAlign w:val="center"/>
          </w:tcPr>
          <w:p>
            <w:r/>
            <w:r>
              <w:rPr>
                <w:b w:val="0"/>
                <w:sz w:val="15"/>
              </w:rPr>
              <w:t>Detailed</w:t>
            </w:r>
          </w:p>
        </w:tc>
        <w:tc>
          <w:tcPr>
            <w:tcW w:type="dxa" w:w="2062"/>
            <w:vAlign w:val="center"/>
          </w:tcPr>
          <w:p>
            <w:r/>
            <w:r>
              <w:rPr>
                <w:b w:val="0"/>
                <w:sz w:val="15"/>
              </w:rPr>
              <w:t>Detailed</w:t>
            </w:r>
          </w:p>
        </w:tc>
        <w:tc>
          <w:tcPr>
            <w:tcW w:type="dxa" w:w="2062"/>
            <w:vAlign w:val="center"/>
          </w:tcPr>
          <w:p>
            <w:r/>
            <w:r>
              <w:rPr>
                <w:b w:val="0"/>
                <w:sz w:val="15"/>
              </w:rPr>
              <w:t>Basic</w:t>
            </w:r>
          </w:p>
        </w:tc>
        <w:tc>
          <w:tcPr>
            <w:tcW w:type="dxa" w:w="2062"/>
            <w:vAlign w:val="center"/>
          </w:tcPr>
          <w:p>
            <w:r/>
            <w:r>
              <w:rPr>
                <w:b w:val="0"/>
                <w:sz w:val="15"/>
              </w:rPr>
              <w:t>As needed</w:t>
            </w:r>
          </w:p>
        </w:tc>
      </w:tr>
      <w:tr>
        <w:tc>
          <w:tcPr>
            <w:tcW w:type="dxa" w:w="2062"/>
            <w:vAlign w:val="center"/>
          </w:tcPr>
          <w:p>
            <w:r/>
            <w:r>
              <w:rPr>
                <w:b w:val="0"/>
                <w:sz w:val="15"/>
              </w:rPr>
              <w:t>Information security</w:t>
            </w:r>
          </w:p>
        </w:tc>
        <w:tc>
          <w:tcPr>
            <w:tcW w:type="dxa" w:w="2062"/>
            <w:vAlign w:val="center"/>
          </w:tcPr>
          <w:p>
            <w:r/>
            <w:r>
              <w:rPr>
                <w:b w:val="0"/>
                <w:sz w:val="15"/>
              </w:rPr>
              <w:t>Detailed</w:t>
            </w:r>
          </w:p>
        </w:tc>
        <w:tc>
          <w:tcPr>
            <w:tcW w:type="dxa" w:w="2062"/>
            <w:vAlign w:val="center"/>
          </w:tcPr>
          <w:p>
            <w:r/>
            <w:r>
              <w:rPr>
                <w:b w:val="0"/>
                <w:sz w:val="15"/>
              </w:rPr>
              <w:t>Detailed</w:t>
            </w:r>
          </w:p>
        </w:tc>
        <w:tc>
          <w:tcPr>
            <w:tcW w:type="dxa" w:w="2062"/>
            <w:vAlign w:val="center"/>
          </w:tcPr>
          <w:p>
            <w:r/>
            <w:r>
              <w:rPr>
                <w:b w:val="0"/>
                <w:sz w:val="15"/>
              </w:rPr>
              <w:t>Risk-based</w:t>
            </w:r>
          </w:p>
        </w:tc>
        <w:tc>
          <w:tcPr>
            <w:tcW w:type="dxa" w:w="2062"/>
            <w:vAlign w:val="center"/>
          </w:tcPr>
          <w:p>
            <w:r/>
            <w:r>
              <w:rPr>
                <w:b w:val="0"/>
                <w:sz w:val="15"/>
              </w:rPr>
              <w:t>Minimal</w:t>
            </w:r>
          </w:p>
        </w:tc>
      </w:tr>
      <w:tr>
        <w:tc>
          <w:tcPr>
            <w:tcW w:type="dxa" w:w="2062"/>
            <w:vAlign w:val="center"/>
          </w:tcPr>
          <w:p>
            <w:r/>
            <w:r>
              <w:rPr>
                <w:b w:val="0"/>
                <w:sz w:val="15"/>
              </w:rPr>
              <w:t>BCP/DR</w:t>
            </w:r>
          </w:p>
        </w:tc>
        <w:tc>
          <w:tcPr>
            <w:tcW w:type="dxa" w:w="2062"/>
            <w:vAlign w:val="center"/>
          </w:tcPr>
          <w:p>
            <w:r/>
            <w:r>
              <w:rPr>
                <w:b w:val="0"/>
                <w:sz w:val="15"/>
              </w:rPr>
              <w:t>Detailed/test evidence</w:t>
            </w:r>
          </w:p>
        </w:tc>
        <w:tc>
          <w:tcPr>
            <w:tcW w:type="dxa" w:w="2062"/>
            <w:vAlign w:val="center"/>
          </w:tcPr>
          <w:p>
            <w:r/>
            <w:r>
              <w:rPr>
                <w:b w:val="0"/>
                <w:sz w:val="15"/>
              </w:rPr>
              <w:t>Detailed</w:t>
            </w:r>
          </w:p>
        </w:tc>
        <w:tc>
          <w:tcPr>
            <w:tcW w:type="dxa" w:w="2062"/>
            <w:vAlign w:val="center"/>
          </w:tcPr>
          <w:p>
            <w:r/>
            <w:r>
              <w:rPr>
                <w:b w:val="0"/>
                <w:sz w:val="15"/>
              </w:rPr>
              <w:t>As relevant</w:t>
            </w:r>
          </w:p>
        </w:tc>
        <w:tc>
          <w:tcPr>
            <w:tcW w:type="dxa" w:w="2062"/>
            <w:vAlign w:val="center"/>
          </w:tcPr>
          <w:p>
            <w:r/>
            <w:r>
              <w:rPr>
                <w:b w:val="0"/>
                <w:sz w:val="15"/>
              </w:rPr>
              <w:t>Usually not</w:t>
            </w:r>
          </w:p>
        </w:tc>
      </w:tr>
      <w:tr>
        <w:tc>
          <w:tcPr>
            <w:tcW w:type="dxa" w:w="2062"/>
            <w:vAlign w:val="center"/>
          </w:tcPr>
          <w:p>
            <w:r/>
            <w:r>
              <w:rPr>
                <w:b w:val="0"/>
                <w:sz w:val="15"/>
              </w:rPr>
              <w:t>Compliance/conduct</w:t>
            </w:r>
          </w:p>
        </w:tc>
        <w:tc>
          <w:tcPr>
            <w:tcW w:type="dxa" w:w="2062"/>
            <w:vAlign w:val="center"/>
          </w:tcPr>
          <w:p>
            <w:r/>
            <w:r>
              <w:rPr>
                <w:b w:val="0"/>
                <w:sz w:val="15"/>
              </w:rPr>
              <w:t>Detailed if applicable</w:t>
            </w:r>
          </w:p>
        </w:tc>
        <w:tc>
          <w:tcPr>
            <w:tcW w:type="dxa" w:w="2062"/>
            <w:vAlign w:val="center"/>
          </w:tcPr>
          <w:p>
            <w:r/>
            <w:r>
              <w:rPr>
                <w:b w:val="0"/>
                <w:sz w:val="15"/>
              </w:rPr>
              <w:t>Risk-based</w:t>
            </w:r>
          </w:p>
        </w:tc>
        <w:tc>
          <w:tcPr>
            <w:tcW w:type="dxa" w:w="2062"/>
            <w:vAlign w:val="center"/>
          </w:tcPr>
          <w:p>
            <w:r/>
            <w:r>
              <w:rPr>
                <w:b w:val="0"/>
                <w:sz w:val="15"/>
              </w:rPr>
              <w:t>Basic</w:t>
            </w:r>
          </w:p>
        </w:tc>
        <w:tc>
          <w:tcPr>
            <w:tcW w:type="dxa" w:w="2062"/>
            <w:vAlign w:val="center"/>
          </w:tcPr>
          <w:p>
            <w:r/>
            <w:r>
              <w:rPr>
                <w:b w:val="0"/>
                <w:sz w:val="15"/>
              </w:rPr>
              <w:t>Minimal</w:t>
            </w:r>
          </w:p>
        </w:tc>
      </w:tr>
      <w:tr>
        <w:tc>
          <w:tcPr>
            <w:tcW w:type="dxa" w:w="2062"/>
            <w:vAlign w:val="center"/>
          </w:tcPr>
          <w:p>
            <w:r/>
            <w:r>
              <w:rPr>
                <w:b w:val="0"/>
                <w:sz w:val="15"/>
              </w:rPr>
              <w:t>Subprocessors</w:t>
            </w:r>
          </w:p>
        </w:tc>
        <w:tc>
          <w:tcPr>
            <w:tcW w:type="dxa" w:w="2062"/>
            <w:vAlign w:val="center"/>
          </w:tcPr>
          <w:p>
            <w:r/>
            <w:r>
              <w:rPr>
                <w:b w:val="0"/>
                <w:sz w:val="15"/>
              </w:rPr>
              <w:t>Detailed</w:t>
            </w:r>
          </w:p>
        </w:tc>
        <w:tc>
          <w:tcPr>
            <w:tcW w:type="dxa" w:w="2062"/>
            <w:vAlign w:val="center"/>
          </w:tcPr>
          <w:p>
            <w:r/>
            <w:r>
              <w:rPr>
                <w:b w:val="0"/>
                <w:sz w:val="15"/>
              </w:rPr>
              <w:t>Required if material</w:t>
            </w:r>
          </w:p>
        </w:tc>
        <w:tc>
          <w:tcPr>
            <w:tcW w:type="dxa" w:w="2062"/>
            <w:vAlign w:val="center"/>
          </w:tcPr>
          <w:p>
            <w:r/>
            <w:r>
              <w:rPr>
                <w:b w:val="0"/>
                <w:sz w:val="15"/>
              </w:rPr>
              <w:t>As relevant</w:t>
            </w:r>
          </w:p>
        </w:tc>
        <w:tc>
          <w:tcPr>
            <w:tcW w:type="dxa" w:w="2062"/>
            <w:vAlign w:val="center"/>
          </w:tcPr>
          <w:p>
            <w:r/>
            <w:r>
              <w:rPr>
                <w:b w:val="0"/>
                <w:sz w:val="15"/>
              </w:rPr>
              <w:t>Usually not</w:t>
            </w:r>
          </w:p>
        </w:tc>
      </w:tr>
      <w:tr>
        <w:tc>
          <w:tcPr>
            <w:tcW w:type="dxa" w:w="2062"/>
            <w:vAlign w:val="center"/>
          </w:tcPr>
          <w:p>
            <w:r/>
            <w:r>
              <w:rPr>
                <w:b w:val="0"/>
                <w:sz w:val="15"/>
              </w:rPr>
              <w:t>Site/independent assurance</w:t>
            </w:r>
          </w:p>
        </w:tc>
        <w:tc>
          <w:tcPr>
            <w:tcW w:type="dxa" w:w="2062"/>
            <w:vAlign w:val="center"/>
          </w:tcPr>
          <w:p>
            <w:r/>
            <w:r>
              <w:rPr>
                <w:b w:val="0"/>
                <w:sz w:val="15"/>
              </w:rPr>
              <w:t>Risk-based</w:t>
            </w:r>
          </w:p>
        </w:tc>
        <w:tc>
          <w:tcPr>
            <w:tcW w:type="dxa" w:w="2062"/>
            <w:vAlign w:val="center"/>
          </w:tcPr>
          <w:p>
            <w:r/>
            <w:r>
              <w:rPr>
                <w:b w:val="0"/>
                <w:sz w:val="15"/>
              </w:rPr>
              <w:t>Risk-based</w:t>
            </w:r>
          </w:p>
        </w:tc>
        <w:tc>
          <w:tcPr>
            <w:tcW w:type="dxa" w:w="2062"/>
            <w:vAlign w:val="center"/>
          </w:tcPr>
          <w:p>
            <w:r/>
            <w:r>
              <w:rPr>
                <w:b w:val="0"/>
                <w:sz w:val="15"/>
              </w:rPr>
              <w:t>Usually desk review</w:t>
            </w:r>
          </w:p>
        </w:tc>
        <w:tc>
          <w:tcPr>
            <w:tcW w:type="dxa" w:w="2062"/>
            <w:vAlign w:val="center"/>
          </w:tcPr>
          <w:p>
            <w:r/>
            <w:r>
              <w:rPr>
                <w:b w:val="0"/>
                <w:sz w:val="15"/>
              </w:rPr>
              <w:t>No</w:t>
            </w:r>
          </w:p>
        </w:tc>
      </w:tr>
      <w:tr>
        <w:tc>
          <w:tcPr>
            <w:tcW w:type="dxa" w:w="2062"/>
            <w:vAlign w:val="center"/>
          </w:tcPr>
          <w:p>
            <w:r/>
            <w:r>
              <w:rPr>
                <w:b w:val="0"/>
                <w:sz w:val="15"/>
              </w:rPr>
              <w:t>Exit plan</w:t>
            </w:r>
          </w:p>
        </w:tc>
        <w:tc>
          <w:tcPr>
            <w:tcW w:type="dxa" w:w="2062"/>
            <w:vAlign w:val="center"/>
          </w:tcPr>
          <w:p>
            <w:r/>
            <w:r>
              <w:rPr>
                <w:b w:val="0"/>
                <w:sz w:val="15"/>
              </w:rPr>
              <w:t>Required</w:t>
            </w:r>
          </w:p>
        </w:tc>
        <w:tc>
          <w:tcPr>
            <w:tcW w:type="dxa" w:w="2062"/>
            <w:vAlign w:val="center"/>
          </w:tcPr>
          <w:p>
            <w:r/>
            <w:r>
              <w:rPr>
                <w:b w:val="0"/>
                <w:sz w:val="15"/>
              </w:rPr>
              <w:t>Required</w:t>
            </w:r>
          </w:p>
        </w:tc>
        <w:tc>
          <w:tcPr>
            <w:tcW w:type="dxa" w:w="2062"/>
            <w:vAlign w:val="center"/>
          </w:tcPr>
          <w:p>
            <w:r/>
            <w:r>
              <w:rPr>
                <w:b w:val="0"/>
                <w:sz w:val="15"/>
              </w:rPr>
              <w:t>Simple</w:t>
            </w:r>
          </w:p>
        </w:tc>
        <w:tc>
          <w:tcPr>
            <w:tcW w:type="dxa" w:w="2062"/>
            <w:vAlign w:val="center"/>
          </w:tcPr>
          <w:p>
            <w:r/>
            <w:r>
              <w:rPr>
                <w:b w:val="0"/>
                <w:sz w:val="15"/>
              </w:rPr>
              <w:t>Not normally</w:t>
            </w:r>
          </w:p>
        </w:tc>
      </w:tr>
    </w:tbl>
    <w:p/>
    <w:p>
      <w:pPr>
        <w:pStyle w:val="Heading1"/>
      </w:pPr>
      <w:r>
        <w:t>8. Information Security Due Diligence</w:t>
      </w:r>
    </w:p>
    <w:p>
      <w:r>
        <w:t>Vendors with Northstar data or connectivity shall be assessed against ISP-014 and ACS-051 outcomes.</w:t>
      </w:r>
    </w:p>
    <w:p>
      <w:pPr>
        <w:pStyle w:val="ListBullet"/>
      </w:pPr>
      <w:r>
        <w:t>Identity and MFA.</w:t>
      </w:r>
    </w:p>
    <w:p>
      <w:pPr>
        <w:pStyle w:val="ListBullet"/>
      </w:pPr>
      <w:r>
        <w:t>Privileged access and logging.</w:t>
      </w:r>
    </w:p>
    <w:p>
      <w:pPr>
        <w:pStyle w:val="ListBullet"/>
      </w:pPr>
      <w:r>
        <w:t>Encryption and key/secret management.</w:t>
      </w:r>
    </w:p>
    <w:p>
      <w:pPr>
        <w:pStyle w:val="ListBullet"/>
      </w:pPr>
      <w:r>
        <w:t>Vulnerability and patch management.</w:t>
      </w:r>
    </w:p>
    <w:p>
      <w:pPr>
        <w:pStyle w:val="ListBullet"/>
      </w:pPr>
      <w:r>
        <w:t>Security incident response.</w:t>
      </w:r>
    </w:p>
    <w:p>
      <w:pPr>
        <w:pStyle w:val="ListBullet"/>
      </w:pPr>
      <w:r>
        <w:t>Cloud/data segregation and backups.</w:t>
      </w:r>
    </w:p>
    <w:p>
      <w:pPr>
        <w:pStyle w:val="ListBullet"/>
      </w:pPr>
      <w:r>
        <w:t>Personnel screening and access termination.</w:t>
      </w:r>
    </w:p>
    <w:p>
      <w:pPr>
        <w:pStyle w:val="ListBullet"/>
      </w:pPr>
      <w:r>
        <w:t>Independent assurance or test evidence where proportionate.</w:t>
      </w:r>
    </w:p>
    <w:p>
      <w:pPr>
        <w:pStyle w:val="Heading1"/>
      </w:pPr>
      <w:r>
        <w:t>9. Data and Privacy Assessment</w:t>
      </w:r>
    </w:p>
    <w:p>
      <w:r>
        <w:t>The business owner shall document data elements, classification, purpose, volume, location, retention, subprocessors and return/deletion needs.</w:t>
      </w:r>
    </w:p>
    <w:p>
      <w:r>
        <w:t>Restricted data access by a vendor requires explicit need, security controls and contractual protection. A vendor’s own “confidential” label does not replace Northstar classification.</w:t>
      </w:r>
    </w:p>
    <w:p>
      <w:pPr>
        <w:pStyle w:val="Heading1"/>
      </w:pPr>
      <w:r>
        <w:t>10. Financial and Operational Assessment</w:t>
      </w:r>
    </w:p>
    <w:p>
      <w:r>
        <w:t>T1/T2 vendors require assessment of financial resilience, capacity, staffing, service dependencies, concentration and continuity.</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Indicator</w:t>
            </w:r>
          </w:p>
        </w:tc>
        <w:tc>
          <w:tcPr>
            <w:tcW w:type="dxa" w:w="5155"/>
            <w:vAlign w:val="center"/>
            <w:shd w:fill="17365D"/>
          </w:tcPr>
          <w:p>
            <w:r/>
            <w:r>
              <w:rPr>
                <w:b/>
                <w:color w:val="FFFFFF"/>
                <w:sz w:val="15"/>
              </w:rPr>
              <w:t>Potential Concern</w:t>
            </w:r>
          </w:p>
        </w:tc>
      </w:tr>
      <w:tr>
        <w:tc>
          <w:tcPr>
            <w:tcW w:type="dxa" w:w="5155"/>
            <w:vAlign w:val="center"/>
          </w:tcPr>
          <w:p>
            <w:r/>
            <w:r>
              <w:rPr>
                <w:b w:val="0"/>
                <w:sz w:val="15"/>
              </w:rPr>
              <w:t>Persistent losses / liquidity weakness</w:t>
            </w:r>
          </w:p>
        </w:tc>
        <w:tc>
          <w:tcPr>
            <w:tcW w:type="dxa" w:w="5155"/>
            <w:vAlign w:val="center"/>
          </w:tcPr>
          <w:p>
            <w:r/>
            <w:r>
              <w:rPr>
                <w:b w:val="0"/>
                <w:sz w:val="15"/>
              </w:rPr>
              <w:t>Ability to continue service.</w:t>
            </w:r>
          </w:p>
        </w:tc>
      </w:tr>
      <w:tr>
        <w:tc>
          <w:tcPr>
            <w:tcW w:type="dxa" w:w="5155"/>
            <w:vAlign w:val="center"/>
          </w:tcPr>
          <w:p>
            <w:r/>
            <w:r>
              <w:rPr>
                <w:b w:val="0"/>
                <w:sz w:val="15"/>
              </w:rPr>
              <w:t>Single-site dependency</w:t>
            </w:r>
          </w:p>
        </w:tc>
        <w:tc>
          <w:tcPr>
            <w:tcW w:type="dxa" w:w="5155"/>
            <w:vAlign w:val="center"/>
          </w:tcPr>
          <w:p>
            <w:r/>
            <w:r>
              <w:rPr>
                <w:b w:val="0"/>
                <w:sz w:val="15"/>
              </w:rPr>
              <w:t>Operational resilience.</w:t>
            </w:r>
          </w:p>
        </w:tc>
      </w:tr>
      <w:tr>
        <w:tc>
          <w:tcPr>
            <w:tcW w:type="dxa" w:w="5155"/>
            <w:vAlign w:val="center"/>
          </w:tcPr>
          <w:p>
            <w:r/>
            <w:r>
              <w:rPr>
                <w:b w:val="0"/>
                <w:sz w:val="15"/>
              </w:rPr>
              <w:t>High staff turnover</w:t>
            </w:r>
          </w:p>
        </w:tc>
        <w:tc>
          <w:tcPr>
            <w:tcW w:type="dxa" w:w="5155"/>
            <w:vAlign w:val="center"/>
          </w:tcPr>
          <w:p>
            <w:r/>
            <w:r>
              <w:rPr>
                <w:b w:val="0"/>
                <w:sz w:val="15"/>
              </w:rPr>
              <w:t>Service quality/access risk.</w:t>
            </w:r>
          </w:p>
        </w:tc>
      </w:tr>
      <w:tr>
        <w:tc>
          <w:tcPr>
            <w:tcW w:type="dxa" w:w="5155"/>
            <w:vAlign w:val="center"/>
          </w:tcPr>
          <w:p>
            <w:r/>
            <w:r>
              <w:rPr>
                <w:b w:val="0"/>
                <w:sz w:val="15"/>
              </w:rPr>
              <w:t>Heavy subprocessor reliance</w:t>
            </w:r>
          </w:p>
        </w:tc>
        <w:tc>
          <w:tcPr>
            <w:tcW w:type="dxa" w:w="5155"/>
            <w:vAlign w:val="center"/>
          </w:tcPr>
          <w:p>
            <w:r/>
            <w:r>
              <w:rPr>
                <w:b w:val="0"/>
                <w:sz w:val="15"/>
              </w:rPr>
              <w:t>Fourth-party dependency.</w:t>
            </w:r>
          </w:p>
        </w:tc>
      </w:tr>
      <w:tr>
        <w:tc>
          <w:tcPr>
            <w:tcW w:type="dxa" w:w="5155"/>
            <w:vAlign w:val="center"/>
          </w:tcPr>
          <w:p>
            <w:r/>
            <w:r>
              <w:rPr>
                <w:b w:val="0"/>
                <w:sz w:val="15"/>
              </w:rPr>
              <w:t>No tested recovery capability</w:t>
            </w:r>
          </w:p>
        </w:tc>
        <w:tc>
          <w:tcPr>
            <w:tcW w:type="dxa" w:w="5155"/>
            <w:vAlign w:val="center"/>
          </w:tcPr>
          <w:p>
            <w:r/>
            <w:r>
              <w:rPr>
                <w:b w:val="0"/>
                <w:sz w:val="15"/>
              </w:rPr>
              <w:t>Recovery uncertainty.</w:t>
            </w:r>
          </w:p>
        </w:tc>
      </w:tr>
      <w:tr>
        <w:tc>
          <w:tcPr>
            <w:tcW w:type="dxa" w:w="5155"/>
            <w:vAlign w:val="center"/>
          </w:tcPr>
          <w:p>
            <w:r/>
            <w:r>
              <w:rPr>
                <w:b w:val="0"/>
                <w:sz w:val="15"/>
              </w:rPr>
              <w:t>Rapid acquisition/restructuring</w:t>
            </w:r>
          </w:p>
        </w:tc>
        <w:tc>
          <w:tcPr>
            <w:tcW w:type="dxa" w:w="5155"/>
            <w:vAlign w:val="center"/>
          </w:tcPr>
          <w:p>
            <w:r/>
            <w:r>
              <w:rPr>
                <w:b w:val="0"/>
                <w:sz w:val="15"/>
              </w:rPr>
              <w:t>Control and ownership change.</w:t>
            </w:r>
          </w:p>
        </w:tc>
      </w:tr>
    </w:tbl>
    <w:p/>
    <w:p>
      <w:pPr>
        <w:pStyle w:val="Heading1"/>
      </w:pPr>
      <w:r>
        <w:t>11. Compliance and Conduct Assessment</w:t>
      </w:r>
    </w:p>
    <w:p>
      <w:r>
        <w:t>Vendors supporting customer-facing, KYC/AML, collections, data handling or regulated-style processes require review of training, complaints, conduct, escalation and evidence controls as applicable.</w:t>
      </w:r>
    </w:p>
    <w:p>
      <w:pPr>
        <w:pStyle w:val="Heading1"/>
      </w:pPr>
      <w:r>
        <w:t>12. Fourth-Party / Subprocessor Risk</w:t>
      </w:r>
    </w:p>
    <w:p>
      <w:r>
        <w:t>Material subcontracting shall be disclosed. Northstar may require approval for new critical subprocessors, flow-down security obligations and evidence of the vendor’s own oversight.</w:t>
      </w:r>
    </w:p>
    <w:p>
      <w:pPr>
        <w:pStyle w:val="Heading1"/>
      </w:pPr>
      <w:r>
        <w:t>13. Risk Findings and Decision</w:t>
      </w:r>
    </w:p>
    <w:p>
      <w:r>
        <w:t>Findings shall be rated, assigned and resolved or accepted before go-live based on risk.</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Finding</w:t>
            </w:r>
          </w:p>
        </w:tc>
        <w:tc>
          <w:tcPr>
            <w:tcW w:type="dxa" w:w="5155"/>
            <w:vAlign w:val="center"/>
            <w:shd w:fill="17365D"/>
          </w:tcPr>
          <w:p>
            <w:r/>
            <w:r>
              <w:rPr>
                <w:b/>
                <w:color w:val="FFFFFF"/>
                <w:sz w:val="15"/>
              </w:rPr>
              <w:t>Treatment</w:t>
            </w:r>
          </w:p>
        </w:tc>
      </w:tr>
      <w:tr>
        <w:tc>
          <w:tcPr>
            <w:tcW w:type="dxa" w:w="5155"/>
            <w:vAlign w:val="center"/>
          </w:tcPr>
          <w:p>
            <w:r/>
            <w:r>
              <w:rPr>
                <w:b w:val="0"/>
                <w:sz w:val="15"/>
              </w:rPr>
              <w:t>Critical</w:t>
            </w:r>
          </w:p>
        </w:tc>
        <w:tc>
          <w:tcPr>
            <w:tcW w:type="dxa" w:w="5155"/>
            <w:vAlign w:val="center"/>
          </w:tcPr>
          <w:p>
            <w:r/>
            <w:r>
              <w:rPr>
                <w:b w:val="0"/>
                <w:sz w:val="15"/>
              </w:rPr>
              <w:t>Go-live prohibited unless CRO/CISO-approved exceptional risk acceptance with immediate compensating controls.</w:t>
            </w:r>
          </w:p>
        </w:tc>
      </w:tr>
      <w:tr>
        <w:tc>
          <w:tcPr>
            <w:tcW w:type="dxa" w:w="5155"/>
            <w:vAlign w:val="center"/>
          </w:tcPr>
          <w:p>
            <w:r/>
            <w:r>
              <w:rPr>
                <w:b w:val="0"/>
                <w:sz w:val="15"/>
              </w:rPr>
              <w:t>High</w:t>
            </w:r>
          </w:p>
        </w:tc>
        <w:tc>
          <w:tcPr>
            <w:tcW w:type="dxa" w:w="5155"/>
            <w:vAlign w:val="center"/>
          </w:tcPr>
          <w:p>
            <w:r/>
            <w:r>
              <w:rPr>
                <w:b w:val="0"/>
                <w:sz w:val="15"/>
              </w:rPr>
              <w:t>Remediate before go-live or obtain documented senior acceptance with short expiry.</w:t>
            </w:r>
          </w:p>
        </w:tc>
      </w:tr>
      <w:tr>
        <w:tc>
          <w:tcPr>
            <w:tcW w:type="dxa" w:w="5155"/>
            <w:vAlign w:val="center"/>
          </w:tcPr>
          <w:p>
            <w:r/>
            <w:r>
              <w:rPr>
                <w:b w:val="0"/>
                <w:sz w:val="15"/>
              </w:rPr>
              <w:t>Medium</w:t>
            </w:r>
          </w:p>
        </w:tc>
        <w:tc>
          <w:tcPr>
            <w:tcW w:type="dxa" w:w="5155"/>
            <w:vAlign w:val="center"/>
          </w:tcPr>
          <w:p>
            <w:r/>
            <w:r>
              <w:rPr>
                <w:b w:val="0"/>
                <w:sz w:val="15"/>
              </w:rPr>
              <w:t>Action plan may continue post-go-live with owner/date.</w:t>
            </w:r>
          </w:p>
        </w:tc>
      </w:tr>
      <w:tr>
        <w:tc>
          <w:tcPr>
            <w:tcW w:type="dxa" w:w="5155"/>
            <w:vAlign w:val="center"/>
          </w:tcPr>
          <w:p>
            <w:r/>
            <w:r>
              <w:rPr>
                <w:b w:val="0"/>
                <w:sz w:val="15"/>
              </w:rPr>
              <w:t>Low</w:t>
            </w:r>
          </w:p>
        </w:tc>
        <w:tc>
          <w:tcPr>
            <w:tcW w:type="dxa" w:w="5155"/>
            <w:vAlign w:val="center"/>
          </w:tcPr>
          <w:p>
            <w:r/>
            <w:r>
              <w:rPr>
                <w:b w:val="0"/>
                <w:sz w:val="15"/>
              </w:rPr>
              <w:t>Track through normal vendor management.</w:t>
            </w:r>
          </w:p>
        </w:tc>
      </w:tr>
    </w:tbl>
    <w:p/>
    <w:p>
      <w:pPr>
        <w:pStyle w:val="Heading1"/>
      </w:pPr>
      <w:r>
        <w:t>14. Approval Authority</w:t>
      </w:r>
    </w:p>
    <w:p>
      <w:r>
        <w:t>T1 vendors require business executive approval plus Third-Party Risk and relevant specialist concurrence. T2 require senior business owner and Third-Party Risk approval. T3/T4 may use delegated streamlined approval.</w:t>
      </w:r>
    </w:p>
    <w:p>
      <w:r>
        <w:t>Specialist concurrence does not replace commercial approval, and business sponsorship does not override unresolved security/AML/KYC restrictions.</w:t>
      </w:r>
    </w:p>
    <w:p>
      <w:pPr>
        <w:pStyle w:val="Heading1"/>
      </w:pPr>
      <w:r>
        <w:t>15. Contractual Control Requirements</w:t>
      </w:r>
    </w:p>
    <w:p>
      <w:r>
        <w:t>Contracts should address controls proportionate to tier and service.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Clause Area</w:t>
            </w:r>
          </w:p>
        </w:tc>
        <w:tc>
          <w:tcPr>
            <w:tcW w:type="dxa" w:w="5155"/>
            <w:vAlign w:val="center"/>
            <w:shd w:fill="17365D"/>
          </w:tcPr>
          <w:p>
            <w:r/>
            <w:r>
              <w:rPr>
                <w:b/>
                <w:color w:val="FFFFFF"/>
                <w:sz w:val="15"/>
              </w:rPr>
              <w:t>Expected Content</w:t>
            </w:r>
          </w:p>
        </w:tc>
      </w:tr>
      <w:tr>
        <w:tc>
          <w:tcPr>
            <w:tcW w:type="dxa" w:w="5155"/>
            <w:vAlign w:val="center"/>
          </w:tcPr>
          <w:p>
            <w:r/>
            <w:r>
              <w:rPr>
                <w:b w:val="0"/>
                <w:sz w:val="15"/>
              </w:rPr>
              <w:t>Security</w:t>
            </w:r>
          </w:p>
        </w:tc>
        <w:tc>
          <w:tcPr>
            <w:tcW w:type="dxa" w:w="5155"/>
            <w:vAlign w:val="center"/>
          </w:tcPr>
          <w:p>
            <w:r/>
            <w:r>
              <w:rPr>
                <w:b w:val="0"/>
                <w:sz w:val="15"/>
              </w:rPr>
              <w:t>Baseline controls, access, encryption, vulnerability management.</w:t>
            </w:r>
          </w:p>
        </w:tc>
      </w:tr>
      <w:tr>
        <w:tc>
          <w:tcPr>
            <w:tcW w:type="dxa" w:w="5155"/>
            <w:vAlign w:val="center"/>
          </w:tcPr>
          <w:p>
            <w:r/>
            <w:r>
              <w:rPr>
                <w:b w:val="0"/>
                <w:sz w:val="15"/>
              </w:rPr>
              <w:t>Incident</w:t>
            </w:r>
          </w:p>
        </w:tc>
        <w:tc>
          <w:tcPr>
            <w:tcW w:type="dxa" w:w="5155"/>
            <w:vAlign w:val="center"/>
          </w:tcPr>
          <w:p>
            <w:r/>
            <w:r>
              <w:rPr>
                <w:b w:val="0"/>
                <w:sz w:val="15"/>
              </w:rPr>
              <w:t>Prompt notification and cooperation.</w:t>
            </w:r>
          </w:p>
        </w:tc>
      </w:tr>
      <w:tr>
        <w:tc>
          <w:tcPr>
            <w:tcW w:type="dxa" w:w="5155"/>
            <w:vAlign w:val="center"/>
          </w:tcPr>
          <w:p>
            <w:r/>
            <w:r>
              <w:rPr>
                <w:b w:val="0"/>
                <w:sz w:val="15"/>
              </w:rPr>
              <w:t>Data</w:t>
            </w:r>
          </w:p>
        </w:tc>
        <w:tc>
          <w:tcPr>
            <w:tcW w:type="dxa" w:w="5155"/>
            <w:vAlign w:val="center"/>
          </w:tcPr>
          <w:p>
            <w:r/>
            <w:r>
              <w:rPr>
                <w:b w:val="0"/>
                <w:sz w:val="15"/>
              </w:rPr>
              <w:t>Permitted use, confidentiality, location, retention and deletion.</w:t>
            </w:r>
          </w:p>
        </w:tc>
      </w:tr>
      <w:tr>
        <w:tc>
          <w:tcPr>
            <w:tcW w:type="dxa" w:w="5155"/>
            <w:vAlign w:val="center"/>
          </w:tcPr>
          <w:p>
            <w:r/>
            <w:r>
              <w:rPr>
                <w:b w:val="0"/>
                <w:sz w:val="15"/>
              </w:rPr>
              <w:t>Audit/Evidence</w:t>
            </w:r>
          </w:p>
        </w:tc>
        <w:tc>
          <w:tcPr>
            <w:tcW w:type="dxa" w:w="5155"/>
            <w:vAlign w:val="center"/>
          </w:tcPr>
          <w:p>
            <w:r/>
            <w:r>
              <w:rPr>
                <w:b w:val="0"/>
                <w:sz w:val="15"/>
              </w:rPr>
              <w:t>Right to obtain assurance or evidence.</w:t>
            </w:r>
          </w:p>
        </w:tc>
      </w:tr>
      <w:tr>
        <w:tc>
          <w:tcPr>
            <w:tcW w:type="dxa" w:w="5155"/>
            <w:vAlign w:val="center"/>
          </w:tcPr>
          <w:p>
            <w:r/>
            <w:r>
              <w:rPr>
                <w:b w:val="0"/>
                <w:sz w:val="15"/>
              </w:rPr>
              <w:t>Subcontracting</w:t>
            </w:r>
          </w:p>
        </w:tc>
        <w:tc>
          <w:tcPr>
            <w:tcW w:type="dxa" w:w="5155"/>
            <w:vAlign w:val="center"/>
          </w:tcPr>
          <w:p>
            <w:r/>
            <w:r>
              <w:rPr>
                <w:b w:val="0"/>
                <w:sz w:val="15"/>
              </w:rPr>
              <w:t>Disclosure/approval for material subprocessors.</w:t>
            </w:r>
          </w:p>
        </w:tc>
      </w:tr>
      <w:tr>
        <w:tc>
          <w:tcPr>
            <w:tcW w:type="dxa" w:w="5155"/>
            <w:vAlign w:val="center"/>
          </w:tcPr>
          <w:p>
            <w:r/>
            <w:r>
              <w:rPr>
                <w:b w:val="0"/>
                <w:sz w:val="15"/>
              </w:rPr>
              <w:t>Continuity</w:t>
            </w:r>
          </w:p>
        </w:tc>
        <w:tc>
          <w:tcPr>
            <w:tcW w:type="dxa" w:w="5155"/>
            <w:vAlign w:val="center"/>
          </w:tcPr>
          <w:p>
            <w:r/>
            <w:r>
              <w:rPr>
                <w:b w:val="0"/>
                <w:sz w:val="15"/>
              </w:rPr>
              <w:t>Recovery and service-resilience obligations.</w:t>
            </w:r>
          </w:p>
        </w:tc>
      </w:tr>
      <w:tr>
        <w:tc>
          <w:tcPr>
            <w:tcW w:type="dxa" w:w="5155"/>
            <w:vAlign w:val="center"/>
          </w:tcPr>
          <w:p>
            <w:r/>
            <w:r>
              <w:rPr>
                <w:b w:val="0"/>
                <w:sz w:val="15"/>
              </w:rPr>
              <w:t>Exit</w:t>
            </w:r>
          </w:p>
        </w:tc>
        <w:tc>
          <w:tcPr>
            <w:tcW w:type="dxa" w:w="5155"/>
            <w:vAlign w:val="center"/>
          </w:tcPr>
          <w:p>
            <w:r/>
            <w:r>
              <w:rPr>
                <w:b w:val="0"/>
                <w:sz w:val="15"/>
              </w:rPr>
              <w:t>Data return/deletion, access removal and transition support.</w:t>
            </w:r>
          </w:p>
        </w:tc>
      </w:tr>
      <w:tr>
        <w:tc>
          <w:tcPr>
            <w:tcW w:type="dxa" w:w="5155"/>
            <w:vAlign w:val="center"/>
          </w:tcPr>
          <w:p>
            <w:r/>
            <w:r>
              <w:rPr>
                <w:b w:val="0"/>
                <w:sz w:val="15"/>
              </w:rPr>
              <w:t>Performance</w:t>
            </w:r>
          </w:p>
        </w:tc>
        <w:tc>
          <w:tcPr>
            <w:tcW w:type="dxa" w:w="5155"/>
            <w:vAlign w:val="center"/>
          </w:tcPr>
          <w:p>
            <w:r/>
            <w:r>
              <w:rPr>
                <w:b w:val="0"/>
                <w:sz w:val="15"/>
              </w:rPr>
              <w:t>Service levels and remediation/escalation.</w:t>
            </w:r>
          </w:p>
        </w:tc>
      </w:tr>
    </w:tbl>
    <w:p/>
    <w:p>
      <w:pPr>
        <w:pStyle w:val="Heading1"/>
      </w:pPr>
      <w:r>
        <w:t>16. Security Incident Notification</w:t>
      </w:r>
    </w:p>
    <w:p>
      <w:r>
        <w:t>For T1/T2 vendors handling Confidential/Restricted data or critical services, Northstar contracts should target notification within 4 hours of the vendor becoming aware of a material incident affecting Northstar, subject to negotiated terms.</w:t>
      </w:r>
    </w:p>
    <w:p>
      <w:r>
        <w:t>The contractual target is an internal contracting objective, not a statement of legal requirement. Northstar’s own SIR-052 notification clock starts when Northstar becomes reasonably aware, regardless of whether the vendor met its contract.</w:t>
      </w:r>
    </w:p>
    <w:p>
      <w:pPr>
        <w:pStyle w:val="Heading1"/>
      </w:pPr>
      <w:r>
        <w:t>17. Onboarding and Access</w:t>
      </w:r>
    </w:p>
    <w:p>
      <w:r>
        <w:t>Vendor access shall not be enabled until required approvals, contract, security controls and ACS-051 access sponsorship are complete, except a documented controlled pilot environment with no prohibited data/access.</w:t>
      </w:r>
    </w:p>
    <w:p>
      <w:pPr>
        <w:pStyle w:val="Heading1"/>
      </w:pPr>
      <w:r>
        <w:t>18. Ongoing Monitoring</w:t>
      </w:r>
    </w:p>
    <w:p>
      <w:r>
        <w:t>Monitoring shall reflect tier and performance.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Tier</w:t>
            </w:r>
          </w:p>
        </w:tc>
        <w:tc>
          <w:tcPr>
            <w:tcW w:type="dxa" w:w="5155"/>
            <w:vAlign w:val="center"/>
            <w:shd w:fill="17365D"/>
          </w:tcPr>
          <w:p>
            <w:r/>
            <w:r>
              <w:rPr>
                <w:b/>
                <w:color w:val="FFFFFF"/>
                <w:sz w:val="15"/>
              </w:rPr>
              <w:t>Minimum Formal Review</w:t>
            </w:r>
          </w:p>
        </w:tc>
      </w:tr>
      <w:tr>
        <w:tc>
          <w:tcPr>
            <w:tcW w:type="dxa" w:w="5155"/>
            <w:vAlign w:val="center"/>
          </w:tcPr>
          <w:p>
            <w:r/>
            <w:r>
              <w:rPr>
                <w:b w:val="0"/>
                <w:sz w:val="15"/>
              </w:rPr>
              <w:t>T1</w:t>
            </w:r>
          </w:p>
        </w:tc>
        <w:tc>
          <w:tcPr>
            <w:tcW w:type="dxa" w:w="5155"/>
            <w:vAlign w:val="center"/>
          </w:tcPr>
          <w:p>
            <w:r/>
            <w:r>
              <w:rPr>
                <w:b w:val="0"/>
                <w:sz w:val="15"/>
              </w:rPr>
              <w:t>Annual full reassessment; quarterly performance/risk review.</w:t>
            </w:r>
          </w:p>
        </w:tc>
      </w:tr>
      <w:tr>
        <w:tc>
          <w:tcPr>
            <w:tcW w:type="dxa" w:w="5155"/>
            <w:vAlign w:val="center"/>
          </w:tcPr>
          <w:p>
            <w:r/>
            <w:r>
              <w:rPr>
                <w:b w:val="0"/>
                <w:sz w:val="15"/>
              </w:rPr>
              <w:t>T2</w:t>
            </w:r>
          </w:p>
        </w:tc>
        <w:tc>
          <w:tcPr>
            <w:tcW w:type="dxa" w:w="5155"/>
            <w:vAlign w:val="center"/>
          </w:tcPr>
          <w:p>
            <w:r/>
            <w:r>
              <w:rPr>
                <w:b w:val="0"/>
                <w:sz w:val="15"/>
              </w:rPr>
              <w:t>Annual risk reassessment; semiannual performance/risk review.</w:t>
            </w:r>
          </w:p>
        </w:tc>
      </w:tr>
      <w:tr>
        <w:tc>
          <w:tcPr>
            <w:tcW w:type="dxa" w:w="5155"/>
            <w:vAlign w:val="center"/>
          </w:tcPr>
          <w:p>
            <w:r/>
            <w:r>
              <w:rPr>
                <w:b w:val="0"/>
                <w:sz w:val="15"/>
              </w:rPr>
              <w:t>T3</w:t>
            </w:r>
          </w:p>
        </w:tc>
        <w:tc>
          <w:tcPr>
            <w:tcW w:type="dxa" w:w="5155"/>
            <w:vAlign w:val="center"/>
          </w:tcPr>
          <w:p>
            <w:r/>
            <w:r>
              <w:rPr>
                <w:b w:val="0"/>
                <w:sz w:val="15"/>
              </w:rPr>
              <w:t>Every 24 months or trigger event.</w:t>
            </w:r>
          </w:p>
        </w:tc>
      </w:tr>
      <w:tr>
        <w:tc>
          <w:tcPr>
            <w:tcW w:type="dxa" w:w="5155"/>
            <w:vAlign w:val="center"/>
          </w:tcPr>
          <w:p>
            <w:r/>
            <w:r>
              <w:rPr>
                <w:b w:val="0"/>
                <w:sz w:val="15"/>
              </w:rPr>
              <w:t>T4</w:t>
            </w:r>
          </w:p>
        </w:tc>
        <w:tc>
          <w:tcPr>
            <w:tcW w:type="dxa" w:w="5155"/>
            <w:vAlign w:val="center"/>
          </w:tcPr>
          <w:p>
            <w:r/>
            <w:r>
              <w:rPr>
                <w:b w:val="0"/>
                <w:sz w:val="15"/>
              </w:rPr>
              <w:t>Every 36 months or trigger event / simplified refresh.</w:t>
            </w:r>
          </w:p>
        </w:tc>
      </w:tr>
    </w:tbl>
    <w:p/>
    <w:p>
      <w:pPr>
        <w:pStyle w:val="Heading1"/>
      </w:pPr>
      <w:r>
        <w:t>19. Trigger Events</w:t>
      </w:r>
    </w:p>
    <w:p>
      <w:r>
        <w:t>A reassessment may be required before the scheduled cycle.</w:t>
      </w:r>
    </w:p>
    <w:p>
      <w:pPr>
        <w:pStyle w:val="ListBullet"/>
      </w:pPr>
      <w:r>
        <w:t>Security incident or material control finding.</w:t>
      </w:r>
    </w:p>
    <w:p>
      <w:pPr>
        <w:pStyle w:val="ListBullet"/>
      </w:pPr>
      <w:r>
        <w:t>Change in ownership, financial condition or key subprocessor.</w:t>
      </w:r>
    </w:p>
    <w:p>
      <w:pPr>
        <w:pStyle w:val="ListBullet"/>
      </w:pPr>
      <w:r>
        <w:t>Material service expansion or new data category.</w:t>
      </w:r>
    </w:p>
    <w:p>
      <w:pPr>
        <w:pStyle w:val="ListBullet"/>
      </w:pPr>
      <w:r>
        <w:t>Repeated service failures or complaints.</w:t>
      </w:r>
    </w:p>
    <w:p>
      <w:pPr>
        <w:pStyle w:val="ListBullet"/>
      </w:pPr>
      <w:r>
        <w:t>New production/system connectivity.</w:t>
      </w:r>
    </w:p>
    <w:p>
      <w:pPr>
        <w:pStyle w:val="ListBullet"/>
      </w:pPr>
      <w:r>
        <w:t>Geographic/data-location change.</w:t>
      </w:r>
    </w:p>
    <w:p>
      <w:pPr>
        <w:pStyle w:val="ListBullet"/>
      </w:pPr>
      <w:r>
        <w:t>Significant audit/assurance qualification.</w:t>
      </w:r>
    </w:p>
    <w:p>
      <w:pPr>
        <w:pStyle w:val="Heading1"/>
      </w:pPr>
      <w:r>
        <w:t>20. Performance Monitoring</w:t>
      </w:r>
    </w:p>
    <w:p>
      <w:r>
        <w:t>Business owners shall monitor service quality, incidents, SLA failures, complaints, access exceptions and open risk actions. Third-Party Risk shall challenge material or repeated issues.</w:t>
      </w:r>
    </w:p>
    <w:p>
      <w:pPr>
        <w:pStyle w:val="Heading1"/>
      </w:pPr>
      <w:r>
        <w:t>21. Concentration Risk</w:t>
      </w:r>
    </w:p>
    <w:p>
      <w:r>
        <w:t>Northstar shall identify material reliance on the same vendor/group, cloud provider, telecom provider, data source or geographic service hub across business units.</w:t>
      </w:r>
    </w:p>
    <w:p>
      <w:r>
        <w:t>A vendor can be individually within risk tolerance while creating aggregate concentration risk. RMF-008 and RAS-009 govern enterprise escalation.</w:t>
      </w:r>
    </w:p>
    <w:p>
      <w:pPr>
        <w:pStyle w:val="Heading1"/>
      </w:pPr>
      <w:r>
        <w:t>22. Vendor Access Reviews</w:t>
      </w:r>
    </w:p>
    <w:p>
      <w:r>
        <w:t>Vendor logical access is governed by ACS-051 and shall be removed when staff change, contract ends or support need expires. Persistent broad vendor privilege is not justified by convenience.</w:t>
      </w:r>
    </w:p>
    <w:p>
      <w:pPr>
        <w:pStyle w:val="Heading1"/>
      </w:pPr>
      <w:r>
        <w:t>23. Vendor Risk Exceptions</w:t>
      </w:r>
    </w:p>
    <w:p>
      <w:r>
        <w:t>Exceptions require documented reason, risk, controls, owner and expiry. The commercial importance of a vendor does not by itself justify acceptance of severe uncontrolled risk.</w:t>
      </w:r>
    </w:p>
    <w:p>
      <w:pPr>
        <w:pStyle w:val="Heading1"/>
      </w:pPr>
      <w:r>
        <w:t>24. Incident and Breach Management</w:t>
      </w:r>
    </w:p>
    <w:p>
      <w:r>
        <w:t>Vendor incidents shall be managed under SIR-052; compliance/control breaches may require CBP-043 assessment. Third-Party Risk shall ensure issues are linked rather than duplicated without reference.</w:t>
      </w:r>
    </w:p>
    <w:p>
      <w:pPr>
        <w:pStyle w:val="Heading1"/>
      </w:pPr>
      <w:r>
        <w:t>25. Exit and Termination</w:t>
      </w:r>
    </w:p>
    <w:p>
      <w:r>
        <w:t>T1/T2 vendors require an exit plan proportionate to dependency.</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Exit Area</w:t>
            </w:r>
          </w:p>
        </w:tc>
        <w:tc>
          <w:tcPr>
            <w:tcW w:type="dxa" w:w="5155"/>
            <w:vAlign w:val="center"/>
            <w:shd w:fill="17365D"/>
          </w:tcPr>
          <w:p>
            <w:r/>
            <w:r>
              <w:rPr>
                <w:b/>
                <w:color w:val="FFFFFF"/>
                <w:sz w:val="15"/>
              </w:rPr>
              <w:t>Requirement</w:t>
            </w:r>
          </w:p>
        </w:tc>
      </w:tr>
      <w:tr>
        <w:tc>
          <w:tcPr>
            <w:tcW w:type="dxa" w:w="5155"/>
            <w:vAlign w:val="center"/>
          </w:tcPr>
          <w:p>
            <w:r/>
            <w:r>
              <w:rPr>
                <w:b w:val="0"/>
                <w:sz w:val="15"/>
              </w:rPr>
              <w:t>Access</w:t>
            </w:r>
          </w:p>
        </w:tc>
        <w:tc>
          <w:tcPr>
            <w:tcW w:type="dxa" w:w="5155"/>
            <w:vAlign w:val="center"/>
          </w:tcPr>
          <w:p>
            <w:r/>
            <w:r>
              <w:rPr>
                <w:b w:val="0"/>
                <w:sz w:val="15"/>
              </w:rPr>
              <w:t>Remove vendor identities, VPN, API keys and privileged access.</w:t>
            </w:r>
          </w:p>
        </w:tc>
      </w:tr>
      <w:tr>
        <w:tc>
          <w:tcPr>
            <w:tcW w:type="dxa" w:w="5155"/>
            <w:vAlign w:val="center"/>
          </w:tcPr>
          <w:p>
            <w:r/>
            <w:r>
              <w:rPr>
                <w:b w:val="0"/>
                <w:sz w:val="15"/>
              </w:rPr>
              <w:t>Data</w:t>
            </w:r>
          </w:p>
        </w:tc>
        <w:tc>
          <w:tcPr>
            <w:tcW w:type="dxa" w:w="5155"/>
            <w:vAlign w:val="center"/>
          </w:tcPr>
          <w:p>
            <w:r/>
            <w:r>
              <w:rPr>
                <w:b w:val="0"/>
                <w:sz w:val="15"/>
              </w:rPr>
              <w:t>Return, migrate or securely delete as contractually required.</w:t>
            </w:r>
          </w:p>
        </w:tc>
      </w:tr>
      <w:tr>
        <w:tc>
          <w:tcPr>
            <w:tcW w:type="dxa" w:w="5155"/>
            <w:vAlign w:val="center"/>
          </w:tcPr>
          <w:p>
            <w:r/>
            <w:r>
              <w:rPr>
                <w:b w:val="0"/>
                <w:sz w:val="15"/>
              </w:rPr>
              <w:t>Service</w:t>
            </w:r>
          </w:p>
        </w:tc>
        <w:tc>
          <w:tcPr>
            <w:tcW w:type="dxa" w:w="5155"/>
            <w:vAlign w:val="center"/>
          </w:tcPr>
          <w:p>
            <w:r/>
            <w:r>
              <w:rPr>
                <w:b w:val="0"/>
                <w:sz w:val="15"/>
              </w:rPr>
              <w:t>Transfer to alternate provider/internal process.</w:t>
            </w:r>
          </w:p>
        </w:tc>
      </w:tr>
      <w:tr>
        <w:tc>
          <w:tcPr>
            <w:tcW w:type="dxa" w:w="5155"/>
            <w:vAlign w:val="center"/>
          </w:tcPr>
          <w:p>
            <w:r/>
            <w:r>
              <w:rPr>
                <w:b w:val="0"/>
                <w:sz w:val="15"/>
              </w:rPr>
              <w:t>Assets</w:t>
            </w:r>
          </w:p>
        </w:tc>
        <w:tc>
          <w:tcPr>
            <w:tcW w:type="dxa" w:w="5155"/>
            <w:vAlign w:val="center"/>
          </w:tcPr>
          <w:p>
            <w:r/>
            <w:r>
              <w:rPr>
                <w:b w:val="0"/>
                <w:sz w:val="15"/>
              </w:rPr>
              <w:t>Recover Northstar equipment/tokens.</w:t>
            </w:r>
          </w:p>
        </w:tc>
      </w:tr>
      <w:tr>
        <w:tc>
          <w:tcPr>
            <w:tcW w:type="dxa" w:w="5155"/>
            <w:vAlign w:val="center"/>
          </w:tcPr>
          <w:p>
            <w:r/>
            <w:r>
              <w:rPr>
                <w:b w:val="0"/>
                <w:sz w:val="15"/>
              </w:rPr>
              <w:t>Knowledge</w:t>
            </w:r>
          </w:p>
        </w:tc>
        <w:tc>
          <w:tcPr>
            <w:tcW w:type="dxa" w:w="5155"/>
            <w:vAlign w:val="center"/>
          </w:tcPr>
          <w:p>
            <w:r/>
            <w:r>
              <w:rPr>
                <w:b w:val="0"/>
                <w:sz w:val="15"/>
              </w:rPr>
              <w:t>Capture documentation and configuration needed for continuity.</w:t>
            </w:r>
          </w:p>
        </w:tc>
      </w:tr>
      <w:tr>
        <w:tc>
          <w:tcPr>
            <w:tcW w:type="dxa" w:w="5155"/>
            <w:vAlign w:val="center"/>
          </w:tcPr>
          <w:p>
            <w:r/>
            <w:r>
              <w:rPr>
                <w:b w:val="0"/>
                <w:sz w:val="15"/>
              </w:rPr>
              <w:t>Evidence</w:t>
            </w:r>
          </w:p>
        </w:tc>
        <w:tc>
          <w:tcPr>
            <w:tcW w:type="dxa" w:w="5155"/>
            <w:vAlign w:val="center"/>
          </w:tcPr>
          <w:p>
            <w:r/>
            <w:r>
              <w:rPr>
                <w:b w:val="0"/>
                <w:sz w:val="15"/>
              </w:rPr>
              <w:t>Obtain deletion/closure evidence where appropriate.</w:t>
            </w:r>
          </w:p>
        </w:tc>
      </w:tr>
    </w:tbl>
    <w:p/>
    <w:p>
      <w:pPr>
        <w:pStyle w:val="Heading1"/>
      </w:pPr>
      <w:r>
        <w:t>26. Emergency Vendor Engagement</w:t>
      </w:r>
    </w:p>
    <w:p>
      <w:r>
        <w:t>An emergency engagement may proceed before full review only where necessary to prevent greater harm or restore critical service, with CRO/CISO or delegated emergency approval, restricted scope and retrospective completion of due diligence.</w:t>
      </w:r>
    </w:p>
    <w:p>
      <w:r>
        <w:t>Emergency approval authorizes the specific temporary engagement; it is not a general waiver of ongoing vendor controls.</w:t>
      </w:r>
    </w:p>
    <w:p>
      <w:pPr>
        <w:pStyle w:val="Heading1"/>
      </w:pPr>
      <w:r>
        <w:t>27. Records</w:t>
      </w:r>
    </w:p>
    <w:p>
      <w:r>
        <w:t>Vendor records shall include tier, owners, due diligence, findings, approvals, contracts, access, incidents, performance, reassessments and exit evidence.</w:t>
      </w:r>
    </w:p>
    <w:p>
      <w:pPr>
        <w:pStyle w:val="Heading1"/>
      </w:pPr>
      <w:r>
        <w:t>28. Metrics</w:t>
      </w:r>
    </w:p>
    <w:p>
      <w:r>
        <w:t>Third-Party Risk shall report critical vendors, overdue reassessments, high findings, incidents, concentration, access exceptions and exit-plan readiness.</w:t>
      </w:r>
    </w:p>
    <w:p>
      <w:pPr>
        <w:pStyle w:val="Heading1"/>
      </w:pPr>
      <w:r>
        <w:t>29. Historical and Transitional Provisions</w:t>
      </w:r>
    </w:p>
    <w:p>
      <w:r>
        <w:t>Version 1.0 replaces fragmented departmental notes with a controlled enterprise process.</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Topic</w:t>
            </w:r>
          </w:p>
        </w:tc>
        <w:tc>
          <w:tcPr>
            <w:tcW w:type="dxa" w:w="2577"/>
            <w:vAlign w:val="center"/>
            <w:shd w:fill="17365D"/>
          </w:tcPr>
          <w:p>
            <w:r/>
            <w:r>
              <w:rPr>
                <w:b/>
                <w:color w:val="FFFFFF"/>
                <w:sz w:val="15"/>
              </w:rPr>
              <w:t>Prior Practice</w:t>
            </w:r>
          </w:p>
        </w:tc>
        <w:tc>
          <w:tcPr>
            <w:tcW w:type="dxa" w:w="2577"/>
            <w:vAlign w:val="center"/>
            <w:shd w:fill="17365D"/>
          </w:tcPr>
          <w:p>
            <w:r/>
            <w:r>
              <w:rPr>
                <w:b/>
                <w:color w:val="FFFFFF"/>
                <w:sz w:val="15"/>
              </w:rPr>
              <w:t>VRP-053 v1.0</w:t>
            </w:r>
          </w:p>
        </w:tc>
        <w:tc>
          <w:tcPr>
            <w:tcW w:type="dxa" w:w="2577"/>
            <w:vAlign w:val="center"/>
            <w:shd w:fill="17365D"/>
          </w:tcPr>
          <w:p>
            <w:r/>
            <w:r>
              <w:rPr>
                <w:b/>
                <w:color w:val="FFFFFF"/>
                <w:sz w:val="15"/>
              </w:rPr>
              <w:t>Transition</w:t>
            </w:r>
          </w:p>
        </w:tc>
      </w:tr>
      <w:tr>
        <w:tc>
          <w:tcPr>
            <w:tcW w:type="dxa" w:w="2577"/>
            <w:vAlign w:val="center"/>
          </w:tcPr>
          <w:p>
            <w:r/>
            <w:r>
              <w:rPr>
                <w:b w:val="0"/>
                <w:sz w:val="15"/>
              </w:rPr>
              <w:t>Tiering</w:t>
            </w:r>
          </w:p>
        </w:tc>
        <w:tc>
          <w:tcPr>
            <w:tcW w:type="dxa" w:w="2577"/>
            <w:vAlign w:val="center"/>
          </w:tcPr>
          <w:p>
            <w:r/>
            <w:r>
              <w:rPr>
                <w:b w:val="0"/>
                <w:sz w:val="15"/>
              </w:rPr>
              <w:t>Critical/Non-critical labels varied</w:t>
            </w:r>
          </w:p>
        </w:tc>
        <w:tc>
          <w:tcPr>
            <w:tcW w:type="dxa" w:w="2577"/>
            <w:vAlign w:val="center"/>
          </w:tcPr>
          <w:p>
            <w:r/>
            <w:r>
              <w:rPr>
                <w:b w:val="0"/>
                <w:sz w:val="15"/>
              </w:rPr>
              <w:t>T1–T4</w:t>
            </w:r>
          </w:p>
        </w:tc>
        <w:tc>
          <w:tcPr>
            <w:tcW w:type="dxa" w:w="2577"/>
            <w:vAlign w:val="center"/>
          </w:tcPr>
          <w:p>
            <w:r/>
            <w:r>
              <w:rPr>
                <w:b w:val="0"/>
                <w:sz w:val="15"/>
              </w:rPr>
              <w:t>Existing vendors tiered by 31 Jul 2026.</w:t>
            </w:r>
          </w:p>
        </w:tc>
      </w:tr>
      <w:tr>
        <w:tc>
          <w:tcPr>
            <w:tcW w:type="dxa" w:w="2577"/>
            <w:vAlign w:val="center"/>
          </w:tcPr>
          <w:p>
            <w:r/>
            <w:r>
              <w:rPr>
                <w:b w:val="0"/>
                <w:sz w:val="15"/>
              </w:rPr>
              <w:t>Security review</w:t>
            </w:r>
          </w:p>
        </w:tc>
        <w:tc>
          <w:tcPr>
            <w:tcW w:type="dxa" w:w="2577"/>
            <w:vAlign w:val="center"/>
          </w:tcPr>
          <w:p>
            <w:r/>
            <w:r>
              <w:rPr>
                <w:b w:val="0"/>
                <w:sz w:val="15"/>
              </w:rPr>
              <w:t>Technology questionnaire for selected vendors</w:t>
            </w:r>
          </w:p>
        </w:tc>
        <w:tc>
          <w:tcPr>
            <w:tcW w:type="dxa" w:w="2577"/>
            <w:vAlign w:val="center"/>
          </w:tcPr>
          <w:p>
            <w:r/>
            <w:r>
              <w:rPr>
                <w:b w:val="0"/>
                <w:sz w:val="15"/>
              </w:rPr>
              <w:t>Risk-based integrated security review</w:t>
            </w:r>
          </w:p>
        </w:tc>
        <w:tc>
          <w:tcPr>
            <w:tcW w:type="dxa" w:w="2577"/>
            <w:vAlign w:val="center"/>
          </w:tcPr>
          <w:p>
            <w:r/>
            <w:r>
              <w:rPr>
                <w:b w:val="0"/>
                <w:sz w:val="15"/>
              </w:rPr>
              <w:t>T1/T2 refresh at next annual review or trigger event.</w:t>
            </w:r>
          </w:p>
        </w:tc>
      </w:tr>
      <w:tr>
        <w:tc>
          <w:tcPr>
            <w:tcW w:type="dxa" w:w="2577"/>
            <w:vAlign w:val="center"/>
          </w:tcPr>
          <w:p>
            <w:r/>
            <w:r>
              <w:rPr>
                <w:b w:val="0"/>
                <w:sz w:val="15"/>
              </w:rPr>
              <w:t>Review cycle</w:t>
            </w:r>
          </w:p>
        </w:tc>
        <w:tc>
          <w:tcPr>
            <w:tcW w:type="dxa" w:w="2577"/>
            <w:vAlign w:val="center"/>
          </w:tcPr>
          <w:p>
            <w:r/>
            <w:r>
              <w:rPr>
                <w:b w:val="0"/>
                <w:sz w:val="15"/>
              </w:rPr>
              <w:t>Often annual for all vendors</w:t>
            </w:r>
          </w:p>
        </w:tc>
        <w:tc>
          <w:tcPr>
            <w:tcW w:type="dxa" w:w="2577"/>
            <w:vAlign w:val="center"/>
          </w:tcPr>
          <w:p>
            <w:r/>
            <w:r>
              <w:rPr>
                <w:b w:val="0"/>
                <w:sz w:val="15"/>
              </w:rPr>
              <w:t>Annual T1/T2; 24m T3; 36m T4</w:t>
            </w:r>
          </w:p>
        </w:tc>
        <w:tc>
          <w:tcPr>
            <w:tcW w:type="dxa" w:w="2577"/>
            <w:vAlign w:val="center"/>
          </w:tcPr>
          <w:p>
            <w:r/>
            <w:r>
              <w:rPr>
                <w:b w:val="0"/>
                <w:sz w:val="15"/>
              </w:rPr>
              <w:t>Historical review date preserved; next due date recalculated after tiering.</w:t>
            </w:r>
          </w:p>
        </w:tc>
      </w:tr>
    </w:tbl>
    <w:p/>
    <w:p>
      <w:pPr>
        <w:pStyle w:val="Heading1"/>
      </w:pPr>
      <w:r>
        <w:t>Appendix A — Vendor Criticality Scoring Guide</w:t>
      </w:r>
    </w:p>
    <w:p>
      <w:r>
        <w:t>Use this guide as an aid; professional judgment may override with documented rationale.</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vAlign w:val="center"/>
            <w:shd w:fill="17365D"/>
          </w:tcPr>
          <w:p>
            <w:r/>
            <w:r>
              <w:rPr>
                <w:b/>
                <w:color w:val="FFFFFF"/>
                <w:sz w:val="15"/>
              </w:rPr>
              <w:t>Factor</w:t>
            </w:r>
          </w:p>
        </w:tc>
        <w:tc>
          <w:tcPr>
            <w:tcW w:type="dxa" w:w="2062"/>
            <w:vAlign w:val="center"/>
            <w:shd w:fill="17365D"/>
          </w:tcPr>
          <w:p>
            <w:r/>
            <w:r>
              <w:rPr>
                <w:b/>
                <w:color w:val="FFFFFF"/>
                <w:sz w:val="15"/>
              </w:rPr>
              <w:t>0</w:t>
            </w:r>
          </w:p>
        </w:tc>
        <w:tc>
          <w:tcPr>
            <w:tcW w:type="dxa" w:w="2062"/>
            <w:vAlign w:val="center"/>
            <w:shd w:fill="17365D"/>
          </w:tcPr>
          <w:p>
            <w:r/>
            <w:r>
              <w:rPr>
                <w:b/>
                <w:color w:val="FFFFFF"/>
                <w:sz w:val="15"/>
              </w:rPr>
              <w:t>1</w:t>
            </w:r>
          </w:p>
        </w:tc>
        <w:tc>
          <w:tcPr>
            <w:tcW w:type="dxa" w:w="2062"/>
            <w:vAlign w:val="center"/>
            <w:shd w:fill="17365D"/>
          </w:tcPr>
          <w:p>
            <w:r/>
            <w:r>
              <w:rPr>
                <w:b/>
                <w:color w:val="FFFFFF"/>
                <w:sz w:val="15"/>
              </w:rPr>
              <w:t>2</w:t>
            </w:r>
          </w:p>
        </w:tc>
        <w:tc>
          <w:tcPr>
            <w:tcW w:type="dxa" w:w="2062"/>
            <w:vAlign w:val="center"/>
            <w:shd w:fill="17365D"/>
          </w:tcPr>
          <w:p>
            <w:r/>
            <w:r>
              <w:rPr>
                <w:b/>
                <w:color w:val="FFFFFF"/>
                <w:sz w:val="15"/>
              </w:rPr>
              <w:t>3</w:t>
            </w:r>
          </w:p>
        </w:tc>
      </w:tr>
      <w:tr>
        <w:tc>
          <w:tcPr>
            <w:tcW w:type="dxa" w:w="2062"/>
            <w:vAlign w:val="center"/>
          </w:tcPr>
          <w:p>
            <w:r/>
            <w:r>
              <w:rPr>
                <w:b w:val="0"/>
                <w:sz w:val="15"/>
              </w:rPr>
              <w:t>Customer/service impact</w:t>
            </w:r>
          </w:p>
        </w:tc>
        <w:tc>
          <w:tcPr>
            <w:tcW w:type="dxa" w:w="2062"/>
            <w:vAlign w:val="center"/>
          </w:tcPr>
          <w:p>
            <w:r/>
            <w:r>
              <w:rPr>
                <w:b w:val="0"/>
                <w:sz w:val="15"/>
              </w:rPr>
              <w:t>None</w:t>
            </w:r>
          </w:p>
        </w:tc>
        <w:tc>
          <w:tcPr>
            <w:tcW w:type="dxa" w:w="2062"/>
            <w:vAlign w:val="center"/>
          </w:tcPr>
          <w:p>
            <w:r/>
            <w:r>
              <w:rPr>
                <w:b w:val="0"/>
                <w:sz w:val="15"/>
              </w:rPr>
              <w:t>Limited</w:t>
            </w:r>
          </w:p>
        </w:tc>
        <w:tc>
          <w:tcPr>
            <w:tcW w:type="dxa" w:w="2062"/>
            <w:vAlign w:val="center"/>
          </w:tcPr>
          <w:p>
            <w:r/>
            <w:r>
              <w:rPr>
                <w:b w:val="0"/>
                <w:sz w:val="15"/>
              </w:rPr>
              <w:t>Material</w:t>
            </w:r>
          </w:p>
        </w:tc>
        <w:tc>
          <w:tcPr>
            <w:tcW w:type="dxa" w:w="2062"/>
            <w:vAlign w:val="center"/>
          </w:tcPr>
          <w:p>
            <w:r/>
            <w:r>
              <w:rPr>
                <w:b w:val="0"/>
                <w:sz w:val="15"/>
              </w:rPr>
              <w:t>Critical/systemic</w:t>
            </w:r>
          </w:p>
        </w:tc>
      </w:tr>
      <w:tr>
        <w:tc>
          <w:tcPr>
            <w:tcW w:type="dxa" w:w="2062"/>
            <w:vAlign w:val="center"/>
          </w:tcPr>
          <w:p>
            <w:r/>
            <w:r>
              <w:rPr>
                <w:b w:val="0"/>
                <w:sz w:val="15"/>
              </w:rPr>
              <w:t>Data</w:t>
            </w:r>
          </w:p>
        </w:tc>
        <w:tc>
          <w:tcPr>
            <w:tcW w:type="dxa" w:w="2062"/>
            <w:vAlign w:val="center"/>
          </w:tcPr>
          <w:p>
            <w:r/>
            <w:r>
              <w:rPr>
                <w:b w:val="0"/>
                <w:sz w:val="15"/>
              </w:rPr>
              <w:t>None/Public</w:t>
            </w:r>
          </w:p>
        </w:tc>
        <w:tc>
          <w:tcPr>
            <w:tcW w:type="dxa" w:w="2062"/>
            <w:vAlign w:val="center"/>
          </w:tcPr>
          <w:p>
            <w:r/>
            <w:r>
              <w:rPr>
                <w:b w:val="0"/>
                <w:sz w:val="15"/>
              </w:rPr>
              <w:t>Internal</w:t>
            </w:r>
          </w:p>
        </w:tc>
        <w:tc>
          <w:tcPr>
            <w:tcW w:type="dxa" w:w="2062"/>
            <w:vAlign w:val="center"/>
          </w:tcPr>
          <w:p>
            <w:r/>
            <w:r>
              <w:rPr>
                <w:b w:val="0"/>
                <w:sz w:val="15"/>
              </w:rPr>
              <w:t>Confidential</w:t>
            </w:r>
          </w:p>
        </w:tc>
        <w:tc>
          <w:tcPr>
            <w:tcW w:type="dxa" w:w="2062"/>
            <w:vAlign w:val="center"/>
          </w:tcPr>
          <w:p>
            <w:r/>
            <w:r>
              <w:rPr>
                <w:b w:val="0"/>
                <w:sz w:val="15"/>
              </w:rPr>
              <w:t>Restricted/high volume</w:t>
            </w:r>
          </w:p>
        </w:tc>
      </w:tr>
      <w:tr>
        <w:tc>
          <w:tcPr>
            <w:tcW w:type="dxa" w:w="2062"/>
            <w:vAlign w:val="center"/>
          </w:tcPr>
          <w:p>
            <w:r/>
            <w:r>
              <w:rPr>
                <w:b w:val="0"/>
                <w:sz w:val="15"/>
              </w:rPr>
              <w:t>Connectivity</w:t>
            </w:r>
          </w:p>
        </w:tc>
        <w:tc>
          <w:tcPr>
            <w:tcW w:type="dxa" w:w="2062"/>
            <w:vAlign w:val="center"/>
          </w:tcPr>
          <w:p>
            <w:r/>
            <w:r>
              <w:rPr>
                <w:b w:val="0"/>
                <w:sz w:val="15"/>
              </w:rPr>
              <w:t>None</w:t>
            </w:r>
          </w:p>
        </w:tc>
        <w:tc>
          <w:tcPr>
            <w:tcW w:type="dxa" w:w="2062"/>
            <w:vAlign w:val="center"/>
          </w:tcPr>
          <w:p>
            <w:r/>
            <w:r>
              <w:rPr>
                <w:b w:val="0"/>
                <w:sz w:val="15"/>
              </w:rPr>
              <w:t>Low-risk SaaS</w:t>
            </w:r>
          </w:p>
        </w:tc>
        <w:tc>
          <w:tcPr>
            <w:tcW w:type="dxa" w:w="2062"/>
            <w:vAlign w:val="center"/>
          </w:tcPr>
          <w:p>
            <w:r/>
            <w:r>
              <w:rPr>
                <w:b w:val="0"/>
                <w:sz w:val="15"/>
              </w:rPr>
              <w:t>System integration</w:t>
            </w:r>
          </w:p>
        </w:tc>
        <w:tc>
          <w:tcPr>
            <w:tcW w:type="dxa" w:w="2062"/>
            <w:vAlign w:val="center"/>
          </w:tcPr>
          <w:p>
            <w:r/>
            <w:r>
              <w:rPr>
                <w:b w:val="0"/>
                <w:sz w:val="15"/>
              </w:rPr>
              <w:t>Privileged/core connection</w:t>
            </w:r>
          </w:p>
        </w:tc>
      </w:tr>
      <w:tr>
        <w:tc>
          <w:tcPr>
            <w:tcW w:type="dxa" w:w="2062"/>
            <w:vAlign w:val="center"/>
          </w:tcPr>
          <w:p>
            <w:r/>
            <w:r>
              <w:rPr>
                <w:b w:val="0"/>
                <w:sz w:val="15"/>
              </w:rPr>
              <w:t>Substitutability</w:t>
            </w:r>
          </w:p>
        </w:tc>
        <w:tc>
          <w:tcPr>
            <w:tcW w:type="dxa" w:w="2062"/>
            <w:vAlign w:val="center"/>
          </w:tcPr>
          <w:p>
            <w:r/>
            <w:r>
              <w:rPr>
                <w:b w:val="0"/>
                <w:sz w:val="15"/>
              </w:rPr>
              <w:t>Easy</w:t>
            </w:r>
          </w:p>
        </w:tc>
        <w:tc>
          <w:tcPr>
            <w:tcW w:type="dxa" w:w="2062"/>
            <w:vAlign w:val="center"/>
          </w:tcPr>
          <w:p>
            <w:r/>
            <w:r>
              <w:rPr>
                <w:b w:val="0"/>
                <w:sz w:val="15"/>
              </w:rPr>
              <w:t>Weeks</w:t>
            </w:r>
          </w:p>
        </w:tc>
        <w:tc>
          <w:tcPr>
            <w:tcW w:type="dxa" w:w="2062"/>
            <w:vAlign w:val="center"/>
          </w:tcPr>
          <w:p>
            <w:r/>
            <w:r>
              <w:rPr>
                <w:b w:val="0"/>
                <w:sz w:val="15"/>
              </w:rPr>
              <w:t>Months</w:t>
            </w:r>
          </w:p>
        </w:tc>
        <w:tc>
          <w:tcPr>
            <w:tcW w:type="dxa" w:w="2062"/>
            <w:vAlign w:val="center"/>
          </w:tcPr>
          <w:p>
            <w:r/>
            <w:r>
              <w:rPr>
                <w:b w:val="0"/>
                <w:sz w:val="15"/>
              </w:rPr>
              <w:t>No practical short-term substitute</w:t>
            </w:r>
          </w:p>
        </w:tc>
      </w:tr>
      <w:tr>
        <w:tc>
          <w:tcPr>
            <w:tcW w:type="dxa" w:w="2062"/>
            <w:vAlign w:val="center"/>
          </w:tcPr>
          <w:p>
            <w:r/>
            <w:r>
              <w:rPr>
                <w:b w:val="0"/>
                <w:sz w:val="15"/>
              </w:rPr>
              <w:t>Financial/control impact</w:t>
            </w:r>
          </w:p>
        </w:tc>
        <w:tc>
          <w:tcPr>
            <w:tcW w:type="dxa" w:w="2062"/>
            <w:vAlign w:val="center"/>
          </w:tcPr>
          <w:p>
            <w:r/>
            <w:r>
              <w:rPr>
                <w:b w:val="0"/>
                <w:sz w:val="15"/>
              </w:rPr>
              <w:t>Low</w:t>
            </w:r>
          </w:p>
        </w:tc>
        <w:tc>
          <w:tcPr>
            <w:tcW w:type="dxa" w:w="2062"/>
            <w:vAlign w:val="center"/>
          </w:tcPr>
          <w:p>
            <w:r/>
            <w:r>
              <w:rPr>
                <w:b w:val="0"/>
                <w:sz w:val="15"/>
              </w:rPr>
              <w:t>Moderate</w:t>
            </w:r>
          </w:p>
        </w:tc>
        <w:tc>
          <w:tcPr>
            <w:tcW w:type="dxa" w:w="2062"/>
            <w:vAlign w:val="center"/>
          </w:tcPr>
          <w:p>
            <w:r/>
            <w:r>
              <w:rPr>
                <w:b w:val="0"/>
                <w:sz w:val="15"/>
              </w:rPr>
              <w:t>Material</w:t>
            </w:r>
          </w:p>
        </w:tc>
        <w:tc>
          <w:tcPr>
            <w:tcW w:type="dxa" w:w="2062"/>
            <w:vAlign w:val="center"/>
          </w:tcPr>
          <w:p>
            <w:r/>
            <w:r>
              <w:rPr>
                <w:b w:val="0"/>
                <w:sz w:val="15"/>
              </w:rPr>
              <w:t>Severe</w:t>
            </w:r>
          </w:p>
        </w:tc>
      </w:tr>
      <w:tr>
        <w:tc>
          <w:tcPr>
            <w:tcW w:type="dxa" w:w="2062"/>
            <w:vAlign w:val="center"/>
          </w:tcPr>
          <w:p>
            <w:r/>
            <w:r>
              <w:rPr>
                <w:b w:val="0"/>
                <w:sz w:val="15"/>
              </w:rPr>
              <w:t>Concentration</w:t>
            </w:r>
          </w:p>
        </w:tc>
        <w:tc>
          <w:tcPr>
            <w:tcW w:type="dxa" w:w="2062"/>
            <w:vAlign w:val="center"/>
          </w:tcPr>
          <w:p>
            <w:r/>
            <w:r>
              <w:rPr>
                <w:b w:val="0"/>
                <w:sz w:val="15"/>
              </w:rPr>
              <w:t>No dependency</w:t>
            </w:r>
          </w:p>
        </w:tc>
        <w:tc>
          <w:tcPr>
            <w:tcW w:type="dxa" w:w="2062"/>
            <w:vAlign w:val="center"/>
          </w:tcPr>
          <w:p>
            <w:r/>
            <w:r>
              <w:rPr>
                <w:b w:val="0"/>
                <w:sz w:val="15"/>
              </w:rPr>
              <w:t>Limited</w:t>
            </w:r>
          </w:p>
        </w:tc>
        <w:tc>
          <w:tcPr>
            <w:tcW w:type="dxa" w:w="2062"/>
            <w:vAlign w:val="center"/>
          </w:tcPr>
          <w:p>
            <w:r/>
            <w:r>
              <w:rPr>
                <w:b w:val="0"/>
                <w:sz w:val="15"/>
              </w:rPr>
              <w:t>Multiple services</w:t>
            </w:r>
          </w:p>
        </w:tc>
        <w:tc>
          <w:tcPr>
            <w:tcW w:type="dxa" w:w="2062"/>
            <w:vAlign w:val="center"/>
          </w:tcPr>
          <w:p>
            <w:r/>
            <w:r>
              <w:rPr>
                <w:b w:val="0"/>
                <w:sz w:val="15"/>
              </w:rPr>
              <w:t>Enterprise strategic dependency</w:t>
            </w:r>
          </w:p>
        </w:tc>
      </w:tr>
    </w:tbl>
    <w:p/>
    <w:p>
      <w:pPr>
        <w:pStyle w:val="Heading1"/>
      </w:pPr>
      <w:r>
        <w:t>Appendix B — Due Diligence Evidence</w:t>
      </w:r>
    </w:p>
    <w:p>
      <w:r>
        <w:t>Evidence should be current enough to support the decision.</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Domain</w:t>
            </w:r>
          </w:p>
        </w:tc>
        <w:tc>
          <w:tcPr>
            <w:tcW w:type="dxa" w:w="5155"/>
            <w:vAlign w:val="center"/>
            <w:shd w:fill="17365D"/>
          </w:tcPr>
          <w:p>
            <w:r/>
            <w:r>
              <w:rPr>
                <w:b/>
                <w:color w:val="FFFFFF"/>
                <w:sz w:val="15"/>
              </w:rPr>
              <w:t>Evidence Examples</w:t>
            </w:r>
          </w:p>
        </w:tc>
      </w:tr>
      <w:tr>
        <w:tc>
          <w:tcPr>
            <w:tcW w:type="dxa" w:w="5155"/>
            <w:vAlign w:val="center"/>
          </w:tcPr>
          <w:p>
            <w:r/>
            <w:r>
              <w:rPr>
                <w:b w:val="0"/>
                <w:sz w:val="15"/>
              </w:rPr>
              <w:t>Corporate</w:t>
            </w:r>
          </w:p>
        </w:tc>
        <w:tc>
          <w:tcPr>
            <w:tcW w:type="dxa" w:w="5155"/>
            <w:vAlign w:val="center"/>
          </w:tcPr>
          <w:p>
            <w:r/>
            <w:r>
              <w:rPr>
                <w:b w:val="0"/>
                <w:sz w:val="15"/>
              </w:rPr>
              <w:t>Ownership, management, litigation/adverse information where relevant</w:t>
            </w:r>
          </w:p>
        </w:tc>
      </w:tr>
      <w:tr>
        <w:tc>
          <w:tcPr>
            <w:tcW w:type="dxa" w:w="5155"/>
            <w:vAlign w:val="center"/>
          </w:tcPr>
          <w:p>
            <w:r/>
            <w:r>
              <w:rPr>
                <w:b w:val="0"/>
                <w:sz w:val="15"/>
              </w:rPr>
              <w:t>Financial</w:t>
            </w:r>
          </w:p>
        </w:tc>
        <w:tc>
          <w:tcPr>
            <w:tcW w:type="dxa" w:w="5155"/>
            <w:vAlign w:val="center"/>
          </w:tcPr>
          <w:p>
            <w:r/>
            <w:r>
              <w:rPr>
                <w:b w:val="0"/>
                <w:sz w:val="15"/>
              </w:rPr>
              <w:t>Statements, credit indicators, funding/resilience</w:t>
            </w:r>
          </w:p>
        </w:tc>
      </w:tr>
      <w:tr>
        <w:tc>
          <w:tcPr>
            <w:tcW w:type="dxa" w:w="5155"/>
            <w:vAlign w:val="center"/>
          </w:tcPr>
          <w:p>
            <w:r/>
            <w:r>
              <w:rPr>
                <w:b w:val="0"/>
                <w:sz w:val="15"/>
              </w:rPr>
              <w:t>Security</w:t>
            </w:r>
          </w:p>
        </w:tc>
        <w:tc>
          <w:tcPr>
            <w:tcW w:type="dxa" w:w="5155"/>
            <w:vAlign w:val="center"/>
          </w:tcPr>
          <w:p>
            <w:r/>
            <w:r>
              <w:rPr>
                <w:b w:val="0"/>
                <w:sz w:val="15"/>
              </w:rPr>
              <w:t>Policies, architecture, assurance reports, test summaries, incident history</w:t>
            </w:r>
          </w:p>
        </w:tc>
      </w:tr>
      <w:tr>
        <w:tc>
          <w:tcPr>
            <w:tcW w:type="dxa" w:w="5155"/>
            <w:vAlign w:val="center"/>
          </w:tcPr>
          <w:p>
            <w:r/>
            <w:r>
              <w:rPr>
                <w:b w:val="0"/>
                <w:sz w:val="15"/>
              </w:rPr>
              <w:t>Continuity</w:t>
            </w:r>
          </w:p>
        </w:tc>
        <w:tc>
          <w:tcPr>
            <w:tcW w:type="dxa" w:w="5155"/>
            <w:vAlign w:val="center"/>
          </w:tcPr>
          <w:p>
            <w:r/>
            <w:r>
              <w:rPr>
                <w:b w:val="0"/>
                <w:sz w:val="15"/>
              </w:rPr>
              <w:t>BCP/DR plans and test evidence</w:t>
            </w:r>
          </w:p>
        </w:tc>
      </w:tr>
      <w:tr>
        <w:tc>
          <w:tcPr>
            <w:tcW w:type="dxa" w:w="5155"/>
            <w:vAlign w:val="center"/>
          </w:tcPr>
          <w:p>
            <w:r/>
            <w:r>
              <w:rPr>
                <w:b w:val="0"/>
                <w:sz w:val="15"/>
              </w:rPr>
              <w:t>Data</w:t>
            </w:r>
          </w:p>
        </w:tc>
        <w:tc>
          <w:tcPr>
            <w:tcW w:type="dxa" w:w="5155"/>
            <w:vAlign w:val="center"/>
          </w:tcPr>
          <w:p>
            <w:r/>
            <w:r>
              <w:rPr>
                <w:b w:val="0"/>
                <w:sz w:val="15"/>
              </w:rPr>
              <w:t>Flow diagram, location, retention, deletion, subprocessors</w:t>
            </w:r>
          </w:p>
        </w:tc>
      </w:tr>
      <w:tr>
        <w:tc>
          <w:tcPr>
            <w:tcW w:type="dxa" w:w="5155"/>
            <w:vAlign w:val="center"/>
          </w:tcPr>
          <w:p>
            <w:r/>
            <w:r>
              <w:rPr>
                <w:b w:val="0"/>
                <w:sz w:val="15"/>
              </w:rPr>
              <w:t>Compliance</w:t>
            </w:r>
          </w:p>
        </w:tc>
        <w:tc>
          <w:tcPr>
            <w:tcW w:type="dxa" w:w="5155"/>
            <w:vAlign w:val="center"/>
          </w:tcPr>
          <w:p>
            <w:r/>
            <w:r>
              <w:rPr>
                <w:b w:val="0"/>
                <w:sz w:val="15"/>
              </w:rPr>
              <w:t>Training, complaints/conduct controls where applicable</w:t>
            </w:r>
          </w:p>
        </w:tc>
      </w:tr>
      <w:tr>
        <w:tc>
          <w:tcPr>
            <w:tcW w:type="dxa" w:w="5155"/>
            <w:vAlign w:val="center"/>
          </w:tcPr>
          <w:p>
            <w:r/>
            <w:r>
              <w:rPr>
                <w:b w:val="0"/>
                <w:sz w:val="15"/>
              </w:rPr>
              <w:t>Operations</w:t>
            </w:r>
          </w:p>
        </w:tc>
        <w:tc>
          <w:tcPr>
            <w:tcW w:type="dxa" w:w="5155"/>
            <w:vAlign w:val="center"/>
          </w:tcPr>
          <w:p>
            <w:r/>
            <w:r>
              <w:rPr>
                <w:b w:val="0"/>
                <w:sz w:val="15"/>
              </w:rPr>
              <w:t>Staffing, capacity, SLA, monitoring, change process</w:t>
            </w:r>
          </w:p>
        </w:tc>
      </w:tr>
    </w:tbl>
    <w:p/>
    <w:p>
      <w:pPr>
        <w:pStyle w:val="Heading1"/>
      </w:pPr>
      <w:r>
        <w:t>Appendix C — Contracting Checklist</w:t>
      </w:r>
    </w:p>
    <w:p>
      <w:r>
        <w:t>Use proportionately based on tier.</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Clause</w:t>
            </w:r>
          </w:p>
        </w:tc>
        <w:tc>
          <w:tcPr>
            <w:tcW w:type="dxa" w:w="5155"/>
            <w:vAlign w:val="center"/>
            <w:shd w:fill="17365D"/>
          </w:tcPr>
          <w:p>
            <w:r/>
            <w:r>
              <w:rPr>
                <w:b/>
                <w:color w:val="FFFFFF"/>
                <w:sz w:val="15"/>
              </w:rPr>
              <w:t>T1/T2 Expectation</w:t>
            </w:r>
          </w:p>
        </w:tc>
      </w:tr>
      <w:tr>
        <w:tc>
          <w:tcPr>
            <w:tcW w:type="dxa" w:w="5155"/>
            <w:vAlign w:val="center"/>
          </w:tcPr>
          <w:p>
            <w:r/>
            <w:r>
              <w:rPr>
                <w:b w:val="0"/>
                <w:sz w:val="15"/>
              </w:rPr>
              <w:t>Confidentiality</w:t>
            </w:r>
          </w:p>
        </w:tc>
        <w:tc>
          <w:tcPr>
            <w:tcW w:type="dxa" w:w="5155"/>
            <w:vAlign w:val="center"/>
          </w:tcPr>
          <w:p>
            <w:r/>
            <w:r>
              <w:rPr>
                <w:b w:val="0"/>
                <w:sz w:val="15"/>
              </w:rPr>
              <w:t>Detailed and survival after termination</w:t>
            </w:r>
          </w:p>
        </w:tc>
      </w:tr>
      <w:tr>
        <w:tc>
          <w:tcPr>
            <w:tcW w:type="dxa" w:w="5155"/>
            <w:vAlign w:val="center"/>
          </w:tcPr>
          <w:p>
            <w:r/>
            <w:r>
              <w:rPr>
                <w:b w:val="0"/>
                <w:sz w:val="15"/>
              </w:rPr>
              <w:t>Security standards</w:t>
            </w:r>
          </w:p>
        </w:tc>
        <w:tc>
          <w:tcPr>
            <w:tcW w:type="dxa" w:w="5155"/>
            <w:vAlign w:val="center"/>
          </w:tcPr>
          <w:p>
            <w:r/>
            <w:r>
              <w:rPr>
                <w:b w:val="0"/>
                <w:sz w:val="15"/>
              </w:rPr>
              <w:t>Contractual minimums and change notification</w:t>
            </w:r>
          </w:p>
        </w:tc>
      </w:tr>
      <w:tr>
        <w:tc>
          <w:tcPr>
            <w:tcW w:type="dxa" w:w="5155"/>
            <w:vAlign w:val="center"/>
          </w:tcPr>
          <w:p>
            <w:r/>
            <w:r>
              <w:rPr>
                <w:b w:val="0"/>
                <w:sz w:val="15"/>
              </w:rPr>
              <w:t>Incident notification</w:t>
            </w:r>
          </w:p>
        </w:tc>
        <w:tc>
          <w:tcPr>
            <w:tcW w:type="dxa" w:w="5155"/>
            <w:vAlign w:val="center"/>
          </w:tcPr>
          <w:p>
            <w:r/>
            <w:r>
              <w:rPr>
                <w:b w:val="0"/>
                <w:sz w:val="15"/>
              </w:rPr>
              <w:t>Target ≤4h for material Northstar-impacting incident</w:t>
            </w:r>
          </w:p>
        </w:tc>
      </w:tr>
      <w:tr>
        <w:tc>
          <w:tcPr>
            <w:tcW w:type="dxa" w:w="5155"/>
            <w:vAlign w:val="center"/>
          </w:tcPr>
          <w:p>
            <w:r/>
            <w:r>
              <w:rPr>
                <w:b w:val="0"/>
                <w:sz w:val="15"/>
              </w:rPr>
              <w:t>Audit/assurance</w:t>
            </w:r>
          </w:p>
        </w:tc>
        <w:tc>
          <w:tcPr>
            <w:tcW w:type="dxa" w:w="5155"/>
            <w:vAlign w:val="center"/>
          </w:tcPr>
          <w:p>
            <w:r/>
            <w:r>
              <w:rPr>
                <w:b w:val="0"/>
                <w:sz w:val="15"/>
              </w:rPr>
              <w:t>Evidence rights and remediation cooperation</w:t>
            </w:r>
          </w:p>
        </w:tc>
      </w:tr>
      <w:tr>
        <w:tc>
          <w:tcPr>
            <w:tcW w:type="dxa" w:w="5155"/>
            <w:vAlign w:val="center"/>
          </w:tcPr>
          <w:p>
            <w:r/>
            <w:r>
              <w:rPr>
                <w:b w:val="0"/>
                <w:sz w:val="15"/>
              </w:rPr>
              <w:t>Subprocessor</w:t>
            </w:r>
          </w:p>
        </w:tc>
        <w:tc>
          <w:tcPr>
            <w:tcW w:type="dxa" w:w="5155"/>
            <w:vAlign w:val="center"/>
          </w:tcPr>
          <w:p>
            <w:r/>
            <w:r>
              <w:rPr>
                <w:b w:val="0"/>
                <w:sz w:val="15"/>
              </w:rPr>
              <w:t>Disclosure/approval/flow-down obligations</w:t>
            </w:r>
          </w:p>
        </w:tc>
      </w:tr>
      <w:tr>
        <w:tc>
          <w:tcPr>
            <w:tcW w:type="dxa" w:w="5155"/>
            <w:vAlign w:val="center"/>
          </w:tcPr>
          <w:p>
            <w:r/>
            <w:r>
              <w:rPr>
                <w:b w:val="0"/>
                <w:sz w:val="15"/>
              </w:rPr>
              <w:t>BCP/DR</w:t>
            </w:r>
          </w:p>
        </w:tc>
        <w:tc>
          <w:tcPr>
            <w:tcW w:type="dxa" w:w="5155"/>
            <w:vAlign w:val="center"/>
          </w:tcPr>
          <w:p>
            <w:r/>
            <w:r>
              <w:rPr>
                <w:b w:val="0"/>
                <w:sz w:val="15"/>
              </w:rPr>
              <w:t>Recovery commitments and test cooperation</w:t>
            </w:r>
          </w:p>
        </w:tc>
      </w:tr>
      <w:tr>
        <w:tc>
          <w:tcPr>
            <w:tcW w:type="dxa" w:w="5155"/>
            <w:vAlign w:val="center"/>
          </w:tcPr>
          <w:p>
            <w:r/>
            <w:r>
              <w:rPr>
                <w:b w:val="0"/>
                <w:sz w:val="15"/>
              </w:rPr>
              <w:t>Data deletion</w:t>
            </w:r>
          </w:p>
        </w:tc>
        <w:tc>
          <w:tcPr>
            <w:tcW w:type="dxa" w:w="5155"/>
            <w:vAlign w:val="center"/>
          </w:tcPr>
          <w:p>
            <w:r/>
            <w:r>
              <w:rPr>
                <w:b w:val="0"/>
                <w:sz w:val="15"/>
              </w:rPr>
              <w:t>Return/deletion and evidence</w:t>
            </w:r>
          </w:p>
        </w:tc>
      </w:tr>
      <w:tr>
        <w:tc>
          <w:tcPr>
            <w:tcW w:type="dxa" w:w="5155"/>
            <w:vAlign w:val="center"/>
          </w:tcPr>
          <w:p>
            <w:r/>
            <w:r>
              <w:rPr>
                <w:b w:val="0"/>
                <w:sz w:val="15"/>
              </w:rPr>
              <w:t>Exit assistance</w:t>
            </w:r>
          </w:p>
        </w:tc>
        <w:tc>
          <w:tcPr>
            <w:tcW w:type="dxa" w:w="5155"/>
            <w:vAlign w:val="center"/>
          </w:tcPr>
          <w:p>
            <w:r/>
            <w:r>
              <w:rPr>
                <w:b w:val="0"/>
                <w:sz w:val="15"/>
              </w:rPr>
              <w:t>Transition support for critical service</w:t>
            </w:r>
          </w:p>
        </w:tc>
      </w:tr>
    </w:tbl>
    <w:p/>
    <w:p>
      <w:pPr>
        <w:pStyle w:val="Heading1"/>
      </w:pPr>
      <w:r>
        <w:t>Appendix D — Ongoing Monitoring Dashboard</w:t>
      </w:r>
    </w:p>
    <w:p>
      <w:r>
        <w:t>T1/T2 dashboards should include both service and risk.</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Measure</w:t>
            </w:r>
          </w:p>
        </w:tc>
        <w:tc>
          <w:tcPr>
            <w:tcW w:type="dxa" w:w="5155"/>
            <w:vAlign w:val="center"/>
            <w:shd w:fill="17365D"/>
          </w:tcPr>
          <w:p>
            <w:r/>
            <w:r>
              <w:rPr>
                <w:b/>
                <w:color w:val="FFFFFF"/>
                <w:sz w:val="15"/>
              </w:rPr>
              <w:t>Status / Threshold</w:t>
            </w:r>
          </w:p>
        </w:tc>
      </w:tr>
      <w:tr>
        <w:tc>
          <w:tcPr>
            <w:tcW w:type="dxa" w:w="5155"/>
            <w:vAlign w:val="center"/>
          </w:tcPr>
          <w:p>
            <w:r/>
            <w:r>
              <w:rPr>
                <w:b w:val="0"/>
                <w:sz w:val="15"/>
              </w:rPr>
              <w:t>Service SLA</w:t>
            </w:r>
          </w:p>
        </w:tc>
        <w:tc>
          <w:tcPr>
            <w:tcW w:type="dxa" w:w="5155"/>
            <w:vAlign w:val="center"/>
          </w:tcPr>
          <w:p>
            <w:r/>
            <w:r>
              <w:rPr>
                <w:b w:val="0"/>
                <w:sz w:val="15"/>
              </w:rPr>
              <w:t>Monthly trend and material misses</w:t>
            </w:r>
          </w:p>
        </w:tc>
      </w:tr>
      <w:tr>
        <w:tc>
          <w:tcPr>
            <w:tcW w:type="dxa" w:w="5155"/>
            <w:vAlign w:val="center"/>
          </w:tcPr>
          <w:p>
            <w:r/>
            <w:r>
              <w:rPr>
                <w:b w:val="0"/>
                <w:sz w:val="15"/>
              </w:rPr>
              <w:t>Open High findings</w:t>
            </w:r>
          </w:p>
        </w:tc>
        <w:tc>
          <w:tcPr>
            <w:tcW w:type="dxa" w:w="5155"/>
            <w:vAlign w:val="center"/>
          </w:tcPr>
          <w:p>
            <w:r/>
            <w:r>
              <w:rPr>
                <w:b w:val="0"/>
                <w:sz w:val="15"/>
              </w:rPr>
              <w:t>Count, age, target date</w:t>
            </w:r>
          </w:p>
        </w:tc>
      </w:tr>
      <w:tr>
        <w:tc>
          <w:tcPr>
            <w:tcW w:type="dxa" w:w="5155"/>
            <w:vAlign w:val="center"/>
          </w:tcPr>
          <w:p>
            <w:r/>
            <w:r>
              <w:rPr>
                <w:b w:val="0"/>
                <w:sz w:val="15"/>
              </w:rPr>
              <w:t>Security incidents</w:t>
            </w:r>
          </w:p>
        </w:tc>
        <w:tc>
          <w:tcPr>
            <w:tcW w:type="dxa" w:w="5155"/>
            <w:vAlign w:val="center"/>
          </w:tcPr>
          <w:p>
            <w:r/>
            <w:r>
              <w:rPr>
                <w:b w:val="0"/>
                <w:sz w:val="15"/>
              </w:rPr>
              <w:t>Count/severity and recurrence</w:t>
            </w:r>
          </w:p>
        </w:tc>
      </w:tr>
      <w:tr>
        <w:tc>
          <w:tcPr>
            <w:tcW w:type="dxa" w:w="5155"/>
            <w:vAlign w:val="center"/>
          </w:tcPr>
          <w:p>
            <w:r/>
            <w:r>
              <w:rPr>
                <w:b w:val="0"/>
                <w:sz w:val="15"/>
              </w:rPr>
              <w:t>Access exceptions</w:t>
            </w:r>
          </w:p>
        </w:tc>
        <w:tc>
          <w:tcPr>
            <w:tcW w:type="dxa" w:w="5155"/>
            <w:vAlign w:val="center"/>
          </w:tcPr>
          <w:p>
            <w:r/>
            <w:r>
              <w:rPr>
                <w:b w:val="0"/>
                <w:sz w:val="15"/>
              </w:rPr>
              <w:t>Privileged/vendor access outside standard</w:t>
            </w:r>
          </w:p>
        </w:tc>
      </w:tr>
      <w:tr>
        <w:tc>
          <w:tcPr>
            <w:tcW w:type="dxa" w:w="5155"/>
            <w:vAlign w:val="center"/>
          </w:tcPr>
          <w:p>
            <w:r/>
            <w:r>
              <w:rPr>
                <w:b w:val="0"/>
                <w:sz w:val="15"/>
              </w:rPr>
              <w:t>Reassessment</w:t>
            </w:r>
          </w:p>
        </w:tc>
        <w:tc>
          <w:tcPr>
            <w:tcW w:type="dxa" w:w="5155"/>
            <w:vAlign w:val="center"/>
          </w:tcPr>
          <w:p>
            <w:r/>
            <w:r>
              <w:rPr>
                <w:b w:val="0"/>
                <w:sz w:val="15"/>
              </w:rPr>
              <w:t>Due/overdue</w:t>
            </w:r>
          </w:p>
        </w:tc>
      </w:tr>
      <w:tr>
        <w:tc>
          <w:tcPr>
            <w:tcW w:type="dxa" w:w="5155"/>
            <w:vAlign w:val="center"/>
          </w:tcPr>
          <w:p>
            <w:r/>
            <w:r>
              <w:rPr>
                <w:b w:val="0"/>
                <w:sz w:val="15"/>
              </w:rPr>
              <w:t>Financial resilience</w:t>
            </w:r>
          </w:p>
        </w:tc>
        <w:tc>
          <w:tcPr>
            <w:tcW w:type="dxa" w:w="5155"/>
            <w:vAlign w:val="center"/>
          </w:tcPr>
          <w:p>
            <w:r/>
            <w:r>
              <w:rPr>
                <w:b w:val="0"/>
                <w:sz w:val="15"/>
              </w:rPr>
              <w:t>Current concern / no concern</w:t>
            </w:r>
          </w:p>
        </w:tc>
      </w:tr>
      <w:tr>
        <w:tc>
          <w:tcPr>
            <w:tcW w:type="dxa" w:w="5155"/>
            <w:vAlign w:val="center"/>
          </w:tcPr>
          <w:p>
            <w:r/>
            <w:r>
              <w:rPr>
                <w:b w:val="0"/>
                <w:sz w:val="15"/>
              </w:rPr>
              <w:t>Subprocessor changes</w:t>
            </w:r>
          </w:p>
        </w:tc>
        <w:tc>
          <w:tcPr>
            <w:tcW w:type="dxa" w:w="5155"/>
            <w:vAlign w:val="center"/>
          </w:tcPr>
          <w:p>
            <w:r/>
            <w:r>
              <w:rPr>
                <w:b w:val="0"/>
                <w:sz w:val="15"/>
              </w:rPr>
              <w:t>Approved/pending</w:t>
            </w:r>
          </w:p>
        </w:tc>
      </w:tr>
      <w:tr>
        <w:tc>
          <w:tcPr>
            <w:tcW w:type="dxa" w:w="5155"/>
            <w:vAlign w:val="center"/>
          </w:tcPr>
          <w:p>
            <w:r/>
            <w:r>
              <w:rPr>
                <w:b w:val="0"/>
                <w:sz w:val="15"/>
              </w:rPr>
              <w:t>Exit readiness</w:t>
            </w:r>
          </w:p>
        </w:tc>
        <w:tc>
          <w:tcPr>
            <w:tcW w:type="dxa" w:w="5155"/>
            <w:vAlign w:val="center"/>
          </w:tcPr>
          <w:p>
            <w:r/>
            <w:r>
              <w:rPr>
                <w:b w:val="0"/>
                <w:sz w:val="15"/>
              </w:rPr>
              <w:t>Plan current / gaps</w:t>
            </w:r>
          </w:p>
        </w:tc>
      </w:tr>
    </w:tbl>
    <w:p/>
    <w:p>
      <w:pPr>
        <w:pStyle w:val="Heading1"/>
      </w:pPr>
      <w:r>
        <w:t>Appendix E — Vendor Edge Cases</w:t>
      </w:r>
    </w:p>
    <w:p>
      <w:r>
        <w:t>These examples show how criticality differs from spend.</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Scenario</w:t>
            </w:r>
          </w:p>
        </w:tc>
        <w:tc>
          <w:tcPr>
            <w:tcW w:type="dxa" w:w="5155"/>
            <w:vAlign w:val="center"/>
            <w:shd w:fill="17365D"/>
          </w:tcPr>
          <w:p>
            <w:r/>
            <w:r>
              <w:rPr>
                <w:b/>
                <w:color w:val="FFFFFF"/>
                <w:sz w:val="15"/>
              </w:rPr>
              <w:t>Treatment</w:t>
            </w:r>
          </w:p>
        </w:tc>
      </w:tr>
      <w:tr>
        <w:tc>
          <w:tcPr>
            <w:tcW w:type="dxa" w:w="5155"/>
            <w:vAlign w:val="center"/>
          </w:tcPr>
          <w:p>
            <w:r/>
            <w:r>
              <w:rPr>
                <w:b w:val="0"/>
                <w:sz w:val="15"/>
              </w:rPr>
              <w:t>₹5 lakh niche tool with production admin access</w:t>
            </w:r>
          </w:p>
        </w:tc>
        <w:tc>
          <w:tcPr>
            <w:tcW w:type="dxa" w:w="5155"/>
            <w:vAlign w:val="center"/>
          </w:tcPr>
          <w:p>
            <w:r/>
            <w:r>
              <w:rPr>
                <w:b w:val="0"/>
                <w:sz w:val="15"/>
              </w:rPr>
              <w:t>Likely T2 or T1 depending impact; spend does not reduce access risk.</w:t>
            </w:r>
          </w:p>
        </w:tc>
      </w:tr>
      <w:tr>
        <w:tc>
          <w:tcPr>
            <w:tcW w:type="dxa" w:w="5155"/>
            <w:vAlign w:val="center"/>
          </w:tcPr>
          <w:p>
            <w:r/>
            <w:r>
              <w:rPr>
                <w:b w:val="0"/>
                <w:sz w:val="15"/>
              </w:rPr>
              <w:t>₹2 crore office-facility vendor with no system/data access</w:t>
            </w:r>
          </w:p>
        </w:tc>
        <w:tc>
          <w:tcPr>
            <w:tcW w:type="dxa" w:w="5155"/>
            <w:vAlign w:val="center"/>
          </w:tcPr>
          <w:p>
            <w:r/>
            <w:r>
              <w:rPr>
                <w:b w:val="0"/>
                <w:sz w:val="15"/>
              </w:rPr>
              <w:t>Could be T3/T4 depending operational dependency.</w:t>
            </w:r>
          </w:p>
        </w:tc>
      </w:tr>
      <w:tr>
        <w:tc>
          <w:tcPr>
            <w:tcW w:type="dxa" w:w="5155"/>
            <w:vAlign w:val="center"/>
          </w:tcPr>
          <w:p>
            <w:r/>
            <w:r>
              <w:rPr>
                <w:b w:val="0"/>
                <w:sz w:val="15"/>
              </w:rPr>
              <w:t>Cloud provider has strong assurance but no contractual incident notice</w:t>
            </w:r>
          </w:p>
        </w:tc>
        <w:tc>
          <w:tcPr>
            <w:tcW w:type="dxa" w:w="5155"/>
            <w:vAlign w:val="center"/>
          </w:tcPr>
          <w:p>
            <w:r/>
            <w:r>
              <w:rPr>
                <w:b w:val="0"/>
                <w:sz w:val="15"/>
              </w:rPr>
              <w:t>Control gap remains; assurance report does not replace contract requirement.</w:t>
            </w:r>
          </w:p>
        </w:tc>
      </w:tr>
      <w:tr>
        <w:tc>
          <w:tcPr>
            <w:tcW w:type="dxa" w:w="5155"/>
            <w:vAlign w:val="center"/>
          </w:tcPr>
          <w:p>
            <w:r/>
            <w:r>
              <w:rPr>
                <w:b w:val="0"/>
                <w:sz w:val="15"/>
              </w:rPr>
              <w:t>Vendor uses critical subprocessor not disclosed at onboarding</w:t>
            </w:r>
          </w:p>
        </w:tc>
        <w:tc>
          <w:tcPr>
            <w:tcW w:type="dxa" w:w="5155"/>
            <w:vAlign w:val="center"/>
          </w:tcPr>
          <w:p>
            <w:r/>
            <w:r>
              <w:rPr>
                <w:b w:val="0"/>
                <w:sz w:val="15"/>
              </w:rPr>
              <w:t>Trigger reassessment; consider access/service restriction until risk understood.</w:t>
            </w:r>
          </w:p>
        </w:tc>
      </w:tr>
      <w:tr>
        <w:tc>
          <w:tcPr>
            <w:tcW w:type="dxa" w:w="5155"/>
            <w:vAlign w:val="center"/>
          </w:tcPr>
          <w:p>
            <w:r/>
            <w:r>
              <w:rPr>
                <w:b w:val="0"/>
                <w:sz w:val="15"/>
              </w:rPr>
              <w:t>Emergency cyber-response vendor needs temporary access</w:t>
            </w:r>
          </w:p>
        </w:tc>
        <w:tc>
          <w:tcPr>
            <w:tcW w:type="dxa" w:w="5155"/>
            <w:vAlign w:val="center"/>
          </w:tcPr>
          <w:p>
            <w:r/>
            <w:r>
              <w:rPr>
                <w:b w:val="0"/>
                <w:sz w:val="15"/>
              </w:rPr>
              <w:t>Emergency engagement + time-bound ACS access + post-event due diligence.</w:t>
            </w:r>
          </w:p>
        </w:tc>
      </w:tr>
    </w:tbl>
    <w:p/>
    <w:p>
      <w:r>
        <w:br w:type="page"/>
      </w:r>
    </w:p>
    <w:p>
      <w:pPr>
        <w:pStyle w:val="Heading1"/>
      </w:pPr>
      <w:r>
        <w:t>Appendix F — Vendor Intake Questionnaire</w:t>
      </w:r>
    </w:p>
    <w:p>
      <w:r>
        <w:t>Business owners shall provide enough information to determine tier and required specialist reviews.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Question</w:t>
            </w:r>
          </w:p>
        </w:tc>
        <w:tc>
          <w:tcPr>
            <w:tcW w:type="dxa" w:w="5155"/>
            <w:vAlign w:val="center"/>
            <w:shd w:fill="17365D"/>
          </w:tcPr>
          <w:p>
            <w:r/>
            <w:r>
              <w:rPr>
                <w:b/>
                <w:color w:val="FFFFFF"/>
                <w:sz w:val="15"/>
              </w:rPr>
              <w:t>Required Detail</w:t>
            </w:r>
          </w:p>
        </w:tc>
      </w:tr>
      <w:tr>
        <w:tc>
          <w:tcPr>
            <w:tcW w:type="dxa" w:w="5155"/>
            <w:vAlign w:val="center"/>
          </w:tcPr>
          <w:p>
            <w:r/>
            <w:r>
              <w:rPr>
                <w:b w:val="0"/>
                <w:sz w:val="14"/>
              </w:rPr>
              <w:t>Service description</w:t>
            </w:r>
          </w:p>
        </w:tc>
        <w:tc>
          <w:tcPr>
            <w:tcW w:type="dxa" w:w="5155"/>
            <w:vAlign w:val="center"/>
          </w:tcPr>
          <w:p>
            <w:r/>
            <w:r>
              <w:rPr>
                <w:b w:val="0"/>
                <w:sz w:val="14"/>
              </w:rPr>
              <w:t>What the vendor will do and business process supported</w:t>
            </w:r>
          </w:p>
        </w:tc>
      </w:tr>
      <w:tr>
        <w:tc>
          <w:tcPr>
            <w:tcW w:type="dxa" w:w="5155"/>
            <w:vAlign w:val="center"/>
          </w:tcPr>
          <w:p>
            <w:r/>
            <w:r>
              <w:rPr>
                <w:b w:val="0"/>
                <w:sz w:val="14"/>
              </w:rPr>
              <w:t>Customer interaction</w:t>
            </w:r>
          </w:p>
        </w:tc>
        <w:tc>
          <w:tcPr>
            <w:tcW w:type="dxa" w:w="5155"/>
            <w:vAlign w:val="center"/>
          </w:tcPr>
          <w:p>
            <w:r/>
            <w:r>
              <w:rPr>
                <w:b w:val="0"/>
                <w:sz w:val="14"/>
              </w:rPr>
              <w:t>Direct/indirect customer contact</w:t>
            </w:r>
          </w:p>
        </w:tc>
      </w:tr>
      <w:tr>
        <w:tc>
          <w:tcPr>
            <w:tcW w:type="dxa" w:w="5155"/>
            <w:vAlign w:val="center"/>
          </w:tcPr>
          <w:p>
            <w:r/>
            <w:r>
              <w:rPr>
                <w:b w:val="0"/>
                <w:sz w:val="14"/>
              </w:rPr>
              <w:t>Data</w:t>
            </w:r>
          </w:p>
        </w:tc>
        <w:tc>
          <w:tcPr>
            <w:tcW w:type="dxa" w:w="5155"/>
            <w:vAlign w:val="center"/>
          </w:tcPr>
          <w:p>
            <w:r/>
            <w:r>
              <w:rPr>
                <w:b w:val="0"/>
                <w:sz w:val="14"/>
              </w:rPr>
              <w:t>Types, classification, volume, retention</w:t>
            </w:r>
          </w:p>
        </w:tc>
      </w:tr>
      <w:tr>
        <w:tc>
          <w:tcPr>
            <w:tcW w:type="dxa" w:w="5155"/>
            <w:vAlign w:val="center"/>
          </w:tcPr>
          <w:p>
            <w:r/>
            <w:r>
              <w:rPr>
                <w:b w:val="0"/>
                <w:sz w:val="14"/>
              </w:rPr>
              <w:t>Connectivity</w:t>
            </w:r>
          </w:p>
        </w:tc>
        <w:tc>
          <w:tcPr>
            <w:tcW w:type="dxa" w:w="5155"/>
            <w:vAlign w:val="center"/>
          </w:tcPr>
          <w:p>
            <w:r/>
            <w:r>
              <w:rPr>
                <w:b w:val="0"/>
                <w:sz w:val="14"/>
              </w:rPr>
              <w:t>APIs, VPN, SSO, privileged support</w:t>
            </w:r>
          </w:p>
        </w:tc>
      </w:tr>
      <w:tr>
        <w:tc>
          <w:tcPr>
            <w:tcW w:type="dxa" w:w="5155"/>
            <w:vAlign w:val="center"/>
          </w:tcPr>
          <w:p>
            <w:r/>
            <w:r>
              <w:rPr>
                <w:b w:val="0"/>
                <w:sz w:val="14"/>
              </w:rPr>
              <w:t>Locations</w:t>
            </w:r>
          </w:p>
        </w:tc>
        <w:tc>
          <w:tcPr>
            <w:tcW w:type="dxa" w:w="5155"/>
            <w:vAlign w:val="center"/>
          </w:tcPr>
          <w:p>
            <w:r/>
            <w:r>
              <w:rPr>
                <w:b w:val="0"/>
                <w:sz w:val="14"/>
              </w:rPr>
              <w:t>Service/data/operations locations</w:t>
            </w:r>
          </w:p>
        </w:tc>
      </w:tr>
      <w:tr>
        <w:tc>
          <w:tcPr>
            <w:tcW w:type="dxa" w:w="5155"/>
            <w:vAlign w:val="center"/>
          </w:tcPr>
          <w:p>
            <w:r/>
            <w:r>
              <w:rPr>
                <w:b w:val="0"/>
                <w:sz w:val="14"/>
              </w:rPr>
              <w:t>Subprocessors</w:t>
            </w:r>
          </w:p>
        </w:tc>
        <w:tc>
          <w:tcPr>
            <w:tcW w:type="dxa" w:w="5155"/>
            <w:vAlign w:val="center"/>
          </w:tcPr>
          <w:p>
            <w:r/>
            <w:r>
              <w:rPr>
                <w:b w:val="0"/>
                <w:sz w:val="14"/>
              </w:rPr>
              <w:t>Material fourth parties</w:t>
            </w:r>
          </w:p>
        </w:tc>
      </w:tr>
      <w:tr>
        <w:tc>
          <w:tcPr>
            <w:tcW w:type="dxa" w:w="5155"/>
            <w:vAlign w:val="center"/>
          </w:tcPr>
          <w:p>
            <w:r/>
            <w:r>
              <w:rPr>
                <w:b w:val="0"/>
                <w:sz w:val="14"/>
              </w:rPr>
              <w:t>Continuity</w:t>
            </w:r>
          </w:p>
        </w:tc>
        <w:tc>
          <w:tcPr>
            <w:tcW w:type="dxa" w:w="5155"/>
            <w:vAlign w:val="center"/>
          </w:tcPr>
          <w:p>
            <w:r/>
            <w:r>
              <w:rPr>
                <w:b w:val="0"/>
                <w:sz w:val="14"/>
              </w:rPr>
              <w:t>Maximum tolerable interruption / alternatives</w:t>
            </w:r>
          </w:p>
        </w:tc>
      </w:tr>
      <w:tr>
        <w:tc>
          <w:tcPr>
            <w:tcW w:type="dxa" w:w="5155"/>
            <w:vAlign w:val="center"/>
          </w:tcPr>
          <w:p>
            <w:r/>
            <w:r>
              <w:rPr>
                <w:b w:val="0"/>
                <w:sz w:val="14"/>
              </w:rPr>
              <w:t>Contract value</w:t>
            </w:r>
          </w:p>
        </w:tc>
        <w:tc>
          <w:tcPr>
            <w:tcW w:type="dxa" w:w="5155"/>
            <w:vAlign w:val="center"/>
          </w:tcPr>
          <w:p>
            <w:r/>
            <w:r>
              <w:rPr>
                <w:b w:val="0"/>
                <w:sz w:val="14"/>
              </w:rPr>
              <w:t>Commercial exposure, but not sole tier driver</w:t>
            </w:r>
          </w:p>
        </w:tc>
      </w:tr>
      <w:tr>
        <w:tc>
          <w:tcPr>
            <w:tcW w:type="dxa" w:w="5155"/>
            <w:vAlign w:val="center"/>
          </w:tcPr>
          <w:p>
            <w:r/>
            <w:r>
              <w:rPr>
                <w:b w:val="0"/>
                <w:sz w:val="14"/>
              </w:rPr>
              <w:t>Go-live date</w:t>
            </w:r>
          </w:p>
        </w:tc>
        <w:tc>
          <w:tcPr>
            <w:tcW w:type="dxa" w:w="5155"/>
            <w:vAlign w:val="center"/>
          </w:tcPr>
          <w:p>
            <w:r/>
            <w:r>
              <w:rPr>
                <w:b w:val="0"/>
                <w:sz w:val="14"/>
              </w:rPr>
              <w:t>Planned timing and dependency</w:t>
            </w:r>
          </w:p>
        </w:tc>
      </w:tr>
      <w:tr>
        <w:tc>
          <w:tcPr>
            <w:tcW w:type="dxa" w:w="5155"/>
            <w:vAlign w:val="center"/>
          </w:tcPr>
          <w:p>
            <w:r/>
            <w:r>
              <w:rPr>
                <w:b w:val="0"/>
                <w:sz w:val="14"/>
              </w:rPr>
              <w:t>Exit</w:t>
            </w:r>
          </w:p>
        </w:tc>
        <w:tc>
          <w:tcPr>
            <w:tcW w:type="dxa" w:w="5155"/>
            <w:vAlign w:val="center"/>
          </w:tcPr>
          <w:p>
            <w:r/>
            <w:r>
              <w:rPr>
                <w:b w:val="0"/>
                <w:sz w:val="14"/>
              </w:rPr>
              <w:t>How service/data/access can be transitioned</w:t>
            </w:r>
          </w:p>
        </w:tc>
      </w:tr>
    </w:tbl>
    <w:p/>
    <w:p>
      <w:r>
        <w:br w:type="page"/>
      </w:r>
    </w:p>
    <w:p>
      <w:pPr>
        <w:pStyle w:val="Heading1"/>
      </w:pPr>
      <w:r>
        <w:t>Appendix G — Security Assessment Topics</w:t>
      </w:r>
    </w:p>
    <w:p>
      <w:r>
        <w:t>Security review depth shall match vendor tier and access.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Domain</w:t>
            </w:r>
          </w:p>
        </w:tc>
        <w:tc>
          <w:tcPr>
            <w:tcW w:type="dxa" w:w="5155"/>
            <w:vAlign w:val="center"/>
            <w:shd w:fill="17365D"/>
          </w:tcPr>
          <w:p>
            <w:r/>
            <w:r>
              <w:rPr>
                <w:b/>
                <w:color w:val="FFFFFF"/>
                <w:sz w:val="15"/>
              </w:rPr>
              <w:t>Questions</w:t>
            </w:r>
          </w:p>
        </w:tc>
      </w:tr>
      <w:tr>
        <w:tc>
          <w:tcPr>
            <w:tcW w:type="dxa" w:w="5155"/>
            <w:vAlign w:val="center"/>
          </w:tcPr>
          <w:p>
            <w:r/>
            <w:r>
              <w:rPr>
                <w:b w:val="0"/>
                <w:sz w:val="14"/>
              </w:rPr>
              <w:t>Identity</w:t>
            </w:r>
          </w:p>
        </w:tc>
        <w:tc>
          <w:tcPr>
            <w:tcW w:type="dxa" w:w="5155"/>
            <w:vAlign w:val="center"/>
          </w:tcPr>
          <w:p>
            <w:r/>
            <w:r>
              <w:rPr>
                <w:b w:val="0"/>
                <w:sz w:val="14"/>
              </w:rPr>
              <w:t>MFA, privileged access, joiner/mover/leaver</w:t>
            </w:r>
          </w:p>
        </w:tc>
      </w:tr>
      <w:tr>
        <w:tc>
          <w:tcPr>
            <w:tcW w:type="dxa" w:w="5155"/>
            <w:vAlign w:val="center"/>
          </w:tcPr>
          <w:p>
            <w:r/>
            <w:r>
              <w:rPr>
                <w:b w:val="0"/>
                <w:sz w:val="14"/>
              </w:rPr>
              <w:t>Encryption</w:t>
            </w:r>
          </w:p>
        </w:tc>
        <w:tc>
          <w:tcPr>
            <w:tcW w:type="dxa" w:w="5155"/>
            <w:vAlign w:val="center"/>
          </w:tcPr>
          <w:p>
            <w:r/>
            <w:r>
              <w:rPr>
                <w:b w:val="0"/>
                <w:sz w:val="14"/>
              </w:rPr>
              <w:t>Data in transit/at rest and key management</w:t>
            </w:r>
          </w:p>
        </w:tc>
      </w:tr>
      <w:tr>
        <w:tc>
          <w:tcPr>
            <w:tcW w:type="dxa" w:w="5155"/>
            <w:vAlign w:val="center"/>
          </w:tcPr>
          <w:p>
            <w:r/>
            <w:r>
              <w:rPr>
                <w:b w:val="0"/>
                <w:sz w:val="14"/>
              </w:rPr>
              <w:t>Vulnerability</w:t>
            </w:r>
          </w:p>
        </w:tc>
        <w:tc>
          <w:tcPr>
            <w:tcW w:type="dxa" w:w="5155"/>
            <w:vAlign w:val="center"/>
          </w:tcPr>
          <w:p>
            <w:r/>
            <w:r>
              <w:rPr>
                <w:b w:val="0"/>
                <w:sz w:val="14"/>
              </w:rPr>
              <w:t>Scanning, patch targets, penetration testing</w:t>
            </w:r>
          </w:p>
        </w:tc>
      </w:tr>
      <w:tr>
        <w:tc>
          <w:tcPr>
            <w:tcW w:type="dxa" w:w="5155"/>
            <w:vAlign w:val="center"/>
          </w:tcPr>
          <w:p>
            <w:r/>
            <w:r>
              <w:rPr>
                <w:b w:val="0"/>
                <w:sz w:val="14"/>
              </w:rPr>
              <w:t>Logging</w:t>
            </w:r>
          </w:p>
        </w:tc>
        <w:tc>
          <w:tcPr>
            <w:tcW w:type="dxa" w:w="5155"/>
            <w:vAlign w:val="center"/>
          </w:tcPr>
          <w:p>
            <w:r/>
            <w:r>
              <w:rPr>
                <w:b w:val="0"/>
                <w:sz w:val="14"/>
              </w:rPr>
              <w:t>Security logs and incident investigation support</w:t>
            </w:r>
          </w:p>
        </w:tc>
      </w:tr>
      <w:tr>
        <w:tc>
          <w:tcPr>
            <w:tcW w:type="dxa" w:w="5155"/>
            <w:vAlign w:val="center"/>
          </w:tcPr>
          <w:p>
            <w:r/>
            <w:r>
              <w:rPr>
                <w:b w:val="0"/>
                <w:sz w:val="14"/>
              </w:rPr>
              <w:t>Cloud</w:t>
            </w:r>
          </w:p>
        </w:tc>
        <w:tc>
          <w:tcPr>
            <w:tcW w:type="dxa" w:w="5155"/>
            <w:vAlign w:val="center"/>
          </w:tcPr>
          <w:p>
            <w:r/>
            <w:r>
              <w:rPr>
                <w:b w:val="0"/>
                <w:sz w:val="14"/>
              </w:rPr>
              <w:t>Tenant isolation, provider controls, public exposure prevention</w:t>
            </w:r>
          </w:p>
        </w:tc>
      </w:tr>
      <w:tr>
        <w:tc>
          <w:tcPr>
            <w:tcW w:type="dxa" w:w="5155"/>
            <w:vAlign w:val="center"/>
          </w:tcPr>
          <w:p>
            <w:r/>
            <w:r>
              <w:rPr>
                <w:b w:val="0"/>
                <w:sz w:val="14"/>
              </w:rPr>
              <w:t>Data</w:t>
            </w:r>
          </w:p>
        </w:tc>
        <w:tc>
          <w:tcPr>
            <w:tcW w:type="dxa" w:w="5155"/>
            <w:vAlign w:val="center"/>
          </w:tcPr>
          <w:p>
            <w:r/>
            <w:r>
              <w:rPr>
                <w:b w:val="0"/>
                <w:sz w:val="14"/>
              </w:rPr>
              <w:t>Segregation, retention, deletion, backups</w:t>
            </w:r>
          </w:p>
        </w:tc>
      </w:tr>
      <w:tr>
        <w:tc>
          <w:tcPr>
            <w:tcW w:type="dxa" w:w="5155"/>
            <w:vAlign w:val="center"/>
          </w:tcPr>
          <w:p>
            <w:r/>
            <w:r>
              <w:rPr>
                <w:b w:val="0"/>
                <w:sz w:val="14"/>
              </w:rPr>
              <w:t>Incident</w:t>
            </w:r>
          </w:p>
        </w:tc>
        <w:tc>
          <w:tcPr>
            <w:tcW w:type="dxa" w:w="5155"/>
            <w:vAlign w:val="center"/>
          </w:tcPr>
          <w:p>
            <w:r/>
            <w:r>
              <w:rPr>
                <w:b w:val="0"/>
                <w:sz w:val="14"/>
              </w:rPr>
              <w:t>Detection, response, notification and evidence</w:t>
            </w:r>
          </w:p>
        </w:tc>
      </w:tr>
      <w:tr>
        <w:tc>
          <w:tcPr>
            <w:tcW w:type="dxa" w:w="5155"/>
            <w:vAlign w:val="center"/>
          </w:tcPr>
          <w:p>
            <w:r/>
            <w:r>
              <w:rPr>
                <w:b w:val="0"/>
                <w:sz w:val="14"/>
              </w:rPr>
              <w:t>Personnel</w:t>
            </w:r>
          </w:p>
        </w:tc>
        <w:tc>
          <w:tcPr>
            <w:tcW w:type="dxa" w:w="5155"/>
            <w:vAlign w:val="center"/>
          </w:tcPr>
          <w:p>
            <w:r/>
            <w:r>
              <w:rPr>
                <w:b w:val="0"/>
                <w:sz w:val="14"/>
              </w:rPr>
              <w:t>Screening, confidentiality and access termination</w:t>
            </w:r>
          </w:p>
        </w:tc>
      </w:tr>
      <w:tr>
        <w:tc>
          <w:tcPr>
            <w:tcW w:type="dxa" w:w="5155"/>
            <w:vAlign w:val="center"/>
          </w:tcPr>
          <w:p>
            <w:r/>
            <w:r>
              <w:rPr>
                <w:b w:val="0"/>
                <w:sz w:val="14"/>
              </w:rPr>
              <w:t>Assurance</w:t>
            </w:r>
          </w:p>
        </w:tc>
        <w:tc>
          <w:tcPr>
            <w:tcW w:type="dxa" w:w="5155"/>
            <w:vAlign w:val="center"/>
          </w:tcPr>
          <w:p>
            <w:r/>
            <w:r>
              <w:rPr>
                <w:b w:val="0"/>
                <w:sz w:val="14"/>
              </w:rPr>
              <w:t>Independent reports/certifications/test summaries</w:t>
            </w:r>
          </w:p>
        </w:tc>
      </w:tr>
      <w:tr>
        <w:tc>
          <w:tcPr>
            <w:tcW w:type="dxa" w:w="5155"/>
            <w:vAlign w:val="center"/>
          </w:tcPr>
          <w:p>
            <w:r/>
            <w:r>
              <w:rPr>
                <w:b w:val="0"/>
                <w:sz w:val="14"/>
              </w:rPr>
              <w:t>Subprocessors</w:t>
            </w:r>
          </w:p>
        </w:tc>
        <w:tc>
          <w:tcPr>
            <w:tcW w:type="dxa" w:w="5155"/>
            <w:vAlign w:val="center"/>
          </w:tcPr>
          <w:p>
            <w:r/>
            <w:r>
              <w:rPr>
                <w:b w:val="0"/>
                <w:sz w:val="14"/>
              </w:rPr>
              <w:t>Flow-down requirements and monitoring</w:t>
            </w:r>
          </w:p>
        </w:tc>
      </w:tr>
    </w:tbl>
    <w:p/>
    <w:p>
      <w:r>
        <w:br w:type="page"/>
      </w:r>
    </w:p>
    <w:p>
      <w:pPr>
        <w:pStyle w:val="Heading1"/>
      </w:pPr>
      <w:r>
        <w:t>Appendix H — Vendor Financial Resilience Review</w:t>
      </w:r>
    </w:p>
    <w:p>
      <w:r>
        <w:t>Financial review should be proportionate and forward-looking.</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Area</w:t>
            </w:r>
          </w:p>
        </w:tc>
        <w:tc>
          <w:tcPr>
            <w:tcW w:type="dxa" w:w="3437"/>
            <w:vAlign w:val="center"/>
            <w:shd w:fill="17365D"/>
          </w:tcPr>
          <w:p>
            <w:r/>
            <w:r>
              <w:rPr>
                <w:b/>
                <w:color w:val="FFFFFF"/>
                <w:sz w:val="15"/>
              </w:rPr>
              <w:t>Indicator</w:t>
            </w:r>
          </w:p>
        </w:tc>
        <w:tc>
          <w:tcPr>
            <w:tcW w:type="dxa" w:w="3437"/>
            <w:vAlign w:val="center"/>
            <w:shd w:fill="17365D"/>
          </w:tcPr>
          <w:p>
            <w:r/>
            <w:r>
              <w:rPr>
                <w:b/>
                <w:color w:val="FFFFFF"/>
                <w:sz w:val="15"/>
              </w:rPr>
              <w:t>Concern Example</w:t>
            </w:r>
          </w:p>
        </w:tc>
      </w:tr>
      <w:tr>
        <w:tc>
          <w:tcPr>
            <w:tcW w:type="dxa" w:w="3437"/>
            <w:vAlign w:val="center"/>
          </w:tcPr>
          <w:p>
            <w:r/>
            <w:r>
              <w:rPr>
                <w:b w:val="0"/>
                <w:sz w:val="14"/>
              </w:rPr>
              <w:t>Liquidity</w:t>
            </w:r>
          </w:p>
        </w:tc>
        <w:tc>
          <w:tcPr>
            <w:tcW w:type="dxa" w:w="3437"/>
            <w:vAlign w:val="center"/>
          </w:tcPr>
          <w:p>
            <w:r/>
            <w:r>
              <w:rPr>
                <w:b w:val="0"/>
                <w:sz w:val="14"/>
              </w:rPr>
              <w:t>Cash/current obligations</w:t>
            </w:r>
          </w:p>
        </w:tc>
        <w:tc>
          <w:tcPr>
            <w:tcW w:type="dxa" w:w="3437"/>
            <w:vAlign w:val="center"/>
          </w:tcPr>
          <w:p>
            <w:r/>
            <w:r>
              <w:rPr>
                <w:b w:val="0"/>
                <w:sz w:val="14"/>
              </w:rPr>
              <w:t>Persistent short-term funding stress</w:t>
            </w:r>
          </w:p>
        </w:tc>
      </w:tr>
      <w:tr>
        <w:tc>
          <w:tcPr>
            <w:tcW w:type="dxa" w:w="3437"/>
            <w:vAlign w:val="center"/>
          </w:tcPr>
          <w:p>
            <w:r/>
            <w:r>
              <w:rPr>
                <w:b w:val="0"/>
                <w:sz w:val="14"/>
              </w:rPr>
              <w:t>Profitability</w:t>
            </w:r>
          </w:p>
        </w:tc>
        <w:tc>
          <w:tcPr>
            <w:tcW w:type="dxa" w:w="3437"/>
            <w:vAlign w:val="center"/>
          </w:tcPr>
          <w:p>
            <w:r/>
            <w:r>
              <w:rPr>
                <w:b w:val="0"/>
                <w:sz w:val="14"/>
              </w:rPr>
              <w:t>Trend and sustainability</w:t>
            </w:r>
          </w:p>
        </w:tc>
        <w:tc>
          <w:tcPr>
            <w:tcW w:type="dxa" w:w="3437"/>
            <w:vAlign w:val="center"/>
          </w:tcPr>
          <w:p>
            <w:r/>
            <w:r>
              <w:rPr>
                <w:b w:val="0"/>
                <w:sz w:val="14"/>
              </w:rPr>
              <w:t>Repeated losses without funding support</w:t>
            </w:r>
          </w:p>
        </w:tc>
      </w:tr>
      <w:tr>
        <w:tc>
          <w:tcPr>
            <w:tcW w:type="dxa" w:w="3437"/>
            <w:vAlign w:val="center"/>
          </w:tcPr>
          <w:p>
            <w:r/>
            <w:r>
              <w:rPr>
                <w:b w:val="0"/>
                <w:sz w:val="14"/>
              </w:rPr>
              <w:t>Leverage</w:t>
            </w:r>
          </w:p>
        </w:tc>
        <w:tc>
          <w:tcPr>
            <w:tcW w:type="dxa" w:w="3437"/>
            <w:vAlign w:val="center"/>
          </w:tcPr>
          <w:p>
            <w:r/>
            <w:r>
              <w:rPr>
                <w:b w:val="0"/>
                <w:sz w:val="14"/>
              </w:rPr>
              <w:t>Debt burden</w:t>
            </w:r>
          </w:p>
        </w:tc>
        <w:tc>
          <w:tcPr>
            <w:tcW w:type="dxa" w:w="3437"/>
            <w:vAlign w:val="center"/>
          </w:tcPr>
          <w:p>
            <w:r/>
            <w:r>
              <w:rPr>
                <w:b w:val="0"/>
                <w:sz w:val="14"/>
              </w:rPr>
              <w:t>Material refinancing dependency</w:t>
            </w:r>
          </w:p>
        </w:tc>
      </w:tr>
      <w:tr>
        <w:tc>
          <w:tcPr>
            <w:tcW w:type="dxa" w:w="3437"/>
            <w:vAlign w:val="center"/>
          </w:tcPr>
          <w:p>
            <w:r/>
            <w:r>
              <w:rPr>
                <w:b w:val="0"/>
                <w:sz w:val="14"/>
              </w:rPr>
              <w:t>Ownership</w:t>
            </w:r>
          </w:p>
        </w:tc>
        <w:tc>
          <w:tcPr>
            <w:tcW w:type="dxa" w:w="3437"/>
            <w:vAlign w:val="center"/>
          </w:tcPr>
          <w:p>
            <w:r/>
            <w:r>
              <w:rPr>
                <w:b w:val="0"/>
                <w:sz w:val="14"/>
              </w:rPr>
              <w:t>Sponsor/parent support</w:t>
            </w:r>
          </w:p>
        </w:tc>
        <w:tc>
          <w:tcPr>
            <w:tcW w:type="dxa" w:w="3437"/>
            <w:vAlign w:val="center"/>
          </w:tcPr>
          <w:p>
            <w:r/>
            <w:r>
              <w:rPr>
                <w:b w:val="0"/>
                <w:sz w:val="14"/>
              </w:rPr>
              <w:t>Ownership change or weak support</w:t>
            </w:r>
          </w:p>
        </w:tc>
      </w:tr>
      <w:tr>
        <w:tc>
          <w:tcPr>
            <w:tcW w:type="dxa" w:w="3437"/>
            <w:vAlign w:val="center"/>
          </w:tcPr>
          <w:p>
            <w:r/>
            <w:r>
              <w:rPr>
                <w:b w:val="0"/>
                <w:sz w:val="14"/>
              </w:rPr>
              <w:t>Revenue concentration</w:t>
            </w:r>
          </w:p>
        </w:tc>
        <w:tc>
          <w:tcPr>
            <w:tcW w:type="dxa" w:w="3437"/>
            <w:vAlign w:val="center"/>
          </w:tcPr>
          <w:p>
            <w:r/>
            <w:r>
              <w:rPr>
                <w:b w:val="0"/>
                <w:sz w:val="14"/>
              </w:rPr>
              <w:t>Dependence on few customers</w:t>
            </w:r>
          </w:p>
        </w:tc>
        <w:tc>
          <w:tcPr>
            <w:tcW w:type="dxa" w:w="3437"/>
            <w:vAlign w:val="center"/>
          </w:tcPr>
          <w:p>
            <w:r/>
            <w:r>
              <w:rPr>
                <w:b w:val="0"/>
                <w:sz w:val="14"/>
              </w:rPr>
              <w:t>Loss of major client threatens service</w:t>
            </w:r>
          </w:p>
        </w:tc>
      </w:tr>
      <w:tr>
        <w:tc>
          <w:tcPr>
            <w:tcW w:type="dxa" w:w="3437"/>
            <w:vAlign w:val="center"/>
          </w:tcPr>
          <w:p>
            <w:r/>
            <w:r>
              <w:rPr>
                <w:b w:val="0"/>
                <w:sz w:val="14"/>
              </w:rPr>
              <w:t>Investment needs</w:t>
            </w:r>
          </w:p>
        </w:tc>
        <w:tc>
          <w:tcPr>
            <w:tcW w:type="dxa" w:w="3437"/>
            <w:vAlign w:val="center"/>
          </w:tcPr>
          <w:p>
            <w:r/>
            <w:r>
              <w:rPr>
                <w:b w:val="0"/>
                <w:sz w:val="14"/>
              </w:rPr>
              <w:t>Capacity to maintain service/security</w:t>
            </w:r>
          </w:p>
        </w:tc>
        <w:tc>
          <w:tcPr>
            <w:tcW w:type="dxa" w:w="3437"/>
            <w:vAlign w:val="center"/>
          </w:tcPr>
          <w:p>
            <w:r/>
            <w:r>
              <w:rPr>
                <w:b w:val="0"/>
                <w:sz w:val="14"/>
              </w:rPr>
              <w:t>Deferred platform maintenance</w:t>
            </w:r>
          </w:p>
        </w:tc>
      </w:tr>
      <w:tr>
        <w:tc>
          <w:tcPr>
            <w:tcW w:type="dxa" w:w="3437"/>
            <w:vAlign w:val="center"/>
          </w:tcPr>
          <w:p>
            <w:r/>
            <w:r>
              <w:rPr>
                <w:b w:val="0"/>
                <w:sz w:val="14"/>
              </w:rPr>
              <w:t>Insurance</w:t>
            </w:r>
          </w:p>
        </w:tc>
        <w:tc>
          <w:tcPr>
            <w:tcW w:type="dxa" w:w="3437"/>
            <w:vAlign w:val="center"/>
          </w:tcPr>
          <w:p>
            <w:r/>
            <w:r>
              <w:rPr>
                <w:b w:val="0"/>
                <w:sz w:val="14"/>
              </w:rPr>
              <w:t>Relevant coverage</w:t>
            </w:r>
          </w:p>
        </w:tc>
        <w:tc>
          <w:tcPr>
            <w:tcW w:type="dxa" w:w="3437"/>
            <w:vAlign w:val="center"/>
          </w:tcPr>
          <w:p>
            <w:r/>
            <w:r>
              <w:rPr>
                <w:b w:val="0"/>
                <w:sz w:val="14"/>
              </w:rPr>
              <w:t>No coverage for material service risks</w:t>
            </w:r>
          </w:p>
        </w:tc>
      </w:tr>
      <w:tr>
        <w:tc>
          <w:tcPr>
            <w:tcW w:type="dxa" w:w="3437"/>
            <w:vAlign w:val="center"/>
          </w:tcPr>
          <w:p>
            <w:r/>
            <w:r>
              <w:rPr>
                <w:b w:val="0"/>
                <w:sz w:val="14"/>
              </w:rPr>
              <w:t>Adverse events</w:t>
            </w:r>
          </w:p>
        </w:tc>
        <w:tc>
          <w:tcPr>
            <w:tcW w:type="dxa" w:w="3437"/>
            <w:vAlign w:val="center"/>
          </w:tcPr>
          <w:p>
            <w:r/>
            <w:r>
              <w:rPr>
                <w:b w:val="0"/>
                <w:sz w:val="14"/>
              </w:rPr>
              <w:t>Litigation/restructuring</w:t>
            </w:r>
          </w:p>
        </w:tc>
        <w:tc>
          <w:tcPr>
            <w:tcW w:type="dxa" w:w="3437"/>
            <w:vAlign w:val="center"/>
          </w:tcPr>
          <w:p>
            <w:r/>
            <w:r>
              <w:rPr>
                <w:b w:val="0"/>
                <w:sz w:val="14"/>
              </w:rPr>
              <w:t>Operational continuity uncertainty</w:t>
            </w:r>
          </w:p>
        </w:tc>
      </w:tr>
    </w:tbl>
    <w:p/>
    <w:p>
      <w:r>
        <w:br w:type="page"/>
      </w:r>
    </w:p>
    <w:p>
      <w:pPr>
        <w:pStyle w:val="Heading1"/>
      </w:pPr>
      <w:r>
        <w:t>Appendix I — Vendor Risk Acceptance Matrix</w:t>
      </w:r>
    </w:p>
    <w:p>
      <w:r>
        <w:t>Open findings require clear authority and expiry.</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Finding Severity</w:t>
            </w:r>
          </w:p>
        </w:tc>
        <w:tc>
          <w:tcPr>
            <w:tcW w:type="dxa" w:w="3437"/>
            <w:vAlign w:val="center"/>
            <w:shd w:fill="17365D"/>
          </w:tcPr>
          <w:p>
            <w:r/>
            <w:r>
              <w:rPr>
                <w:b/>
                <w:color w:val="FFFFFF"/>
                <w:sz w:val="15"/>
              </w:rPr>
              <w:t>Pre-Go-Live Position</w:t>
            </w:r>
          </w:p>
        </w:tc>
        <w:tc>
          <w:tcPr>
            <w:tcW w:type="dxa" w:w="3437"/>
            <w:vAlign w:val="center"/>
            <w:shd w:fill="17365D"/>
          </w:tcPr>
          <w:p>
            <w:r/>
            <w:r>
              <w:rPr>
                <w:b/>
                <w:color w:val="FFFFFF"/>
                <w:sz w:val="15"/>
              </w:rPr>
              <w:t>Acceptance Authority</w:t>
            </w:r>
          </w:p>
        </w:tc>
      </w:tr>
      <w:tr>
        <w:tc>
          <w:tcPr>
            <w:tcW w:type="dxa" w:w="3437"/>
            <w:vAlign w:val="center"/>
          </w:tcPr>
          <w:p>
            <w:r/>
            <w:r>
              <w:rPr>
                <w:b w:val="0"/>
                <w:sz w:val="14"/>
              </w:rPr>
              <w:t>Critical</w:t>
            </w:r>
          </w:p>
        </w:tc>
        <w:tc>
          <w:tcPr>
            <w:tcW w:type="dxa" w:w="3437"/>
            <w:vAlign w:val="center"/>
          </w:tcPr>
          <w:p>
            <w:r/>
            <w:r>
              <w:rPr>
                <w:b w:val="0"/>
                <w:sz w:val="14"/>
              </w:rPr>
              <w:t>Normally prohibit go-live</w:t>
            </w:r>
          </w:p>
        </w:tc>
        <w:tc>
          <w:tcPr>
            <w:tcW w:type="dxa" w:w="3437"/>
            <w:vAlign w:val="center"/>
          </w:tcPr>
          <w:p>
            <w:r/>
            <w:r>
              <w:rPr>
                <w:b w:val="0"/>
                <w:sz w:val="14"/>
              </w:rPr>
              <w:t>CRO + relevant executive; CISO concurrence for security; very short expiry</w:t>
            </w:r>
          </w:p>
        </w:tc>
      </w:tr>
      <w:tr>
        <w:tc>
          <w:tcPr>
            <w:tcW w:type="dxa" w:w="3437"/>
            <w:vAlign w:val="center"/>
          </w:tcPr>
          <w:p>
            <w:r/>
            <w:r>
              <w:rPr>
                <w:b w:val="0"/>
                <w:sz w:val="14"/>
              </w:rPr>
              <w:t>High</w:t>
            </w:r>
          </w:p>
        </w:tc>
        <w:tc>
          <w:tcPr>
            <w:tcW w:type="dxa" w:w="3437"/>
            <w:vAlign w:val="center"/>
          </w:tcPr>
          <w:p>
            <w:r/>
            <w:r>
              <w:rPr>
                <w:b w:val="0"/>
                <w:sz w:val="14"/>
              </w:rPr>
              <w:t>Remediate before go-live or tightly controlled acceptance</w:t>
            </w:r>
          </w:p>
        </w:tc>
        <w:tc>
          <w:tcPr>
            <w:tcW w:type="dxa" w:w="3437"/>
            <w:vAlign w:val="center"/>
          </w:tcPr>
          <w:p>
            <w:r/>
            <w:r>
              <w:rPr>
                <w:b w:val="0"/>
                <w:sz w:val="14"/>
              </w:rPr>
              <w:t>Senior business owner + Third-Party Risk + specialist</w:t>
            </w:r>
          </w:p>
        </w:tc>
      </w:tr>
      <w:tr>
        <w:tc>
          <w:tcPr>
            <w:tcW w:type="dxa" w:w="3437"/>
            <w:vAlign w:val="center"/>
          </w:tcPr>
          <w:p>
            <w:r/>
            <w:r>
              <w:rPr>
                <w:b w:val="0"/>
                <w:sz w:val="14"/>
              </w:rPr>
              <w:t>Medium</w:t>
            </w:r>
          </w:p>
        </w:tc>
        <w:tc>
          <w:tcPr>
            <w:tcW w:type="dxa" w:w="3437"/>
            <w:vAlign w:val="center"/>
          </w:tcPr>
          <w:p>
            <w:r/>
            <w:r>
              <w:rPr>
                <w:b w:val="0"/>
                <w:sz w:val="14"/>
              </w:rPr>
              <w:t>May proceed with action plan</w:t>
            </w:r>
          </w:p>
        </w:tc>
        <w:tc>
          <w:tcPr>
            <w:tcW w:type="dxa" w:w="3437"/>
            <w:vAlign w:val="center"/>
          </w:tcPr>
          <w:p>
            <w:r/>
            <w:r>
              <w:rPr>
                <w:b w:val="0"/>
                <w:sz w:val="14"/>
              </w:rPr>
              <w:t>Business owner + TPR delegated authority</w:t>
            </w:r>
          </w:p>
        </w:tc>
      </w:tr>
      <w:tr>
        <w:tc>
          <w:tcPr>
            <w:tcW w:type="dxa" w:w="3437"/>
            <w:vAlign w:val="center"/>
          </w:tcPr>
          <w:p>
            <w:r/>
            <w:r>
              <w:rPr>
                <w:b w:val="0"/>
                <w:sz w:val="14"/>
              </w:rPr>
              <w:t>Low</w:t>
            </w:r>
          </w:p>
        </w:tc>
        <w:tc>
          <w:tcPr>
            <w:tcW w:type="dxa" w:w="3437"/>
            <w:vAlign w:val="center"/>
          </w:tcPr>
          <w:p>
            <w:r/>
            <w:r>
              <w:rPr>
                <w:b w:val="0"/>
                <w:sz w:val="14"/>
              </w:rPr>
              <w:t>Track in normal monitoring</w:t>
            </w:r>
          </w:p>
        </w:tc>
        <w:tc>
          <w:tcPr>
            <w:tcW w:type="dxa" w:w="3437"/>
            <w:vAlign w:val="center"/>
          </w:tcPr>
          <w:p>
            <w:r/>
            <w:r>
              <w:rPr>
                <w:b w:val="0"/>
                <w:sz w:val="14"/>
              </w:rPr>
              <w:t>Business owner / TPR</w:t>
            </w:r>
          </w:p>
        </w:tc>
      </w:tr>
    </w:tbl>
    <w:p/>
    <w:p>
      <w:r>
        <w:br w:type="page"/>
      </w:r>
    </w:p>
    <w:p>
      <w:pPr>
        <w:pStyle w:val="Heading1"/>
      </w:pPr>
      <w:r>
        <w:t>Appendix J — Vendor Performance Scorecard</w:t>
      </w:r>
    </w:p>
    <w:p>
      <w:r>
        <w:t>T1/T2 owners shall monitor both delivery and risk indicators.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Dimension</w:t>
            </w:r>
          </w:p>
        </w:tc>
        <w:tc>
          <w:tcPr>
            <w:tcW w:type="dxa" w:w="3437"/>
            <w:vAlign w:val="center"/>
            <w:shd w:fill="17365D"/>
          </w:tcPr>
          <w:p>
            <w:r/>
            <w:r>
              <w:rPr>
                <w:b/>
                <w:color w:val="FFFFFF"/>
                <w:sz w:val="15"/>
              </w:rPr>
              <w:t>Metric Examples</w:t>
            </w:r>
          </w:p>
        </w:tc>
        <w:tc>
          <w:tcPr>
            <w:tcW w:type="dxa" w:w="3437"/>
            <w:vAlign w:val="center"/>
            <w:shd w:fill="17365D"/>
          </w:tcPr>
          <w:p>
            <w:r/>
            <w:r>
              <w:rPr>
                <w:b/>
                <w:color w:val="FFFFFF"/>
                <w:sz w:val="15"/>
              </w:rPr>
              <w:t>Escalation</w:t>
            </w:r>
          </w:p>
        </w:tc>
      </w:tr>
      <w:tr>
        <w:tc>
          <w:tcPr>
            <w:tcW w:type="dxa" w:w="3437"/>
            <w:vAlign w:val="center"/>
          </w:tcPr>
          <w:p>
            <w:r/>
            <w:r>
              <w:rPr>
                <w:b w:val="0"/>
                <w:sz w:val="14"/>
              </w:rPr>
              <w:t>Availability</w:t>
            </w:r>
          </w:p>
        </w:tc>
        <w:tc>
          <w:tcPr>
            <w:tcW w:type="dxa" w:w="3437"/>
            <w:vAlign w:val="center"/>
          </w:tcPr>
          <w:p>
            <w:r/>
            <w:r>
              <w:rPr>
                <w:b w:val="0"/>
                <w:sz w:val="14"/>
              </w:rPr>
              <w:t>SLA uptime/outages</w:t>
            </w:r>
          </w:p>
        </w:tc>
        <w:tc>
          <w:tcPr>
            <w:tcW w:type="dxa" w:w="3437"/>
            <w:vAlign w:val="center"/>
          </w:tcPr>
          <w:p>
            <w:r/>
            <w:r>
              <w:rPr>
                <w:b w:val="0"/>
                <w:sz w:val="14"/>
              </w:rPr>
              <w:t>Repeated or material miss</w:t>
            </w:r>
          </w:p>
        </w:tc>
      </w:tr>
      <w:tr>
        <w:tc>
          <w:tcPr>
            <w:tcW w:type="dxa" w:w="3437"/>
            <w:vAlign w:val="center"/>
          </w:tcPr>
          <w:p>
            <w:r/>
            <w:r>
              <w:rPr>
                <w:b w:val="0"/>
                <w:sz w:val="14"/>
              </w:rPr>
              <w:t>Service quality</w:t>
            </w:r>
          </w:p>
        </w:tc>
        <w:tc>
          <w:tcPr>
            <w:tcW w:type="dxa" w:w="3437"/>
            <w:vAlign w:val="center"/>
          </w:tcPr>
          <w:p>
            <w:r/>
            <w:r>
              <w:rPr>
                <w:b w:val="0"/>
                <w:sz w:val="14"/>
              </w:rPr>
              <w:t>Error/rework/complaints</w:t>
            </w:r>
          </w:p>
        </w:tc>
        <w:tc>
          <w:tcPr>
            <w:tcW w:type="dxa" w:w="3437"/>
            <w:vAlign w:val="center"/>
          </w:tcPr>
          <w:p>
            <w:r/>
            <w:r>
              <w:rPr>
                <w:b w:val="0"/>
                <w:sz w:val="14"/>
              </w:rPr>
              <w:t>Adverse trend</w:t>
            </w:r>
          </w:p>
        </w:tc>
      </w:tr>
      <w:tr>
        <w:tc>
          <w:tcPr>
            <w:tcW w:type="dxa" w:w="3437"/>
            <w:vAlign w:val="center"/>
          </w:tcPr>
          <w:p>
            <w:r/>
            <w:r>
              <w:rPr>
                <w:b w:val="0"/>
                <w:sz w:val="14"/>
              </w:rPr>
              <w:t>Security</w:t>
            </w:r>
          </w:p>
        </w:tc>
        <w:tc>
          <w:tcPr>
            <w:tcW w:type="dxa" w:w="3437"/>
            <w:vAlign w:val="center"/>
          </w:tcPr>
          <w:p>
            <w:r/>
            <w:r>
              <w:rPr>
                <w:b w:val="0"/>
                <w:sz w:val="14"/>
              </w:rPr>
              <w:t>Incidents, findings, patch/access issues</w:t>
            </w:r>
          </w:p>
        </w:tc>
        <w:tc>
          <w:tcPr>
            <w:tcW w:type="dxa" w:w="3437"/>
            <w:vAlign w:val="center"/>
          </w:tcPr>
          <w:p>
            <w:r/>
            <w:r>
              <w:rPr>
                <w:b w:val="0"/>
                <w:sz w:val="14"/>
              </w:rPr>
              <w:t>High finding or material incident</w:t>
            </w:r>
          </w:p>
        </w:tc>
      </w:tr>
      <w:tr>
        <w:tc>
          <w:tcPr>
            <w:tcW w:type="dxa" w:w="3437"/>
            <w:vAlign w:val="center"/>
          </w:tcPr>
          <w:p>
            <w:r/>
            <w:r>
              <w:rPr>
                <w:b w:val="0"/>
                <w:sz w:val="14"/>
              </w:rPr>
              <w:t>Compliance</w:t>
            </w:r>
          </w:p>
        </w:tc>
        <w:tc>
          <w:tcPr>
            <w:tcW w:type="dxa" w:w="3437"/>
            <w:vAlign w:val="center"/>
          </w:tcPr>
          <w:p>
            <w:r/>
            <w:r>
              <w:rPr>
                <w:b w:val="0"/>
                <w:sz w:val="14"/>
              </w:rPr>
              <w:t>Control breaches/training/customer issues</w:t>
            </w:r>
          </w:p>
        </w:tc>
        <w:tc>
          <w:tcPr>
            <w:tcW w:type="dxa" w:w="3437"/>
            <w:vAlign w:val="center"/>
          </w:tcPr>
          <w:p>
            <w:r/>
            <w:r>
              <w:rPr>
                <w:b w:val="0"/>
                <w:sz w:val="14"/>
              </w:rPr>
              <w:t>Material/repeat issue</w:t>
            </w:r>
          </w:p>
        </w:tc>
      </w:tr>
      <w:tr>
        <w:tc>
          <w:tcPr>
            <w:tcW w:type="dxa" w:w="3437"/>
            <w:vAlign w:val="center"/>
          </w:tcPr>
          <w:p>
            <w:r/>
            <w:r>
              <w:rPr>
                <w:b w:val="0"/>
                <w:sz w:val="14"/>
              </w:rPr>
              <w:t>Financial</w:t>
            </w:r>
          </w:p>
        </w:tc>
        <w:tc>
          <w:tcPr>
            <w:tcW w:type="dxa" w:w="3437"/>
            <w:vAlign w:val="center"/>
          </w:tcPr>
          <w:p>
            <w:r/>
            <w:r>
              <w:rPr>
                <w:b w:val="0"/>
                <w:sz w:val="14"/>
              </w:rPr>
              <w:t>Resilience/adverse change</w:t>
            </w:r>
          </w:p>
        </w:tc>
        <w:tc>
          <w:tcPr>
            <w:tcW w:type="dxa" w:w="3437"/>
            <w:vAlign w:val="center"/>
          </w:tcPr>
          <w:p>
            <w:r/>
            <w:r>
              <w:rPr>
                <w:b w:val="0"/>
                <w:sz w:val="14"/>
              </w:rPr>
              <w:t>Deterioration</w:t>
            </w:r>
          </w:p>
        </w:tc>
      </w:tr>
      <w:tr>
        <w:tc>
          <w:tcPr>
            <w:tcW w:type="dxa" w:w="3437"/>
            <w:vAlign w:val="center"/>
          </w:tcPr>
          <w:p>
            <w:r/>
            <w:r>
              <w:rPr>
                <w:b w:val="0"/>
                <w:sz w:val="14"/>
              </w:rPr>
              <w:t>Continuity</w:t>
            </w:r>
          </w:p>
        </w:tc>
        <w:tc>
          <w:tcPr>
            <w:tcW w:type="dxa" w:w="3437"/>
            <w:vAlign w:val="center"/>
          </w:tcPr>
          <w:p>
            <w:r/>
            <w:r>
              <w:rPr>
                <w:b w:val="0"/>
                <w:sz w:val="14"/>
              </w:rPr>
              <w:t>Test results/recovery gaps</w:t>
            </w:r>
          </w:p>
        </w:tc>
        <w:tc>
          <w:tcPr>
            <w:tcW w:type="dxa" w:w="3437"/>
            <w:vAlign w:val="center"/>
          </w:tcPr>
          <w:p>
            <w:r/>
            <w:r>
              <w:rPr>
                <w:b w:val="0"/>
                <w:sz w:val="14"/>
              </w:rPr>
              <w:t>Critical gap</w:t>
            </w:r>
          </w:p>
        </w:tc>
      </w:tr>
      <w:tr>
        <w:tc>
          <w:tcPr>
            <w:tcW w:type="dxa" w:w="3437"/>
            <w:vAlign w:val="center"/>
          </w:tcPr>
          <w:p>
            <w:r/>
            <w:r>
              <w:rPr>
                <w:b w:val="0"/>
                <w:sz w:val="14"/>
              </w:rPr>
              <w:t>Access</w:t>
            </w:r>
          </w:p>
        </w:tc>
        <w:tc>
          <w:tcPr>
            <w:tcW w:type="dxa" w:w="3437"/>
            <w:vAlign w:val="center"/>
          </w:tcPr>
          <w:p>
            <w:r/>
            <w:r>
              <w:rPr>
                <w:b w:val="0"/>
                <w:sz w:val="14"/>
              </w:rPr>
              <w:t>Expired/broad/privileged access</w:t>
            </w:r>
          </w:p>
        </w:tc>
        <w:tc>
          <w:tcPr>
            <w:tcW w:type="dxa" w:w="3437"/>
            <w:vAlign w:val="center"/>
          </w:tcPr>
          <w:p>
            <w:r/>
            <w:r>
              <w:rPr>
                <w:b w:val="0"/>
                <w:sz w:val="14"/>
              </w:rPr>
              <w:t>Unauthorized or overdue</w:t>
            </w:r>
          </w:p>
        </w:tc>
      </w:tr>
      <w:tr>
        <w:tc>
          <w:tcPr>
            <w:tcW w:type="dxa" w:w="3437"/>
            <w:vAlign w:val="center"/>
          </w:tcPr>
          <w:p>
            <w:r/>
            <w:r>
              <w:rPr>
                <w:b w:val="0"/>
                <w:sz w:val="14"/>
              </w:rPr>
              <w:t>Subprocessors</w:t>
            </w:r>
          </w:p>
        </w:tc>
        <w:tc>
          <w:tcPr>
            <w:tcW w:type="dxa" w:w="3437"/>
            <w:vAlign w:val="center"/>
          </w:tcPr>
          <w:p>
            <w:r/>
            <w:r>
              <w:rPr>
                <w:b w:val="0"/>
                <w:sz w:val="14"/>
              </w:rPr>
              <w:t>Changes/findings</w:t>
            </w:r>
          </w:p>
        </w:tc>
        <w:tc>
          <w:tcPr>
            <w:tcW w:type="dxa" w:w="3437"/>
            <w:vAlign w:val="center"/>
          </w:tcPr>
          <w:p>
            <w:r/>
            <w:r>
              <w:rPr>
                <w:b w:val="0"/>
                <w:sz w:val="14"/>
              </w:rPr>
              <w:t>Unapproved material change</w:t>
            </w:r>
          </w:p>
        </w:tc>
      </w:tr>
    </w:tbl>
    <w:p/>
    <w:p>
      <w:r>
        <w:br w:type="page"/>
      </w:r>
    </w:p>
    <w:p>
      <w:pPr>
        <w:pStyle w:val="Heading1"/>
      </w:pPr>
      <w:r>
        <w:t>Appendix K — Fourth-Party Register</w:t>
      </w:r>
    </w:p>
    <w:p>
      <w:r>
        <w:t>Critical vendors should disclose material fourth-party dependencies.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Field</w:t>
            </w:r>
          </w:p>
        </w:tc>
        <w:tc>
          <w:tcPr>
            <w:tcW w:type="dxa" w:w="5155"/>
            <w:vAlign w:val="center"/>
            <w:shd w:fill="17365D"/>
          </w:tcPr>
          <w:p>
            <w:r/>
            <w:r>
              <w:rPr>
                <w:b/>
                <w:color w:val="FFFFFF"/>
                <w:sz w:val="15"/>
              </w:rPr>
              <w:t>Requirement</w:t>
            </w:r>
          </w:p>
        </w:tc>
      </w:tr>
      <w:tr>
        <w:tc>
          <w:tcPr>
            <w:tcW w:type="dxa" w:w="5155"/>
            <w:vAlign w:val="center"/>
          </w:tcPr>
          <w:p>
            <w:r/>
            <w:r>
              <w:rPr>
                <w:b w:val="0"/>
                <w:sz w:val="14"/>
              </w:rPr>
              <w:t>Primary vendor</w:t>
            </w:r>
          </w:p>
        </w:tc>
        <w:tc>
          <w:tcPr>
            <w:tcW w:type="dxa" w:w="5155"/>
            <w:vAlign w:val="center"/>
          </w:tcPr>
          <w:p>
            <w:r/>
            <w:r>
              <w:rPr>
                <w:b w:val="0"/>
                <w:sz w:val="14"/>
              </w:rPr>
              <w:t>Contracted party</w:t>
            </w:r>
          </w:p>
        </w:tc>
      </w:tr>
      <w:tr>
        <w:tc>
          <w:tcPr>
            <w:tcW w:type="dxa" w:w="5155"/>
            <w:vAlign w:val="center"/>
          </w:tcPr>
          <w:p>
            <w:r/>
            <w:r>
              <w:rPr>
                <w:b w:val="0"/>
                <w:sz w:val="14"/>
              </w:rPr>
              <w:t>Subprocessor</w:t>
            </w:r>
          </w:p>
        </w:tc>
        <w:tc>
          <w:tcPr>
            <w:tcW w:type="dxa" w:w="5155"/>
            <w:vAlign w:val="center"/>
          </w:tcPr>
          <w:p>
            <w:r/>
            <w:r>
              <w:rPr>
                <w:b w:val="0"/>
                <w:sz w:val="14"/>
              </w:rPr>
              <w:t>Name and service</w:t>
            </w:r>
          </w:p>
        </w:tc>
      </w:tr>
      <w:tr>
        <w:tc>
          <w:tcPr>
            <w:tcW w:type="dxa" w:w="5155"/>
            <w:vAlign w:val="center"/>
          </w:tcPr>
          <w:p>
            <w:r/>
            <w:r>
              <w:rPr>
                <w:b w:val="0"/>
                <w:sz w:val="14"/>
              </w:rPr>
              <w:t>Function</w:t>
            </w:r>
          </w:p>
        </w:tc>
        <w:tc>
          <w:tcPr>
            <w:tcW w:type="dxa" w:w="5155"/>
            <w:vAlign w:val="center"/>
          </w:tcPr>
          <w:p>
            <w:r/>
            <w:r>
              <w:rPr>
                <w:b w:val="0"/>
                <w:sz w:val="14"/>
              </w:rPr>
              <w:t>What dependency provides</w:t>
            </w:r>
          </w:p>
        </w:tc>
      </w:tr>
      <w:tr>
        <w:tc>
          <w:tcPr>
            <w:tcW w:type="dxa" w:w="5155"/>
            <w:vAlign w:val="center"/>
          </w:tcPr>
          <w:p>
            <w:r/>
            <w:r>
              <w:rPr>
                <w:b w:val="0"/>
                <w:sz w:val="14"/>
              </w:rPr>
              <w:t>Data</w:t>
            </w:r>
          </w:p>
        </w:tc>
        <w:tc>
          <w:tcPr>
            <w:tcW w:type="dxa" w:w="5155"/>
            <w:vAlign w:val="center"/>
          </w:tcPr>
          <w:p>
            <w:r/>
            <w:r>
              <w:rPr>
                <w:b w:val="0"/>
                <w:sz w:val="14"/>
              </w:rPr>
              <w:t>Northstar data involved</w:t>
            </w:r>
          </w:p>
        </w:tc>
      </w:tr>
      <w:tr>
        <w:tc>
          <w:tcPr>
            <w:tcW w:type="dxa" w:w="5155"/>
            <w:vAlign w:val="center"/>
          </w:tcPr>
          <w:p>
            <w:r/>
            <w:r>
              <w:rPr>
                <w:b w:val="0"/>
                <w:sz w:val="14"/>
              </w:rPr>
              <w:t>Location</w:t>
            </w:r>
          </w:p>
        </w:tc>
        <w:tc>
          <w:tcPr>
            <w:tcW w:type="dxa" w:w="5155"/>
            <w:vAlign w:val="center"/>
          </w:tcPr>
          <w:p>
            <w:r/>
            <w:r>
              <w:rPr>
                <w:b w:val="0"/>
                <w:sz w:val="14"/>
              </w:rPr>
              <w:t>Processing/service geography</w:t>
            </w:r>
          </w:p>
        </w:tc>
      </w:tr>
      <w:tr>
        <w:tc>
          <w:tcPr>
            <w:tcW w:type="dxa" w:w="5155"/>
            <w:vAlign w:val="center"/>
          </w:tcPr>
          <w:p>
            <w:r/>
            <w:r>
              <w:rPr>
                <w:b w:val="0"/>
                <w:sz w:val="14"/>
              </w:rPr>
              <w:t>Criticality</w:t>
            </w:r>
          </w:p>
        </w:tc>
        <w:tc>
          <w:tcPr>
            <w:tcW w:type="dxa" w:w="5155"/>
            <w:vAlign w:val="center"/>
          </w:tcPr>
          <w:p>
            <w:r/>
            <w:r>
              <w:rPr>
                <w:b w:val="0"/>
                <w:sz w:val="14"/>
              </w:rPr>
              <w:t>Impact if unavailable/compromised</w:t>
            </w:r>
          </w:p>
        </w:tc>
      </w:tr>
      <w:tr>
        <w:tc>
          <w:tcPr>
            <w:tcW w:type="dxa" w:w="5155"/>
            <w:vAlign w:val="center"/>
          </w:tcPr>
          <w:p>
            <w:r/>
            <w:r>
              <w:rPr>
                <w:b w:val="0"/>
                <w:sz w:val="14"/>
              </w:rPr>
              <w:t>Assurance</w:t>
            </w:r>
          </w:p>
        </w:tc>
        <w:tc>
          <w:tcPr>
            <w:tcW w:type="dxa" w:w="5155"/>
            <w:vAlign w:val="center"/>
          </w:tcPr>
          <w:p>
            <w:r/>
            <w:r>
              <w:rPr>
                <w:b w:val="0"/>
                <w:sz w:val="14"/>
              </w:rPr>
              <w:t>Evidence reviewed by vendor/Northstar</w:t>
            </w:r>
          </w:p>
        </w:tc>
      </w:tr>
      <w:tr>
        <w:tc>
          <w:tcPr>
            <w:tcW w:type="dxa" w:w="5155"/>
            <w:vAlign w:val="center"/>
          </w:tcPr>
          <w:p>
            <w:r/>
            <w:r>
              <w:rPr>
                <w:b w:val="0"/>
                <w:sz w:val="14"/>
              </w:rPr>
              <w:t>Change notice</w:t>
            </w:r>
          </w:p>
        </w:tc>
        <w:tc>
          <w:tcPr>
            <w:tcW w:type="dxa" w:w="5155"/>
            <w:vAlign w:val="center"/>
          </w:tcPr>
          <w:p>
            <w:r/>
            <w:r>
              <w:rPr>
                <w:b w:val="0"/>
                <w:sz w:val="14"/>
              </w:rPr>
              <w:t>Required lead time/approval</w:t>
            </w:r>
          </w:p>
        </w:tc>
      </w:tr>
      <w:tr>
        <w:tc>
          <w:tcPr>
            <w:tcW w:type="dxa" w:w="5155"/>
            <w:vAlign w:val="center"/>
          </w:tcPr>
          <w:p>
            <w:r/>
            <w:r>
              <w:rPr>
                <w:b w:val="0"/>
                <w:sz w:val="14"/>
              </w:rPr>
              <w:t>Exit substitute</w:t>
            </w:r>
          </w:p>
        </w:tc>
        <w:tc>
          <w:tcPr>
            <w:tcW w:type="dxa" w:w="5155"/>
            <w:vAlign w:val="center"/>
          </w:tcPr>
          <w:p>
            <w:r/>
            <w:r>
              <w:rPr>
                <w:b w:val="0"/>
                <w:sz w:val="14"/>
              </w:rPr>
              <w:t>Alternative or contingency</w:t>
            </w:r>
          </w:p>
        </w:tc>
      </w:tr>
    </w:tbl>
    <w:p/>
    <w:p>
      <w:r>
        <w:br w:type="page"/>
      </w:r>
    </w:p>
    <w:p>
      <w:pPr>
        <w:pStyle w:val="Heading1"/>
      </w:pPr>
      <w:r>
        <w:t>Appendix L — Vendor Access Offboarding</w:t>
      </w:r>
    </w:p>
    <w:p>
      <w:r>
        <w:t>Termination is incomplete until technical and data closure is evidenced.</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Control</w:t>
            </w:r>
          </w:p>
        </w:tc>
        <w:tc>
          <w:tcPr>
            <w:tcW w:type="dxa" w:w="5155"/>
            <w:vAlign w:val="center"/>
            <w:shd w:fill="17365D"/>
          </w:tcPr>
          <w:p>
            <w:r/>
            <w:r>
              <w:rPr>
                <w:b/>
                <w:color w:val="FFFFFF"/>
                <w:sz w:val="15"/>
              </w:rPr>
              <w:t>Evidence</w:t>
            </w:r>
          </w:p>
        </w:tc>
      </w:tr>
      <w:tr>
        <w:tc>
          <w:tcPr>
            <w:tcW w:type="dxa" w:w="5155"/>
            <w:vAlign w:val="center"/>
          </w:tcPr>
          <w:p>
            <w:r/>
            <w:r>
              <w:rPr>
                <w:b w:val="0"/>
                <w:sz w:val="14"/>
              </w:rPr>
              <w:t>User accounts disabled</w:t>
            </w:r>
          </w:p>
        </w:tc>
        <w:tc>
          <w:tcPr>
            <w:tcW w:type="dxa" w:w="5155"/>
            <w:vAlign w:val="center"/>
          </w:tcPr>
          <w:p>
            <w:r/>
            <w:r>
              <w:rPr>
                <w:b w:val="0"/>
                <w:sz w:val="14"/>
              </w:rPr>
              <w:t>IAM/access report</w:t>
            </w:r>
          </w:p>
        </w:tc>
      </w:tr>
      <w:tr>
        <w:tc>
          <w:tcPr>
            <w:tcW w:type="dxa" w:w="5155"/>
            <w:vAlign w:val="center"/>
          </w:tcPr>
          <w:p>
            <w:r/>
            <w:r>
              <w:rPr>
                <w:b w:val="0"/>
                <w:sz w:val="14"/>
              </w:rPr>
              <w:t>VPN/API credentials revoked</w:t>
            </w:r>
          </w:p>
        </w:tc>
        <w:tc>
          <w:tcPr>
            <w:tcW w:type="dxa" w:w="5155"/>
            <w:vAlign w:val="center"/>
          </w:tcPr>
          <w:p>
            <w:r/>
            <w:r>
              <w:rPr>
                <w:b w:val="0"/>
                <w:sz w:val="14"/>
              </w:rPr>
              <w:t>Gateway/key records</w:t>
            </w:r>
          </w:p>
        </w:tc>
      </w:tr>
      <w:tr>
        <w:tc>
          <w:tcPr>
            <w:tcW w:type="dxa" w:w="5155"/>
            <w:vAlign w:val="center"/>
          </w:tcPr>
          <w:p>
            <w:r/>
            <w:r>
              <w:rPr>
                <w:b w:val="0"/>
                <w:sz w:val="14"/>
              </w:rPr>
              <w:t>Privileged access removed</w:t>
            </w:r>
          </w:p>
        </w:tc>
        <w:tc>
          <w:tcPr>
            <w:tcW w:type="dxa" w:w="5155"/>
            <w:vAlign w:val="center"/>
          </w:tcPr>
          <w:p>
            <w:r/>
            <w:r>
              <w:rPr>
                <w:b w:val="0"/>
                <w:sz w:val="14"/>
              </w:rPr>
              <w:t>PAM/system report</w:t>
            </w:r>
          </w:p>
        </w:tc>
      </w:tr>
      <w:tr>
        <w:tc>
          <w:tcPr>
            <w:tcW w:type="dxa" w:w="5155"/>
            <w:vAlign w:val="center"/>
          </w:tcPr>
          <w:p>
            <w:r/>
            <w:r>
              <w:rPr>
                <w:b w:val="0"/>
                <w:sz w:val="14"/>
              </w:rPr>
              <w:t>Devices/tokens returned</w:t>
            </w:r>
          </w:p>
        </w:tc>
        <w:tc>
          <w:tcPr>
            <w:tcW w:type="dxa" w:w="5155"/>
            <w:vAlign w:val="center"/>
          </w:tcPr>
          <w:p>
            <w:r/>
            <w:r>
              <w:rPr>
                <w:b w:val="0"/>
                <w:sz w:val="14"/>
              </w:rPr>
              <w:t>Asset record</w:t>
            </w:r>
          </w:p>
        </w:tc>
      </w:tr>
      <w:tr>
        <w:tc>
          <w:tcPr>
            <w:tcW w:type="dxa" w:w="5155"/>
            <w:vAlign w:val="center"/>
          </w:tcPr>
          <w:p>
            <w:r/>
            <w:r>
              <w:rPr>
                <w:b w:val="0"/>
                <w:sz w:val="14"/>
              </w:rPr>
              <w:t>Northstar data returned/deleted</w:t>
            </w:r>
          </w:p>
        </w:tc>
        <w:tc>
          <w:tcPr>
            <w:tcW w:type="dxa" w:w="5155"/>
            <w:vAlign w:val="center"/>
          </w:tcPr>
          <w:p>
            <w:r/>
            <w:r>
              <w:rPr>
                <w:b w:val="0"/>
                <w:sz w:val="14"/>
              </w:rPr>
              <w:t>Vendor attestation/evidence</w:t>
            </w:r>
          </w:p>
        </w:tc>
      </w:tr>
      <w:tr>
        <w:tc>
          <w:tcPr>
            <w:tcW w:type="dxa" w:w="5155"/>
            <w:vAlign w:val="center"/>
          </w:tcPr>
          <w:p>
            <w:r/>
            <w:r>
              <w:rPr>
                <w:b w:val="0"/>
                <w:sz w:val="14"/>
              </w:rPr>
              <w:t>Backups/archives addressed</w:t>
            </w:r>
          </w:p>
        </w:tc>
        <w:tc>
          <w:tcPr>
            <w:tcW w:type="dxa" w:w="5155"/>
            <w:vAlign w:val="center"/>
          </w:tcPr>
          <w:p>
            <w:r/>
            <w:r>
              <w:rPr>
                <w:b w:val="0"/>
                <w:sz w:val="14"/>
              </w:rPr>
              <w:t>Contractual retention/deletion response</w:t>
            </w:r>
          </w:p>
        </w:tc>
      </w:tr>
      <w:tr>
        <w:tc>
          <w:tcPr>
            <w:tcW w:type="dxa" w:w="5155"/>
            <w:vAlign w:val="center"/>
          </w:tcPr>
          <w:p>
            <w:r/>
            <w:r>
              <w:rPr>
                <w:b w:val="0"/>
                <w:sz w:val="14"/>
              </w:rPr>
              <w:t>Subprocessor access ended</w:t>
            </w:r>
          </w:p>
        </w:tc>
        <w:tc>
          <w:tcPr>
            <w:tcW w:type="dxa" w:w="5155"/>
            <w:vAlign w:val="center"/>
          </w:tcPr>
          <w:p>
            <w:r/>
            <w:r>
              <w:rPr>
                <w:b w:val="0"/>
                <w:sz w:val="14"/>
              </w:rPr>
              <w:t>Vendor confirmation</w:t>
            </w:r>
          </w:p>
        </w:tc>
      </w:tr>
      <w:tr>
        <w:tc>
          <w:tcPr>
            <w:tcW w:type="dxa" w:w="5155"/>
            <w:vAlign w:val="center"/>
          </w:tcPr>
          <w:p>
            <w:r/>
            <w:r>
              <w:rPr>
                <w:b w:val="0"/>
                <w:sz w:val="14"/>
              </w:rPr>
              <w:t>Open incidents/actions transferred</w:t>
            </w:r>
          </w:p>
        </w:tc>
        <w:tc>
          <w:tcPr>
            <w:tcW w:type="dxa" w:w="5155"/>
            <w:vAlign w:val="center"/>
          </w:tcPr>
          <w:p>
            <w:r/>
            <w:r>
              <w:rPr>
                <w:b w:val="0"/>
                <w:sz w:val="14"/>
              </w:rPr>
              <w:t>Closure/ownership record</w:t>
            </w:r>
          </w:p>
        </w:tc>
      </w:tr>
    </w:tbl>
    <w:p/>
    <w:p>
      <w:r>
        <w:br w:type="page"/>
      </w:r>
    </w:p>
    <w:p>
      <w:pPr>
        <w:pStyle w:val="Heading1"/>
      </w:pPr>
      <w:r>
        <w:t>Appendix M — Vendor Incident Severity Interface</w:t>
      </w:r>
    </w:p>
    <w:p>
      <w:r>
        <w:t>Vendor incidents are translated into Northstar’s own incident and risk processes.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Vendor Situation</w:t>
            </w:r>
          </w:p>
        </w:tc>
        <w:tc>
          <w:tcPr>
            <w:tcW w:type="dxa" w:w="5155"/>
            <w:vAlign w:val="center"/>
            <w:shd w:fill="17365D"/>
          </w:tcPr>
          <w:p>
            <w:r/>
            <w:r>
              <w:rPr>
                <w:b/>
                <w:color w:val="FFFFFF"/>
                <w:sz w:val="15"/>
              </w:rPr>
              <w:t>Northstar Response</w:t>
            </w:r>
          </w:p>
        </w:tc>
      </w:tr>
      <w:tr>
        <w:tc>
          <w:tcPr>
            <w:tcW w:type="dxa" w:w="5155"/>
            <w:vAlign w:val="center"/>
          </w:tcPr>
          <w:p>
            <w:r/>
            <w:r>
              <w:rPr>
                <w:b w:val="0"/>
                <w:sz w:val="14"/>
              </w:rPr>
              <w:t>Vendor labels event “minor” but Restricted data exposed</w:t>
            </w:r>
          </w:p>
        </w:tc>
        <w:tc>
          <w:tcPr>
            <w:tcW w:type="dxa" w:w="5155"/>
            <w:vAlign w:val="center"/>
          </w:tcPr>
          <w:p>
            <w:r/>
            <w:r>
              <w:rPr>
                <w:b w:val="0"/>
                <w:sz w:val="14"/>
              </w:rPr>
              <w:t>Northstar independently assesses SIR severity</w:t>
            </w:r>
          </w:p>
        </w:tc>
      </w:tr>
      <w:tr>
        <w:tc>
          <w:tcPr>
            <w:tcW w:type="dxa" w:w="5155"/>
            <w:vAlign w:val="center"/>
          </w:tcPr>
          <w:p>
            <w:r/>
            <w:r>
              <w:rPr>
                <w:b w:val="0"/>
                <w:sz w:val="14"/>
              </w:rPr>
              <w:t>Vendor outage with no security cause</w:t>
            </w:r>
          </w:p>
        </w:tc>
        <w:tc>
          <w:tcPr>
            <w:tcW w:type="dxa" w:w="5155"/>
            <w:vAlign w:val="center"/>
          </w:tcPr>
          <w:p>
            <w:r/>
            <w:r>
              <w:rPr>
                <w:b w:val="0"/>
                <w:sz w:val="14"/>
              </w:rPr>
              <w:t>Operational/continuity event; Security may monitor if evidence changes</w:t>
            </w:r>
          </w:p>
        </w:tc>
      </w:tr>
      <w:tr>
        <w:tc>
          <w:tcPr>
            <w:tcW w:type="dxa" w:w="5155"/>
            <w:vAlign w:val="center"/>
          </w:tcPr>
          <w:p>
            <w:r/>
            <w:r>
              <w:rPr>
                <w:b w:val="0"/>
                <w:sz w:val="14"/>
              </w:rPr>
              <w:t>Vendor credential compromise with Northstar access</w:t>
            </w:r>
          </w:p>
        </w:tc>
        <w:tc>
          <w:tcPr>
            <w:tcW w:type="dxa" w:w="5155"/>
            <w:vAlign w:val="center"/>
          </w:tcPr>
          <w:p>
            <w:r/>
            <w:r>
              <w:rPr>
                <w:b w:val="0"/>
                <w:sz w:val="14"/>
              </w:rPr>
              <w:t>Restrict access; likely Security incident</w:t>
            </w:r>
          </w:p>
        </w:tc>
      </w:tr>
      <w:tr>
        <w:tc>
          <w:tcPr>
            <w:tcW w:type="dxa" w:w="5155"/>
            <w:vAlign w:val="center"/>
          </w:tcPr>
          <w:p>
            <w:r/>
            <w:r>
              <w:rPr>
                <w:b w:val="0"/>
                <w:sz w:val="14"/>
              </w:rPr>
              <w:t>Vendor misses contractual notice target</w:t>
            </w:r>
          </w:p>
        </w:tc>
        <w:tc>
          <w:tcPr>
            <w:tcW w:type="dxa" w:w="5155"/>
            <w:vAlign w:val="center"/>
          </w:tcPr>
          <w:p>
            <w:r/>
            <w:r>
              <w:rPr>
                <w:b w:val="0"/>
                <w:sz w:val="14"/>
              </w:rPr>
              <w:t>Separate vendor/control issue even if incident impact is contained</w:t>
            </w:r>
          </w:p>
        </w:tc>
      </w:tr>
      <w:tr>
        <w:tc>
          <w:tcPr>
            <w:tcW w:type="dxa" w:w="5155"/>
            <w:vAlign w:val="center"/>
          </w:tcPr>
          <w:p>
            <w:r/>
            <w:r>
              <w:rPr>
                <w:b w:val="0"/>
                <w:sz w:val="14"/>
              </w:rPr>
              <w:t>Subprocessor breach</w:t>
            </w:r>
          </w:p>
        </w:tc>
        <w:tc>
          <w:tcPr>
            <w:tcW w:type="dxa" w:w="5155"/>
            <w:vAlign w:val="center"/>
          </w:tcPr>
          <w:p>
            <w:r/>
            <w:r>
              <w:rPr>
                <w:b w:val="0"/>
                <w:sz w:val="14"/>
              </w:rPr>
              <w:t>Assess same as vendor incident based on Northstar impact</w:t>
            </w:r>
          </w:p>
        </w:tc>
      </w:tr>
      <w:tr>
        <w:tc>
          <w:tcPr>
            <w:tcW w:type="dxa" w:w="5155"/>
            <w:vAlign w:val="center"/>
          </w:tcPr>
          <w:p>
            <w:r/>
            <w:r>
              <w:rPr>
                <w:b w:val="0"/>
                <w:sz w:val="14"/>
              </w:rPr>
              <w:t>Vendor cannot provide logs</w:t>
            </w:r>
          </w:p>
        </w:tc>
        <w:tc>
          <w:tcPr>
            <w:tcW w:type="dxa" w:w="5155"/>
            <w:vAlign w:val="center"/>
          </w:tcPr>
          <w:p>
            <w:r/>
            <w:r>
              <w:rPr>
                <w:b w:val="0"/>
                <w:sz w:val="14"/>
              </w:rPr>
              <w:t>Evidence limitation becomes risk finding and affects impact conclusion</w:t>
            </w:r>
          </w:p>
        </w:tc>
      </w:tr>
    </w:tbl>
    <w:p/>
    <w:p>
      <w:r>
        <w:br w:type="page"/>
      </w:r>
    </w:p>
    <w:p>
      <w:pPr>
        <w:pStyle w:val="Heading1"/>
      </w:pPr>
      <w:r>
        <w:t>Appendix N — Exit Planning for Critical Vendors</w:t>
      </w:r>
    </w:p>
    <w:p>
      <w:r>
        <w:t>Critical exit plans shall be operational enough to use during stress.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Area</w:t>
            </w:r>
          </w:p>
        </w:tc>
        <w:tc>
          <w:tcPr>
            <w:tcW w:type="dxa" w:w="5155"/>
            <w:vAlign w:val="center"/>
            <w:shd w:fill="17365D"/>
          </w:tcPr>
          <w:p>
            <w:r/>
            <w:r>
              <w:rPr>
                <w:b/>
                <w:color w:val="FFFFFF"/>
                <w:sz w:val="15"/>
              </w:rPr>
              <w:t>Plan Content</w:t>
            </w:r>
          </w:p>
        </w:tc>
      </w:tr>
      <w:tr>
        <w:tc>
          <w:tcPr>
            <w:tcW w:type="dxa" w:w="5155"/>
            <w:vAlign w:val="center"/>
          </w:tcPr>
          <w:p>
            <w:r/>
            <w:r>
              <w:rPr>
                <w:b w:val="0"/>
                <w:sz w:val="14"/>
              </w:rPr>
              <w:t>Trigger</w:t>
            </w:r>
          </w:p>
        </w:tc>
        <w:tc>
          <w:tcPr>
            <w:tcW w:type="dxa" w:w="5155"/>
            <w:vAlign w:val="center"/>
          </w:tcPr>
          <w:p>
            <w:r/>
            <w:r>
              <w:rPr>
                <w:b w:val="0"/>
                <w:sz w:val="14"/>
              </w:rPr>
              <w:t>Events that may require exit/transition</w:t>
            </w:r>
          </w:p>
        </w:tc>
      </w:tr>
      <w:tr>
        <w:tc>
          <w:tcPr>
            <w:tcW w:type="dxa" w:w="5155"/>
            <w:vAlign w:val="center"/>
          </w:tcPr>
          <w:p>
            <w:r/>
            <w:r>
              <w:rPr>
                <w:b w:val="0"/>
                <w:sz w:val="14"/>
              </w:rPr>
              <w:t>Alternative</w:t>
            </w:r>
          </w:p>
        </w:tc>
        <w:tc>
          <w:tcPr>
            <w:tcW w:type="dxa" w:w="5155"/>
            <w:vAlign w:val="center"/>
          </w:tcPr>
          <w:p>
            <w:r/>
            <w:r>
              <w:rPr>
                <w:b w:val="0"/>
                <w:sz w:val="14"/>
              </w:rPr>
              <w:t>Secondary provider/internal process/manual workaround</w:t>
            </w:r>
          </w:p>
        </w:tc>
      </w:tr>
      <w:tr>
        <w:tc>
          <w:tcPr>
            <w:tcW w:type="dxa" w:w="5155"/>
            <w:vAlign w:val="center"/>
          </w:tcPr>
          <w:p>
            <w:r/>
            <w:r>
              <w:rPr>
                <w:b w:val="0"/>
                <w:sz w:val="14"/>
              </w:rPr>
              <w:t>Data migration</w:t>
            </w:r>
          </w:p>
        </w:tc>
        <w:tc>
          <w:tcPr>
            <w:tcW w:type="dxa" w:w="5155"/>
            <w:vAlign w:val="center"/>
          </w:tcPr>
          <w:p>
            <w:r/>
            <w:r>
              <w:rPr>
                <w:b w:val="0"/>
                <w:sz w:val="14"/>
              </w:rPr>
              <w:t>Format, timing, validation, encryption</w:t>
            </w:r>
          </w:p>
        </w:tc>
      </w:tr>
      <w:tr>
        <w:tc>
          <w:tcPr>
            <w:tcW w:type="dxa" w:w="5155"/>
            <w:vAlign w:val="center"/>
          </w:tcPr>
          <w:p>
            <w:r/>
            <w:r>
              <w:rPr>
                <w:b w:val="0"/>
                <w:sz w:val="14"/>
              </w:rPr>
              <w:t>Access</w:t>
            </w:r>
          </w:p>
        </w:tc>
        <w:tc>
          <w:tcPr>
            <w:tcW w:type="dxa" w:w="5155"/>
            <w:vAlign w:val="center"/>
          </w:tcPr>
          <w:p>
            <w:r/>
            <w:r>
              <w:rPr>
                <w:b w:val="0"/>
                <w:sz w:val="14"/>
              </w:rPr>
              <w:t>Cutover and revocation sequence</w:t>
            </w:r>
          </w:p>
        </w:tc>
      </w:tr>
      <w:tr>
        <w:tc>
          <w:tcPr>
            <w:tcW w:type="dxa" w:w="5155"/>
            <w:vAlign w:val="center"/>
          </w:tcPr>
          <w:p>
            <w:r/>
            <w:r>
              <w:rPr>
                <w:b w:val="0"/>
                <w:sz w:val="14"/>
              </w:rPr>
              <w:t>Customer communication</w:t>
            </w:r>
          </w:p>
        </w:tc>
        <w:tc>
          <w:tcPr>
            <w:tcW w:type="dxa" w:w="5155"/>
            <w:vAlign w:val="center"/>
          </w:tcPr>
          <w:p>
            <w:r/>
            <w:r>
              <w:rPr>
                <w:b w:val="0"/>
                <w:sz w:val="14"/>
              </w:rPr>
              <w:t>Ownership and approved messaging where needed</w:t>
            </w:r>
          </w:p>
        </w:tc>
      </w:tr>
      <w:tr>
        <w:tc>
          <w:tcPr>
            <w:tcW w:type="dxa" w:w="5155"/>
            <w:vAlign w:val="center"/>
          </w:tcPr>
          <w:p>
            <w:r/>
            <w:r>
              <w:rPr>
                <w:b w:val="0"/>
                <w:sz w:val="14"/>
              </w:rPr>
              <w:t>Contract</w:t>
            </w:r>
          </w:p>
        </w:tc>
        <w:tc>
          <w:tcPr>
            <w:tcW w:type="dxa" w:w="5155"/>
            <w:vAlign w:val="center"/>
          </w:tcPr>
          <w:p>
            <w:r/>
            <w:r>
              <w:rPr>
                <w:b w:val="0"/>
                <w:sz w:val="14"/>
              </w:rPr>
              <w:t>Termination rights/assistance</w:t>
            </w:r>
          </w:p>
        </w:tc>
      </w:tr>
      <w:tr>
        <w:tc>
          <w:tcPr>
            <w:tcW w:type="dxa" w:w="5155"/>
            <w:vAlign w:val="center"/>
          </w:tcPr>
          <w:p>
            <w:r/>
            <w:r>
              <w:rPr>
                <w:b w:val="0"/>
                <w:sz w:val="14"/>
              </w:rPr>
              <w:t>Knowledge</w:t>
            </w:r>
          </w:p>
        </w:tc>
        <w:tc>
          <w:tcPr>
            <w:tcW w:type="dxa" w:w="5155"/>
            <w:vAlign w:val="center"/>
          </w:tcPr>
          <w:p>
            <w:r/>
            <w:r>
              <w:rPr>
                <w:b w:val="0"/>
                <w:sz w:val="14"/>
              </w:rPr>
              <w:t>Runbooks/configuration/contacts</w:t>
            </w:r>
          </w:p>
        </w:tc>
      </w:tr>
      <w:tr>
        <w:tc>
          <w:tcPr>
            <w:tcW w:type="dxa" w:w="5155"/>
            <w:vAlign w:val="center"/>
          </w:tcPr>
          <w:p>
            <w:r/>
            <w:r>
              <w:rPr>
                <w:b w:val="0"/>
                <w:sz w:val="14"/>
              </w:rPr>
              <w:t>Testing</w:t>
            </w:r>
          </w:p>
        </w:tc>
        <w:tc>
          <w:tcPr>
            <w:tcW w:type="dxa" w:w="5155"/>
            <w:vAlign w:val="center"/>
          </w:tcPr>
          <w:p>
            <w:r/>
            <w:r>
              <w:rPr>
                <w:b w:val="0"/>
                <w:sz w:val="14"/>
              </w:rPr>
              <w:t>Periodic walkthrough or test of key assumptions</w:t>
            </w:r>
          </w:p>
        </w:tc>
      </w:tr>
    </w:tbl>
    <w:p/>
    <w:p>
      <w:r>
        <w:br w:type="page"/>
      </w:r>
    </w:p>
    <w:p>
      <w:pPr>
        <w:pStyle w:val="Heading1"/>
      </w:pPr>
      <w:r>
        <w:t>Appendix O — Vendor Review Calendar</w:t>
      </w:r>
    </w:p>
    <w:p>
      <w:r>
        <w:t>Tier determines scheduled review, but trigger events can accelerate it.</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Tier</w:t>
            </w:r>
          </w:p>
        </w:tc>
        <w:tc>
          <w:tcPr>
            <w:tcW w:type="dxa" w:w="2577"/>
            <w:vAlign w:val="center"/>
            <w:shd w:fill="17365D"/>
          </w:tcPr>
          <w:p>
            <w:r/>
            <w:r>
              <w:rPr>
                <w:b/>
                <w:color w:val="FFFFFF"/>
                <w:sz w:val="15"/>
              </w:rPr>
              <w:t>Risk Reassessment</w:t>
            </w:r>
          </w:p>
        </w:tc>
        <w:tc>
          <w:tcPr>
            <w:tcW w:type="dxa" w:w="2577"/>
            <w:vAlign w:val="center"/>
            <w:shd w:fill="17365D"/>
          </w:tcPr>
          <w:p>
            <w:r/>
            <w:r>
              <w:rPr>
                <w:b/>
                <w:color w:val="FFFFFF"/>
                <w:sz w:val="15"/>
              </w:rPr>
              <w:t>Performance Review</w:t>
            </w:r>
          </w:p>
        </w:tc>
        <w:tc>
          <w:tcPr>
            <w:tcW w:type="dxa" w:w="2577"/>
            <w:vAlign w:val="center"/>
            <w:shd w:fill="17365D"/>
          </w:tcPr>
          <w:p>
            <w:r/>
            <w:r>
              <w:rPr>
                <w:b/>
                <w:color w:val="FFFFFF"/>
                <w:sz w:val="15"/>
              </w:rPr>
              <w:t>Exit Plan Review</w:t>
            </w:r>
          </w:p>
        </w:tc>
      </w:tr>
      <w:tr>
        <w:tc>
          <w:tcPr>
            <w:tcW w:type="dxa" w:w="2577"/>
            <w:vAlign w:val="center"/>
          </w:tcPr>
          <w:p>
            <w:r/>
            <w:r>
              <w:rPr>
                <w:b w:val="0"/>
                <w:sz w:val="14"/>
              </w:rPr>
              <w:t>T1</w:t>
            </w:r>
          </w:p>
        </w:tc>
        <w:tc>
          <w:tcPr>
            <w:tcW w:type="dxa" w:w="2577"/>
            <w:vAlign w:val="center"/>
          </w:tcPr>
          <w:p>
            <w:r/>
            <w:r>
              <w:rPr>
                <w:b w:val="0"/>
                <w:sz w:val="14"/>
              </w:rPr>
              <w:t>Annual</w:t>
            </w:r>
          </w:p>
        </w:tc>
        <w:tc>
          <w:tcPr>
            <w:tcW w:type="dxa" w:w="2577"/>
            <w:vAlign w:val="center"/>
          </w:tcPr>
          <w:p>
            <w:r/>
            <w:r>
              <w:rPr>
                <w:b w:val="0"/>
                <w:sz w:val="14"/>
              </w:rPr>
              <w:t>Quarterly</w:t>
            </w:r>
          </w:p>
        </w:tc>
        <w:tc>
          <w:tcPr>
            <w:tcW w:type="dxa" w:w="2577"/>
            <w:vAlign w:val="center"/>
          </w:tcPr>
          <w:p>
            <w:r/>
            <w:r>
              <w:rPr>
                <w:b w:val="0"/>
                <w:sz w:val="14"/>
              </w:rPr>
              <w:t>Annual</w:t>
            </w:r>
          </w:p>
        </w:tc>
      </w:tr>
      <w:tr>
        <w:tc>
          <w:tcPr>
            <w:tcW w:type="dxa" w:w="2577"/>
            <w:vAlign w:val="center"/>
          </w:tcPr>
          <w:p>
            <w:r/>
            <w:r>
              <w:rPr>
                <w:b w:val="0"/>
                <w:sz w:val="14"/>
              </w:rPr>
              <w:t>T2</w:t>
            </w:r>
          </w:p>
        </w:tc>
        <w:tc>
          <w:tcPr>
            <w:tcW w:type="dxa" w:w="2577"/>
            <w:vAlign w:val="center"/>
          </w:tcPr>
          <w:p>
            <w:r/>
            <w:r>
              <w:rPr>
                <w:b w:val="0"/>
                <w:sz w:val="14"/>
              </w:rPr>
              <w:t>Annual</w:t>
            </w:r>
          </w:p>
        </w:tc>
        <w:tc>
          <w:tcPr>
            <w:tcW w:type="dxa" w:w="2577"/>
            <w:vAlign w:val="center"/>
          </w:tcPr>
          <w:p>
            <w:r/>
            <w:r>
              <w:rPr>
                <w:b w:val="0"/>
                <w:sz w:val="14"/>
              </w:rPr>
              <w:t>Semiannual</w:t>
            </w:r>
          </w:p>
        </w:tc>
        <w:tc>
          <w:tcPr>
            <w:tcW w:type="dxa" w:w="2577"/>
            <w:vAlign w:val="center"/>
          </w:tcPr>
          <w:p>
            <w:r/>
            <w:r>
              <w:rPr>
                <w:b w:val="0"/>
                <w:sz w:val="14"/>
              </w:rPr>
              <w:t>Annual</w:t>
            </w:r>
          </w:p>
        </w:tc>
      </w:tr>
      <w:tr>
        <w:tc>
          <w:tcPr>
            <w:tcW w:type="dxa" w:w="2577"/>
            <w:vAlign w:val="center"/>
          </w:tcPr>
          <w:p>
            <w:r/>
            <w:r>
              <w:rPr>
                <w:b w:val="0"/>
                <w:sz w:val="14"/>
              </w:rPr>
              <w:t>T3</w:t>
            </w:r>
          </w:p>
        </w:tc>
        <w:tc>
          <w:tcPr>
            <w:tcW w:type="dxa" w:w="2577"/>
            <w:vAlign w:val="center"/>
          </w:tcPr>
          <w:p>
            <w:r/>
            <w:r>
              <w:rPr>
                <w:b w:val="0"/>
                <w:sz w:val="14"/>
              </w:rPr>
              <w:t>24 months</w:t>
            </w:r>
          </w:p>
        </w:tc>
        <w:tc>
          <w:tcPr>
            <w:tcW w:type="dxa" w:w="2577"/>
            <w:vAlign w:val="center"/>
          </w:tcPr>
          <w:p>
            <w:r/>
            <w:r>
              <w:rPr>
                <w:b w:val="0"/>
                <w:sz w:val="14"/>
              </w:rPr>
              <w:t>Annual / business risk-based</w:t>
            </w:r>
          </w:p>
        </w:tc>
        <w:tc>
          <w:tcPr>
            <w:tcW w:type="dxa" w:w="2577"/>
            <w:vAlign w:val="center"/>
          </w:tcPr>
          <w:p>
            <w:r/>
            <w:r>
              <w:rPr>
                <w:b w:val="0"/>
                <w:sz w:val="14"/>
              </w:rPr>
              <w:t>On material dependency</w:t>
            </w:r>
          </w:p>
        </w:tc>
      </w:tr>
      <w:tr>
        <w:tc>
          <w:tcPr>
            <w:tcW w:type="dxa" w:w="2577"/>
            <w:vAlign w:val="center"/>
          </w:tcPr>
          <w:p>
            <w:r/>
            <w:r>
              <w:rPr>
                <w:b w:val="0"/>
                <w:sz w:val="14"/>
              </w:rPr>
              <w:t>T4</w:t>
            </w:r>
          </w:p>
        </w:tc>
        <w:tc>
          <w:tcPr>
            <w:tcW w:type="dxa" w:w="2577"/>
            <w:vAlign w:val="center"/>
          </w:tcPr>
          <w:p>
            <w:r/>
            <w:r>
              <w:rPr>
                <w:b w:val="0"/>
                <w:sz w:val="14"/>
              </w:rPr>
              <w:t>36 months / simplified</w:t>
            </w:r>
          </w:p>
        </w:tc>
        <w:tc>
          <w:tcPr>
            <w:tcW w:type="dxa" w:w="2577"/>
            <w:vAlign w:val="center"/>
          </w:tcPr>
          <w:p>
            <w:r/>
            <w:r>
              <w:rPr>
                <w:b w:val="0"/>
                <w:sz w:val="14"/>
              </w:rPr>
              <w:t>As needed</w:t>
            </w:r>
          </w:p>
        </w:tc>
        <w:tc>
          <w:tcPr>
            <w:tcW w:type="dxa" w:w="2577"/>
            <w:vAlign w:val="center"/>
          </w:tcPr>
          <w:p>
            <w:r/>
            <w:r>
              <w:rPr>
                <w:b w:val="0"/>
                <w:sz w:val="14"/>
              </w:rPr>
              <w:t>Not normally</w:t>
            </w:r>
          </w:p>
        </w:tc>
      </w:tr>
    </w:tbl>
    <w:p/>
    <w:p>
      <w:r>
        <w:br w:type="page"/>
      </w:r>
    </w:p>
    <w:p>
      <w:pPr>
        <w:pStyle w:val="Heading1"/>
      </w:pPr>
      <w:r>
        <w:t>Appendix P — Vendor File Quality Checklist</w:t>
      </w:r>
    </w:p>
    <w:p>
      <w:r>
        <w:t>A complete file should allow independent reconstruction of why the vendor was accepted.</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Record</w:t>
            </w:r>
          </w:p>
        </w:tc>
        <w:tc>
          <w:tcPr>
            <w:tcW w:type="dxa" w:w="5155"/>
            <w:vAlign w:val="center"/>
            <w:shd w:fill="17365D"/>
          </w:tcPr>
          <w:p>
            <w:r/>
            <w:r>
              <w:rPr>
                <w:b/>
                <w:color w:val="FFFFFF"/>
                <w:sz w:val="15"/>
              </w:rPr>
              <w:t>Required for T1/T2</w:t>
            </w:r>
          </w:p>
        </w:tc>
      </w:tr>
      <w:tr>
        <w:tc>
          <w:tcPr>
            <w:tcW w:type="dxa" w:w="5155"/>
            <w:vAlign w:val="center"/>
          </w:tcPr>
          <w:p>
            <w:r/>
            <w:r>
              <w:rPr>
                <w:b w:val="0"/>
                <w:sz w:val="14"/>
              </w:rPr>
              <w:t>Criticality assessment</w:t>
            </w:r>
          </w:p>
        </w:tc>
        <w:tc>
          <w:tcPr>
            <w:tcW w:type="dxa" w:w="5155"/>
            <w:vAlign w:val="center"/>
          </w:tcPr>
          <w:p>
            <w:r/>
            <w:r>
              <w:rPr>
                <w:b w:val="0"/>
                <w:sz w:val="14"/>
              </w:rPr>
              <w:t>Yes</w:t>
            </w:r>
          </w:p>
        </w:tc>
      </w:tr>
      <w:tr>
        <w:tc>
          <w:tcPr>
            <w:tcW w:type="dxa" w:w="5155"/>
            <w:vAlign w:val="center"/>
          </w:tcPr>
          <w:p>
            <w:r/>
            <w:r>
              <w:rPr>
                <w:b w:val="0"/>
                <w:sz w:val="14"/>
              </w:rPr>
              <w:t>Business case/owner</w:t>
            </w:r>
          </w:p>
        </w:tc>
        <w:tc>
          <w:tcPr>
            <w:tcW w:type="dxa" w:w="5155"/>
            <w:vAlign w:val="center"/>
          </w:tcPr>
          <w:p>
            <w:r/>
            <w:r>
              <w:rPr>
                <w:b w:val="0"/>
                <w:sz w:val="14"/>
              </w:rPr>
              <w:t>Yes</w:t>
            </w:r>
          </w:p>
        </w:tc>
      </w:tr>
      <w:tr>
        <w:tc>
          <w:tcPr>
            <w:tcW w:type="dxa" w:w="5155"/>
            <w:vAlign w:val="center"/>
          </w:tcPr>
          <w:p>
            <w:r/>
            <w:r>
              <w:rPr>
                <w:b w:val="0"/>
                <w:sz w:val="14"/>
              </w:rPr>
              <w:t>Security review</w:t>
            </w:r>
          </w:p>
        </w:tc>
        <w:tc>
          <w:tcPr>
            <w:tcW w:type="dxa" w:w="5155"/>
            <w:vAlign w:val="center"/>
          </w:tcPr>
          <w:p>
            <w:r/>
            <w:r>
              <w:rPr>
                <w:b w:val="0"/>
                <w:sz w:val="14"/>
              </w:rPr>
              <w:t>Yes if data/system exposure</w:t>
            </w:r>
          </w:p>
        </w:tc>
      </w:tr>
      <w:tr>
        <w:tc>
          <w:tcPr>
            <w:tcW w:type="dxa" w:w="5155"/>
            <w:vAlign w:val="center"/>
          </w:tcPr>
          <w:p>
            <w:r/>
            <w:r>
              <w:rPr>
                <w:b w:val="0"/>
                <w:sz w:val="14"/>
              </w:rPr>
              <w:t>Financial/continuity review</w:t>
            </w:r>
          </w:p>
        </w:tc>
        <w:tc>
          <w:tcPr>
            <w:tcW w:type="dxa" w:w="5155"/>
            <w:vAlign w:val="center"/>
          </w:tcPr>
          <w:p>
            <w:r/>
            <w:r>
              <w:rPr>
                <w:b w:val="0"/>
                <w:sz w:val="14"/>
              </w:rPr>
              <w:t>Yes</w:t>
            </w:r>
          </w:p>
        </w:tc>
      </w:tr>
      <w:tr>
        <w:tc>
          <w:tcPr>
            <w:tcW w:type="dxa" w:w="5155"/>
            <w:vAlign w:val="center"/>
          </w:tcPr>
          <w:p>
            <w:r/>
            <w:r>
              <w:rPr>
                <w:b w:val="0"/>
                <w:sz w:val="14"/>
              </w:rPr>
              <w:t>Compliance specialist review</w:t>
            </w:r>
          </w:p>
        </w:tc>
        <w:tc>
          <w:tcPr>
            <w:tcW w:type="dxa" w:w="5155"/>
            <w:vAlign w:val="center"/>
          </w:tcPr>
          <w:p>
            <w:r/>
            <w:r>
              <w:rPr>
                <w:b w:val="0"/>
                <w:sz w:val="14"/>
              </w:rPr>
              <w:t>Where applicable</w:t>
            </w:r>
          </w:p>
        </w:tc>
      </w:tr>
      <w:tr>
        <w:tc>
          <w:tcPr>
            <w:tcW w:type="dxa" w:w="5155"/>
            <w:vAlign w:val="center"/>
          </w:tcPr>
          <w:p>
            <w:r/>
            <w:r>
              <w:rPr>
                <w:b w:val="0"/>
                <w:sz w:val="14"/>
              </w:rPr>
              <w:t>Open findings and acceptance</w:t>
            </w:r>
          </w:p>
        </w:tc>
        <w:tc>
          <w:tcPr>
            <w:tcW w:type="dxa" w:w="5155"/>
            <w:vAlign w:val="center"/>
          </w:tcPr>
          <w:p>
            <w:r/>
            <w:r>
              <w:rPr>
                <w:b w:val="0"/>
                <w:sz w:val="14"/>
              </w:rPr>
              <w:t>Yes</w:t>
            </w:r>
          </w:p>
        </w:tc>
      </w:tr>
      <w:tr>
        <w:tc>
          <w:tcPr>
            <w:tcW w:type="dxa" w:w="5155"/>
            <w:vAlign w:val="center"/>
          </w:tcPr>
          <w:p>
            <w:r/>
            <w:r>
              <w:rPr>
                <w:b w:val="0"/>
                <w:sz w:val="14"/>
              </w:rPr>
              <w:t>Contract control clauses</w:t>
            </w:r>
          </w:p>
        </w:tc>
        <w:tc>
          <w:tcPr>
            <w:tcW w:type="dxa" w:w="5155"/>
            <w:vAlign w:val="center"/>
          </w:tcPr>
          <w:p>
            <w:r/>
            <w:r>
              <w:rPr>
                <w:b w:val="0"/>
                <w:sz w:val="14"/>
              </w:rPr>
              <w:t>Yes</w:t>
            </w:r>
          </w:p>
        </w:tc>
      </w:tr>
      <w:tr>
        <w:tc>
          <w:tcPr>
            <w:tcW w:type="dxa" w:w="5155"/>
            <w:vAlign w:val="center"/>
          </w:tcPr>
          <w:p>
            <w:r/>
            <w:r>
              <w:rPr>
                <w:b w:val="0"/>
                <w:sz w:val="14"/>
              </w:rPr>
              <w:t>Access approvals</w:t>
            </w:r>
          </w:p>
        </w:tc>
        <w:tc>
          <w:tcPr>
            <w:tcW w:type="dxa" w:w="5155"/>
            <w:vAlign w:val="center"/>
          </w:tcPr>
          <w:p>
            <w:r/>
            <w:r>
              <w:rPr>
                <w:b w:val="0"/>
                <w:sz w:val="14"/>
              </w:rPr>
              <w:t>Where applicable</w:t>
            </w:r>
          </w:p>
        </w:tc>
      </w:tr>
      <w:tr>
        <w:tc>
          <w:tcPr>
            <w:tcW w:type="dxa" w:w="5155"/>
            <w:vAlign w:val="center"/>
          </w:tcPr>
          <w:p>
            <w:r/>
            <w:r>
              <w:rPr>
                <w:b w:val="0"/>
                <w:sz w:val="14"/>
              </w:rPr>
              <w:t>Subprocessor list</w:t>
            </w:r>
          </w:p>
        </w:tc>
        <w:tc>
          <w:tcPr>
            <w:tcW w:type="dxa" w:w="5155"/>
            <w:vAlign w:val="center"/>
          </w:tcPr>
          <w:p>
            <w:r/>
            <w:r>
              <w:rPr>
                <w:b w:val="0"/>
                <w:sz w:val="14"/>
              </w:rPr>
              <w:t>Material subprocessors</w:t>
            </w:r>
          </w:p>
        </w:tc>
      </w:tr>
      <w:tr>
        <w:tc>
          <w:tcPr>
            <w:tcW w:type="dxa" w:w="5155"/>
            <w:vAlign w:val="center"/>
          </w:tcPr>
          <w:p>
            <w:r/>
            <w:r>
              <w:rPr>
                <w:b w:val="0"/>
                <w:sz w:val="14"/>
              </w:rPr>
              <w:t>Monitoring schedule</w:t>
            </w:r>
          </w:p>
        </w:tc>
        <w:tc>
          <w:tcPr>
            <w:tcW w:type="dxa" w:w="5155"/>
            <w:vAlign w:val="center"/>
          </w:tcPr>
          <w:p>
            <w:r/>
            <w:r>
              <w:rPr>
                <w:b w:val="0"/>
                <w:sz w:val="14"/>
              </w:rPr>
              <w:t>Yes</w:t>
            </w:r>
          </w:p>
        </w:tc>
      </w:tr>
      <w:tr>
        <w:tc>
          <w:tcPr>
            <w:tcW w:type="dxa" w:w="5155"/>
            <w:vAlign w:val="center"/>
          </w:tcPr>
          <w:p>
            <w:r/>
            <w:r>
              <w:rPr>
                <w:b w:val="0"/>
                <w:sz w:val="14"/>
              </w:rPr>
              <w:t>Exit plan</w:t>
            </w:r>
          </w:p>
        </w:tc>
        <w:tc>
          <w:tcPr>
            <w:tcW w:type="dxa" w:w="5155"/>
            <w:vAlign w:val="center"/>
          </w:tcPr>
          <w:p>
            <w:r/>
            <w:r>
              <w:rPr>
                <w:b w:val="0"/>
                <w:sz w:val="14"/>
              </w:rPr>
              <w:t>Yes</w:t>
            </w:r>
          </w:p>
        </w:tc>
      </w:tr>
    </w:tbl>
    <w:p/>
    <w:sectPr w:rsidR="00FC693F" w:rsidRPr="0006063C" w:rsidSect="00034616">
      <w:headerReference w:type="default" r:id="rId9"/>
      <w:footerReference w:type="default" r:id="rId10"/>
      <w:pgSz w:w="12240" w:h="15840"/>
      <w:pgMar w:top="893" w:right="965" w:bottom="835"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2"/>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