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ADF7" w14:textId="77777777"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determine the variable step size (γ) for faster convergence in the gradient descent method for the function </w:t>
      </w:r>
    </w:p>
    <w:p w14:paraId="78ABF215" w14:textId="1126B235" w:rsidR="00526812" w:rsidRDefault="000A11B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sidRPr="000A11BC">
        <w:rPr>
          <w:rStyle w:val="Strong"/>
          <w:rFonts w:ascii="Segoe UI" w:hAnsi="Segoe UI" w:cs="Segoe UI"/>
          <w:color w:val="374151"/>
          <w:bdr w:val="single" w:sz="2" w:space="0" w:color="D9D9E3" w:frame="1"/>
        </w:rPr>
        <w:drawing>
          <wp:inline distT="0" distB="0" distL="0" distR="0" wp14:anchorId="148F65E3" wp14:editId="5C4465A4">
            <wp:extent cx="2619741" cy="238158"/>
            <wp:effectExtent l="0" t="0" r="9525" b="9525"/>
            <wp:docPr id="61440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0876" name=""/>
                    <pic:cNvPicPr/>
                  </pic:nvPicPr>
                  <pic:blipFill>
                    <a:blip r:embed="rId5"/>
                    <a:stretch>
                      <a:fillRect/>
                    </a:stretch>
                  </pic:blipFill>
                  <pic:spPr>
                    <a:xfrm>
                      <a:off x="0" y="0"/>
                      <a:ext cx="2619741" cy="238158"/>
                    </a:xfrm>
                    <a:prstGeom prst="rect">
                      <a:avLst/>
                    </a:prstGeom>
                  </pic:spPr>
                </pic:pic>
              </a:graphicData>
            </a:graphic>
          </wp:inline>
        </w:drawing>
      </w:r>
    </w:p>
    <w:p w14:paraId="17ECAF36" w14:textId="4000C5AA"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 Constant Step Size:</w:t>
      </w:r>
      <w:r>
        <w:rPr>
          <w:rFonts w:ascii="Segoe UI" w:hAnsi="Segoe UI" w:cs="Segoe UI"/>
          <w:color w:val="374151"/>
        </w:rPr>
        <w:t xml:space="preserve"> In the constant step size approach, you use the same step size (γ) for each iteration of gradient descent. The update rule is:</w:t>
      </w:r>
    </w:p>
    <w:p w14:paraId="0561EE38" w14:textId="1178E271" w:rsidR="000A11BC" w:rsidRDefault="003B2A6B"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B2A6B">
        <w:rPr>
          <w:rFonts w:ascii="Segoe UI" w:hAnsi="Segoe UI" w:cs="Segoe UI"/>
          <w:color w:val="374151"/>
        </w:rPr>
        <w:drawing>
          <wp:inline distT="0" distB="0" distL="0" distR="0" wp14:anchorId="6593B0C3" wp14:editId="6DF10D04">
            <wp:extent cx="2000529" cy="295316"/>
            <wp:effectExtent l="0" t="0" r="0" b="9525"/>
            <wp:docPr id="116166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65575" name=""/>
                    <pic:cNvPicPr/>
                  </pic:nvPicPr>
                  <pic:blipFill>
                    <a:blip r:embed="rId6"/>
                    <a:stretch>
                      <a:fillRect/>
                    </a:stretch>
                  </pic:blipFill>
                  <pic:spPr>
                    <a:xfrm>
                      <a:off x="0" y="0"/>
                      <a:ext cx="2000529" cy="295316"/>
                    </a:xfrm>
                    <a:prstGeom prst="rect">
                      <a:avLst/>
                    </a:prstGeom>
                  </pic:spPr>
                </pic:pic>
              </a:graphicData>
            </a:graphic>
          </wp:inline>
        </w:drawing>
      </w:r>
    </w:p>
    <w:p w14:paraId="1DDFBADE" w14:textId="538D4D09"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constant step size (</w:t>
      </w:r>
      <w:r>
        <w:rPr>
          <w:rStyle w:val="mord"/>
          <w:rFonts w:ascii="KaTeX_Math" w:hAnsi="KaTeX_Math"/>
          <w:i/>
          <w:iCs/>
          <w:color w:val="374151"/>
          <w:sz w:val="29"/>
          <w:szCs w:val="29"/>
          <w:bdr w:val="single" w:sz="2" w:space="0" w:color="D9D9E3" w:frame="1"/>
        </w:rPr>
        <w:t>γ</w:t>
      </w:r>
      <w:r>
        <w:rPr>
          <w:rFonts w:ascii="Segoe UI" w:hAnsi="Segoe UI" w:cs="Segoe UI"/>
          <w:color w:val="374151"/>
        </w:rPr>
        <w:t>) is typically chosen empirically. A common choice is to use a small value such as 0.01, 0.001, or other values that depend on the specific problem.</w:t>
      </w:r>
    </w:p>
    <w:p w14:paraId="2B10A4A7" w14:textId="6ED13266"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ii) Decaying Step Size:</w:t>
      </w:r>
      <w:r>
        <w:rPr>
          <w:rFonts w:ascii="Segoe UI" w:hAnsi="Segoe UI" w:cs="Segoe UI"/>
          <w:color w:val="374151"/>
        </w:rPr>
        <w:t xml:space="preserve"> Decaying step size means that the step size (</w:t>
      </w:r>
      <w:r>
        <w:rPr>
          <w:rStyle w:val="mord"/>
          <w:rFonts w:ascii="KaTeX_Math" w:hAnsi="KaTeX_Math"/>
          <w:i/>
          <w:iCs/>
          <w:color w:val="374151"/>
          <w:sz w:val="29"/>
          <w:szCs w:val="29"/>
          <w:bdr w:val="single" w:sz="2" w:space="0" w:color="D9D9E3" w:frame="1"/>
        </w:rPr>
        <w:t>γ</w:t>
      </w:r>
      <w:r>
        <w:rPr>
          <w:rFonts w:ascii="Segoe UI" w:hAnsi="Segoe UI" w:cs="Segoe UI"/>
          <w:color w:val="374151"/>
        </w:rPr>
        <w:t>) decreases over time, which can help achieve faster convergence in the beginning and stability towards the end. One common choice for a decaying step size is:</w:t>
      </w:r>
    </w:p>
    <w:p w14:paraId="08764D23" w14:textId="28BA9253" w:rsidR="00BE5A00" w:rsidRDefault="00BE5A00"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BE5A00">
        <w:rPr>
          <w:rFonts w:ascii="Segoe UI" w:hAnsi="Segoe UI" w:cs="Segoe UI"/>
          <w:color w:val="374151"/>
        </w:rPr>
        <w:drawing>
          <wp:inline distT="0" distB="0" distL="0" distR="0" wp14:anchorId="188C2FF4" wp14:editId="55186726">
            <wp:extent cx="1066949" cy="285790"/>
            <wp:effectExtent l="0" t="0" r="0" b="0"/>
            <wp:docPr id="48886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68665" name=""/>
                    <pic:cNvPicPr/>
                  </pic:nvPicPr>
                  <pic:blipFill>
                    <a:blip r:embed="rId7"/>
                    <a:stretch>
                      <a:fillRect/>
                    </a:stretch>
                  </pic:blipFill>
                  <pic:spPr>
                    <a:xfrm>
                      <a:off x="0" y="0"/>
                      <a:ext cx="1066949" cy="285790"/>
                    </a:xfrm>
                    <a:prstGeom prst="rect">
                      <a:avLst/>
                    </a:prstGeom>
                  </pic:spPr>
                </pic:pic>
              </a:graphicData>
            </a:graphic>
          </wp:inline>
        </w:drawing>
      </w:r>
    </w:p>
    <w:p w14:paraId="07090D4C" w14:textId="7B3B6A93"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where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0</w:t>
      </w:r>
      <w:r>
        <w:rPr>
          <w:rStyle w:val="vlist-s"/>
          <w:color w:val="374151"/>
          <w:sz w:val="2"/>
          <w:szCs w:val="2"/>
          <w:bdr w:val="single" w:sz="2" w:space="0" w:color="D9D9E3" w:frame="1"/>
        </w:rPr>
        <w:t>​</w:t>
      </w:r>
      <w:r>
        <w:rPr>
          <w:rFonts w:ascii="Segoe UI" w:hAnsi="Segoe UI" w:cs="Segoe UI"/>
          <w:color w:val="374151"/>
        </w:rPr>
        <w:t xml:space="preserve"> is an initial step size, and </w:t>
      </w:r>
      <w:r>
        <w:rPr>
          <w:rStyle w:val="mord"/>
          <w:rFonts w:ascii="KaTeX_Math" w:hAnsi="KaTeX_Math"/>
          <w:i/>
          <w:iCs/>
          <w:color w:val="374151"/>
          <w:sz w:val="29"/>
          <w:szCs w:val="29"/>
          <w:bdr w:val="single" w:sz="2" w:space="0" w:color="D9D9E3" w:frame="1"/>
        </w:rPr>
        <w:t>k</w:t>
      </w:r>
      <w:r>
        <w:rPr>
          <w:rFonts w:ascii="Segoe UI" w:hAnsi="Segoe UI" w:cs="Segoe UI"/>
          <w:color w:val="374151"/>
        </w:rPr>
        <w:t xml:space="preserve"> is the current iteration.</w:t>
      </w:r>
    </w:p>
    <w:p w14:paraId="014FD602" w14:textId="77777777"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idea here is that the step size starts relatively large and gradually reduces, which can speed up convergence initially and prevent overshooting in later iterations.</w:t>
      </w:r>
    </w:p>
    <w:p w14:paraId="6ED1C372" w14:textId="76F151A5"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iii) Bold Driver Algorithm:</w:t>
      </w:r>
      <w:r>
        <w:rPr>
          <w:rFonts w:ascii="Segoe UI" w:hAnsi="Segoe UI" w:cs="Segoe UI"/>
          <w:color w:val="374151"/>
        </w:rPr>
        <w:t xml:space="preserve"> The Bold Driver algorithm is a heuristic approach for dynamically adjusting the step size. It uses two parameters: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1</w:t>
      </w:r>
      <w:r>
        <w:rPr>
          <w:rStyle w:val="vlist-s"/>
          <w:color w:val="374151"/>
          <w:sz w:val="2"/>
          <w:szCs w:val="2"/>
          <w:bdr w:val="single" w:sz="2" w:space="0" w:color="D9D9E3" w:frame="1"/>
        </w:rPr>
        <w:t>​</w:t>
      </w:r>
      <w:r>
        <w:rPr>
          <w:rFonts w:ascii="Segoe UI" w:hAnsi="Segoe UI" w:cs="Segoe UI"/>
          <w:color w:val="374151"/>
        </w:rPr>
        <w:t xml:space="preserve"> and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2</w:t>
      </w:r>
      <w:r>
        <w:rPr>
          <w:rStyle w:val="vlist-s"/>
          <w:color w:val="374151"/>
          <w:sz w:val="2"/>
          <w:szCs w:val="2"/>
          <w:bdr w:val="single" w:sz="2" w:space="0" w:color="D9D9E3" w:frame="1"/>
        </w:rPr>
        <w:t>​</w:t>
      </w:r>
      <w:r>
        <w:rPr>
          <w:rFonts w:ascii="Segoe UI" w:hAnsi="Segoe UI" w:cs="Segoe UI"/>
          <w:color w:val="374151"/>
        </w:rPr>
        <w:t xml:space="preserve">, where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1</w:t>
      </w:r>
      <w:r>
        <w:rPr>
          <w:rStyle w:val="vlist-s"/>
          <w:color w:val="374151"/>
          <w:sz w:val="2"/>
          <w:szCs w:val="2"/>
          <w:bdr w:val="single" w:sz="2" w:space="0" w:color="D9D9E3" w:frame="1"/>
        </w:rPr>
        <w:t>​</w:t>
      </w:r>
      <w:r>
        <w:rPr>
          <w:rStyle w:val="mrel"/>
          <w:color w:val="374151"/>
          <w:sz w:val="29"/>
          <w:szCs w:val="29"/>
          <w:bdr w:val="single" w:sz="2" w:space="0" w:color="D9D9E3" w:frame="1"/>
        </w:rPr>
        <w:t>&gt;</w:t>
      </w:r>
      <w:r>
        <w:rPr>
          <w:rStyle w:val="mord"/>
          <w:color w:val="374151"/>
          <w:sz w:val="29"/>
          <w:szCs w:val="29"/>
          <w:bdr w:val="single" w:sz="2" w:space="0" w:color="D9D9E3" w:frame="1"/>
        </w:rPr>
        <w:t>1</w:t>
      </w:r>
      <w:r>
        <w:rPr>
          <w:rFonts w:ascii="Segoe UI" w:hAnsi="Segoe UI" w:cs="Segoe UI"/>
          <w:color w:val="374151"/>
        </w:rPr>
        <w:t xml:space="preserve"> and </w:t>
      </w:r>
      <w:r w:rsidR="003E78C7">
        <w:rPr>
          <w:rStyle w:val="katex-mathml"/>
          <w:color w:val="374151"/>
          <w:sz w:val="29"/>
          <w:szCs w:val="29"/>
          <w:bdr w:val="none" w:sz="0" w:space="0" w:color="auto" w:frame="1"/>
        </w:rPr>
        <w:t xml:space="preserve"> 0&lt;</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2</w:t>
      </w:r>
      <w:r>
        <w:rPr>
          <w:rStyle w:val="vlist-s"/>
          <w:color w:val="374151"/>
          <w:sz w:val="2"/>
          <w:szCs w:val="2"/>
          <w:bdr w:val="single" w:sz="2" w:space="0" w:color="D9D9E3" w:frame="1"/>
        </w:rPr>
        <w:t>​</w:t>
      </w:r>
      <w:r>
        <w:rPr>
          <w:rStyle w:val="mrel"/>
          <w:color w:val="374151"/>
          <w:sz w:val="29"/>
          <w:szCs w:val="29"/>
          <w:bdr w:val="single" w:sz="2" w:space="0" w:color="D9D9E3" w:frame="1"/>
        </w:rPr>
        <w:t>&lt;</w:t>
      </w:r>
      <w:r>
        <w:rPr>
          <w:rStyle w:val="mord"/>
          <w:color w:val="374151"/>
          <w:sz w:val="29"/>
          <w:szCs w:val="29"/>
          <w:bdr w:val="single" w:sz="2" w:space="0" w:color="D9D9E3" w:frame="1"/>
        </w:rPr>
        <w:t>1</w:t>
      </w:r>
      <w:r>
        <w:rPr>
          <w:rFonts w:ascii="Segoe UI" w:hAnsi="Segoe UI" w:cs="Segoe UI"/>
          <w:color w:val="374151"/>
        </w:rPr>
        <w:t>. The update rule for the step size is as follows:</w:t>
      </w:r>
    </w:p>
    <w:p w14:paraId="7E91A3CB" w14:textId="77777777" w:rsidR="00D90EC7" w:rsidRDefault="0050764C" w:rsidP="005076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new solution is better than the previous one (i.e.</w:t>
      </w:r>
      <w:r w:rsidR="00D90EC7">
        <w:rPr>
          <w:rFonts w:ascii="Segoe UI" w:hAnsi="Segoe UI" w:cs="Segoe UI"/>
          <w:color w:val="374151"/>
        </w:rPr>
        <w:t xml:space="preserve"> </w:t>
      </w:r>
      <w:r>
        <w:rPr>
          <w:rFonts w:ascii="Segoe UI" w:hAnsi="Segoe UI" w:cs="Segoe UI"/>
          <w:color w:val="374151"/>
        </w:rPr>
        <w:t xml:space="preserve">, </w:t>
      </w:r>
    </w:p>
    <w:p w14:paraId="6FA88917" w14:textId="6FBEFF77" w:rsidR="00D90EC7" w:rsidRDefault="00006D4D" w:rsidP="00D90EC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006D4D">
        <w:rPr>
          <w:rFonts w:ascii="Segoe UI" w:hAnsi="Segoe UI" w:cs="Segoe UI"/>
          <w:color w:val="374151"/>
        </w:rPr>
        <w:drawing>
          <wp:inline distT="0" distB="0" distL="0" distR="0" wp14:anchorId="0D5B6C26" wp14:editId="0750A149">
            <wp:extent cx="1514686" cy="371527"/>
            <wp:effectExtent l="0" t="0" r="0" b="9525"/>
            <wp:docPr id="93545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7551" name=""/>
                    <pic:cNvPicPr/>
                  </pic:nvPicPr>
                  <pic:blipFill>
                    <a:blip r:embed="rId8"/>
                    <a:stretch>
                      <a:fillRect/>
                    </a:stretch>
                  </pic:blipFill>
                  <pic:spPr>
                    <a:xfrm>
                      <a:off x="0" y="0"/>
                      <a:ext cx="1514686" cy="371527"/>
                    </a:xfrm>
                    <a:prstGeom prst="rect">
                      <a:avLst/>
                    </a:prstGeom>
                  </pic:spPr>
                </pic:pic>
              </a:graphicData>
            </a:graphic>
          </wp:inline>
        </w:drawing>
      </w:r>
    </w:p>
    <w:p w14:paraId="0043D984" w14:textId="0C57D4D6" w:rsidR="0050764C" w:rsidRDefault="0050764C" w:rsidP="005076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 the step size:</w:t>
      </w:r>
    </w:p>
    <w:p w14:paraId="55CDC6F8" w14:textId="42E44ACB" w:rsidR="00006D4D" w:rsidRDefault="00CB46BB" w:rsidP="00CB46B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CB46BB">
        <w:rPr>
          <w:rFonts w:ascii="Segoe UI" w:hAnsi="Segoe UI" w:cs="Segoe UI"/>
          <w:color w:val="374151"/>
        </w:rPr>
        <w:drawing>
          <wp:inline distT="0" distB="0" distL="0" distR="0" wp14:anchorId="4B16184D" wp14:editId="29AF118C">
            <wp:extent cx="1095528" cy="190527"/>
            <wp:effectExtent l="0" t="0" r="0" b="0"/>
            <wp:docPr id="84391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15856" name=""/>
                    <pic:cNvPicPr/>
                  </pic:nvPicPr>
                  <pic:blipFill>
                    <a:blip r:embed="rId9"/>
                    <a:stretch>
                      <a:fillRect/>
                    </a:stretch>
                  </pic:blipFill>
                  <pic:spPr>
                    <a:xfrm>
                      <a:off x="0" y="0"/>
                      <a:ext cx="1095528" cy="190527"/>
                    </a:xfrm>
                    <a:prstGeom prst="rect">
                      <a:avLst/>
                    </a:prstGeom>
                  </pic:spPr>
                </pic:pic>
              </a:graphicData>
            </a:graphic>
          </wp:inline>
        </w:drawing>
      </w:r>
    </w:p>
    <w:p w14:paraId="245B482B" w14:textId="77777777" w:rsidR="00CB46BB" w:rsidRDefault="0050764C" w:rsidP="0050764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new solution is worse than the previous one, decrease the step size: </w:t>
      </w:r>
    </w:p>
    <w:p w14:paraId="597AEA79" w14:textId="0C736D67" w:rsidR="00CB46BB" w:rsidRDefault="005877BE" w:rsidP="00CB46B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sidRPr="005877BE">
        <w:rPr>
          <w:rFonts w:ascii="Segoe UI" w:hAnsi="Segoe UI" w:cs="Segoe UI"/>
          <w:color w:val="374151"/>
        </w:rPr>
        <w:drawing>
          <wp:inline distT="0" distB="0" distL="0" distR="0" wp14:anchorId="4338C988" wp14:editId="74983A53">
            <wp:extent cx="1219370" cy="219106"/>
            <wp:effectExtent l="0" t="0" r="0" b="9525"/>
            <wp:docPr id="200415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54225" name=""/>
                    <pic:cNvPicPr/>
                  </pic:nvPicPr>
                  <pic:blipFill>
                    <a:blip r:embed="rId10"/>
                    <a:stretch>
                      <a:fillRect/>
                    </a:stretch>
                  </pic:blipFill>
                  <pic:spPr>
                    <a:xfrm>
                      <a:off x="0" y="0"/>
                      <a:ext cx="1219370" cy="219106"/>
                    </a:xfrm>
                    <a:prstGeom prst="rect">
                      <a:avLst/>
                    </a:prstGeom>
                  </pic:spPr>
                </pic:pic>
              </a:graphicData>
            </a:graphic>
          </wp:inline>
        </w:drawing>
      </w:r>
    </w:p>
    <w:p w14:paraId="7A532CE4" w14:textId="77777777"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Bold Driver algorithm dynamically adapts the step size based on the performance of the updates. This helps in achieving faster convergence by increasing the step size when the gradient descent is making good progress and decreasing it when needed.</w:t>
      </w:r>
    </w:p>
    <w:p w14:paraId="63EE2887" w14:textId="2508CFF4" w:rsidR="0050764C" w:rsidRDefault="0050764C"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choice of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1</w:t>
      </w:r>
      <w:r>
        <w:rPr>
          <w:rStyle w:val="vlist-s"/>
          <w:color w:val="374151"/>
          <w:sz w:val="2"/>
          <w:szCs w:val="2"/>
          <w:bdr w:val="single" w:sz="2" w:space="0" w:color="D9D9E3" w:frame="1"/>
        </w:rPr>
        <w:t>​</w:t>
      </w:r>
      <w:r>
        <w:rPr>
          <w:rFonts w:ascii="Segoe UI" w:hAnsi="Segoe UI" w:cs="Segoe UI"/>
          <w:color w:val="374151"/>
        </w:rPr>
        <w:t xml:space="preserve"> and </w:t>
      </w:r>
      <w:r>
        <w:rPr>
          <w:rStyle w:val="mord"/>
          <w:rFonts w:ascii="KaTeX_Math" w:hAnsi="KaTeX_Math"/>
          <w:i/>
          <w:iCs/>
          <w:color w:val="374151"/>
          <w:sz w:val="29"/>
          <w:szCs w:val="29"/>
          <w:bdr w:val="single" w:sz="2" w:space="0" w:color="D9D9E3" w:frame="1"/>
        </w:rPr>
        <w:t>α</w:t>
      </w:r>
      <w:r>
        <w:rPr>
          <w:rStyle w:val="mord"/>
          <w:color w:val="374151"/>
          <w:sz w:val="20"/>
          <w:szCs w:val="20"/>
          <w:bdr w:val="single" w:sz="2" w:space="0" w:color="D9D9E3" w:frame="1"/>
        </w:rPr>
        <w:t>2</w:t>
      </w:r>
      <w:r>
        <w:rPr>
          <w:rStyle w:val="vlist-s"/>
          <w:color w:val="374151"/>
          <w:sz w:val="2"/>
          <w:szCs w:val="2"/>
          <w:bdr w:val="single" w:sz="2" w:space="0" w:color="D9D9E3" w:frame="1"/>
        </w:rPr>
        <w:t>​</w:t>
      </w:r>
      <w:r>
        <w:rPr>
          <w:rFonts w:ascii="Segoe UI" w:hAnsi="Segoe UI" w:cs="Segoe UI"/>
          <w:color w:val="374151"/>
        </w:rPr>
        <w:t xml:space="preserve"> in the Bold Driver algorithm depends on the specific problem and may require experimentation to find suitable values for optimal convergence.</w:t>
      </w:r>
    </w:p>
    <w:p w14:paraId="52AFA15A" w14:textId="36E3C498" w:rsidR="00C52725" w:rsidRDefault="00C52725"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 xml:space="preserve">To compare these three approaches (constant step size, decaying step size, and Bold Driver algorithm), you can run gradient descent with each method on your function </w:t>
      </w:r>
      <w:r>
        <w:rPr>
          <w:rStyle w:val="mord"/>
          <w:rFonts w:ascii="KaTeX_Math" w:hAnsi="KaTeX_Math"/>
          <w:i/>
          <w:iCs/>
          <w:color w:val="374151"/>
          <w:sz w:val="29"/>
          <w:szCs w:val="29"/>
          <w:bdr w:val="single" w:sz="2" w:space="0" w:color="D9D9E3" w:frame="1"/>
          <w:shd w:val="clear" w:color="auto" w:fill="F7F7F8"/>
        </w:rPr>
        <w:t>f</w:t>
      </w:r>
      <w:r>
        <w:rPr>
          <w:rStyle w:val="mopen"/>
          <w:color w:val="374151"/>
          <w:sz w:val="29"/>
          <w:szCs w:val="29"/>
          <w:bdr w:val="single" w:sz="2" w:space="0" w:color="D9D9E3" w:frame="1"/>
          <w:shd w:val="clear" w:color="auto" w:fill="F7F7F8"/>
        </w:rPr>
        <w:t>(</w:t>
      </w:r>
      <w:r>
        <w:rPr>
          <w:rStyle w:val="mord"/>
          <w:rFonts w:ascii="KaTeX_Math" w:hAnsi="KaTeX_Math"/>
          <w:i/>
          <w:iCs/>
          <w:color w:val="374151"/>
          <w:sz w:val="29"/>
          <w:szCs w:val="29"/>
          <w:bdr w:val="single" w:sz="2" w:space="0" w:color="D9D9E3" w:frame="1"/>
          <w:shd w:val="clear" w:color="auto" w:fill="F7F7F8"/>
        </w:rPr>
        <w:t>x</w:t>
      </w:r>
      <w:r>
        <w:rPr>
          <w:rStyle w:val="mclose"/>
          <w:color w:val="374151"/>
          <w:sz w:val="29"/>
          <w:szCs w:val="29"/>
          <w:bdr w:val="single" w:sz="2" w:space="0" w:color="D9D9E3" w:frame="1"/>
          <w:shd w:val="clear" w:color="auto" w:fill="F7F7F8"/>
        </w:rPr>
        <w:t>)</w:t>
      </w:r>
      <w:r>
        <w:rPr>
          <w:rFonts w:ascii="Segoe UI" w:hAnsi="Segoe UI" w:cs="Segoe UI"/>
          <w:color w:val="374151"/>
          <w:shd w:val="clear" w:color="auto" w:fill="F7F7F8"/>
        </w:rPr>
        <w:t>. Monitor the convergence behavior, the number of iterations required to reach a certain accuracy, and the final solution obtained in each case. This comparison will provide insights into which method works best for your particular optimization problem.</w:t>
      </w:r>
    </w:p>
    <w:p w14:paraId="141BBF35" w14:textId="77777777" w:rsidR="00C52725" w:rsidRDefault="00C52725" w:rsidP="005076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7ABDF1D" w14:textId="2A4BFEEA" w:rsidR="00E35E2C" w:rsidRPr="00215C06" w:rsidRDefault="00E35E2C" w:rsidP="00215C06"/>
    <w:sectPr w:rsidR="00E35E2C" w:rsidRPr="0021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582B"/>
    <w:multiLevelType w:val="multilevel"/>
    <w:tmpl w:val="57D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BB328D"/>
    <w:multiLevelType w:val="multilevel"/>
    <w:tmpl w:val="1A9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34219">
    <w:abstractNumId w:val="0"/>
  </w:num>
  <w:num w:numId="2" w16cid:durableId="747725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75"/>
    <w:rsid w:val="00006D4D"/>
    <w:rsid w:val="000A11BC"/>
    <w:rsid w:val="000C7CC6"/>
    <w:rsid w:val="001422B6"/>
    <w:rsid w:val="00215C06"/>
    <w:rsid w:val="003467D7"/>
    <w:rsid w:val="003B2A6B"/>
    <w:rsid w:val="003E78C7"/>
    <w:rsid w:val="00404D7E"/>
    <w:rsid w:val="0043514D"/>
    <w:rsid w:val="004B751E"/>
    <w:rsid w:val="004E2B3B"/>
    <w:rsid w:val="0050764C"/>
    <w:rsid w:val="00526812"/>
    <w:rsid w:val="00574E70"/>
    <w:rsid w:val="005877BE"/>
    <w:rsid w:val="008E0675"/>
    <w:rsid w:val="00A43DEC"/>
    <w:rsid w:val="00A554FF"/>
    <w:rsid w:val="00B34946"/>
    <w:rsid w:val="00BE5A00"/>
    <w:rsid w:val="00C52725"/>
    <w:rsid w:val="00C55E4F"/>
    <w:rsid w:val="00CB46BB"/>
    <w:rsid w:val="00CC499E"/>
    <w:rsid w:val="00D04F84"/>
    <w:rsid w:val="00D90EC7"/>
    <w:rsid w:val="00E35E2C"/>
    <w:rsid w:val="00EF1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137"/>
  <w15:chartTrackingRefBased/>
  <w15:docId w15:val="{D531A673-072B-4B0F-AF1C-3C57DB9A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5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751E"/>
    <w:rPr>
      <w:b/>
      <w:bCs/>
    </w:rPr>
  </w:style>
  <w:style w:type="character" w:customStyle="1" w:styleId="katex-mathml">
    <w:name w:val="katex-mathml"/>
    <w:basedOn w:val="DefaultParagraphFont"/>
    <w:rsid w:val="004B751E"/>
  </w:style>
  <w:style w:type="character" w:customStyle="1" w:styleId="mord">
    <w:name w:val="mord"/>
    <w:basedOn w:val="DefaultParagraphFont"/>
    <w:rsid w:val="004B751E"/>
  </w:style>
  <w:style w:type="character" w:customStyle="1" w:styleId="mbin">
    <w:name w:val="mbin"/>
    <w:basedOn w:val="DefaultParagraphFont"/>
    <w:rsid w:val="004B751E"/>
  </w:style>
  <w:style w:type="character" w:customStyle="1" w:styleId="vlist-s">
    <w:name w:val="vlist-s"/>
    <w:basedOn w:val="DefaultParagraphFont"/>
    <w:rsid w:val="004B751E"/>
  </w:style>
  <w:style w:type="character" w:customStyle="1" w:styleId="mrel">
    <w:name w:val="mrel"/>
    <w:basedOn w:val="DefaultParagraphFont"/>
    <w:rsid w:val="004B751E"/>
  </w:style>
  <w:style w:type="character" w:customStyle="1" w:styleId="mopen">
    <w:name w:val="mopen"/>
    <w:basedOn w:val="DefaultParagraphFont"/>
    <w:rsid w:val="004B751E"/>
  </w:style>
  <w:style w:type="character" w:customStyle="1" w:styleId="mclose">
    <w:name w:val="mclose"/>
    <w:basedOn w:val="DefaultParagraphFont"/>
    <w:rsid w:val="004B751E"/>
  </w:style>
  <w:style w:type="character" w:customStyle="1" w:styleId="mop">
    <w:name w:val="mop"/>
    <w:basedOn w:val="DefaultParagraphFont"/>
    <w:rsid w:val="004E2B3B"/>
  </w:style>
  <w:style w:type="character" w:styleId="PlaceholderText">
    <w:name w:val="Placeholder Text"/>
    <w:basedOn w:val="DefaultParagraphFont"/>
    <w:uiPriority w:val="99"/>
    <w:semiHidden/>
    <w:rsid w:val="00526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0296">
      <w:bodyDiv w:val="1"/>
      <w:marLeft w:val="0"/>
      <w:marRight w:val="0"/>
      <w:marTop w:val="0"/>
      <w:marBottom w:val="0"/>
      <w:divBdr>
        <w:top w:val="none" w:sz="0" w:space="0" w:color="auto"/>
        <w:left w:val="none" w:sz="0" w:space="0" w:color="auto"/>
        <w:bottom w:val="none" w:sz="0" w:space="0" w:color="auto"/>
        <w:right w:val="none" w:sz="0" w:space="0" w:color="auto"/>
      </w:divBdr>
    </w:div>
    <w:div w:id="540824295">
      <w:bodyDiv w:val="1"/>
      <w:marLeft w:val="0"/>
      <w:marRight w:val="0"/>
      <w:marTop w:val="0"/>
      <w:marBottom w:val="0"/>
      <w:divBdr>
        <w:top w:val="none" w:sz="0" w:space="0" w:color="auto"/>
        <w:left w:val="none" w:sz="0" w:space="0" w:color="auto"/>
        <w:bottom w:val="none" w:sz="0" w:space="0" w:color="auto"/>
        <w:right w:val="none" w:sz="0" w:space="0" w:color="auto"/>
      </w:divBdr>
    </w:div>
    <w:div w:id="1221329307">
      <w:bodyDiv w:val="1"/>
      <w:marLeft w:val="0"/>
      <w:marRight w:val="0"/>
      <w:marTop w:val="0"/>
      <w:marBottom w:val="0"/>
      <w:divBdr>
        <w:top w:val="none" w:sz="0" w:space="0" w:color="auto"/>
        <w:left w:val="none" w:sz="0" w:space="0" w:color="auto"/>
        <w:bottom w:val="none" w:sz="0" w:space="0" w:color="auto"/>
        <w:right w:val="none" w:sz="0" w:space="0" w:color="auto"/>
      </w:divBdr>
    </w:div>
    <w:div w:id="1317033892">
      <w:bodyDiv w:val="1"/>
      <w:marLeft w:val="0"/>
      <w:marRight w:val="0"/>
      <w:marTop w:val="0"/>
      <w:marBottom w:val="0"/>
      <w:divBdr>
        <w:top w:val="none" w:sz="0" w:space="0" w:color="auto"/>
        <w:left w:val="none" w:sz="0" w:space="0" w:color="auto"/>
        <w:bottom w:val="none" w:sz="0" w:space="0" w:color="auto"/>
        <w:right w:val="none" w:sz="0" w:space="0" w:color="auto"/>
      </w:divBdr>
    </w:div>
    <w:div w:id="13516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Verma</dc:creator>
  <cp:keywords/>
  <dc:description/>
  <cp:lastModifiedBy>Pushkar Verma</cp:lastModifiedBy>
  <cp:revision>24</cp:revision>
  <dcterms:created xsi:type="dcterms:W3CDTF">2023-10-18T14:21:00Z</dcterms:created>
  <dcterms:modified xsi:type="dcterms:W3CDTF">2023-10-18T14:51:00Z</dcterms:modified>
</cp:coreProperties>
</file>