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before="240" w:after="360"/>
        <w:jc w:val="center"/>
      </w:pPr>
      <w:r>
        <w:rPr>
          <w:b/>
          <w:bCs/>
          <w:color w:val="1F4E78"/>
          <w:sz w:val="36"/>
          <w:szCs w:val="36"/>
        </w:rPr>
        <w:t xml:space="preserve">COMPREHENSIVE PROJECT REPORT</w:t>
      </w:r>
    </w:p>
    <w:p>
      <w:pPr>
        <w:spacing w:after="480"/>
        <w:jc w:val="center"/>
      </w:pPr>
      <w:r>
        <w:rPr>
          <w:i/>
          <w:iCs/>
          <w:color w:val="2E5090"/>
          <w:sz w:val="28"/>
          <w:szCs w:val="28"/>
        </w:rPr>
        <w:t xml:space="preserve">Digital Literacy &amp; Cybersecurity Portfolio</w:t>
      </w:r>
    </w:p>
    <w:p>
      <w:pPr>
        <w:pBdr>
          <w:top w:val="single" w:color="1F4E78" w:sz="12" w:space="1"/>
        </w:pBdr>
        <w:spacing w:after="48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1F4E78" w:sz="6"/>
              <w:left w:val="single" w:color="1F4E78" w:sz="6"/>
              <w:bottom w:val="single" w:color="1F4E78" w:sz="6"/>
              <w:right w:val="single" w:color="1F4E78" w:sz="6"/>
            </w:tcBorders>
            <w:shd w:fill="2E5090" w:val="clear"/>
            <w:tcMar>
              <w:top w:type="dxa" w:w="100"/>
              <w:left w:type="dxa" w:w="120"/>
              <w:bottom w:type="dxa" w:w="100"/>
              <w:right w:type="dxa" w:w="120"/>
            </w:tcMar>
          </w:tcPr>
          <w:p>
            <w:r>
              <w:rPr>
                <w:b/>
                <w:bCs/>
                <w:color w:val="FFFFFF"/>
                <w:sz w:val="24"/>
                <w:szCs w:val="24"/>
              </w:rPr>
              <w:t xml:space="preserve">Name</w:t>
            </w:r>
          </w:p>
        </w:tc>
        <w:tc>
          <w:tcPr>
            <w:tcBorders>
              <w:top w:val="single" w:color="1F4E78" w:sz="6"/>
              <w:left w:val="single" w:color="1F4E78" w:sz="6"/>
              <w:bottom w:val="single" w:color="1F4E78" w:sz="6"/>
              <w:right w:val="single" w:color="1F4E78" w:sz="6"/>
            </w:tcBorders>
            <w:tcMar>
              <w:top w:type="dxa" w:w="100"/>
              <w:left w:type="dxa" w:w="120"/>
              <w:bottom w:type="dxa" w:w="100"/>
              <w:right w:type="dxa" w:w="120"/>
            </w:tcMar>
          </w:tcPr>
          <w:p>
            <w:r>
              <w:t xml:space="preserve">Pushkar Sinha</w:t>
            </w:r>
          </w:p>
        </w:tc>
      </w:tr>
      <w:tr>
        <w:tc>
          <w:tcPr>
            <w:tcBorders>
              <w:top w:val="single" w:color="1F4E78" w:sz="6"/>
              <w:left w:val="single" w:color="1F4E78" w:sz="6"/>
              <w:bottom w:val="single" w:color="1F4E78" w:sz="6"/>
              <w:right w:val="single" w:color="1F4E78" w:sz="6"/>
            </w:tcBorders>
            <w:shd w:fill="2E5090" w:val="clear"/>
            <w:tcMar>
              <w:top w:type="dxa" w:w="100"/>
              <w:left w:type="dxa" w:w="120"/>
              <w:bottom w:type="dxa" w:w="100"/>
              <w:right w:type="dxa" w:w="120"/>
            </w:tcMar>
          </w:tcPr>
          <w:p>
            <w:r>
              <w:rPr>
                <w:b/>
                <w:bCs/>
                <w:color w:val="FFFFFF"/>
                <w:sz w:val="24"/>
                <w:szCs w:val="24"/>
              </w:rPr>
              <w:t xml:space="preserve">Registration Number</w:t>
            </w:r>
          </w:p>
        </w:tc>
        <w:tc>
          <w:tcPr>
            <w:tcBorders>
              <w:top w:val="single" w:color="1F4E78" w:sz="6"/>
              <w:left w:val="single" w:color="1F4E78" w:sz="6"/>
              <w:bottom w:val="single" w:color="1F4E78" w:sz="6"/>
              <w:right w:val="single" w:color="1F4E78" w:sz="6"/>
            </w:tcBorders>
            <w:tcMar>
              <w:top w:type="dxa" w:w="100"/>
              <w:left w:type="dxa" w:w="120"/>
              <w:bottom w:type="dxa" w:w="100"/>
              <w:right w:type="dxa" w:w="120"/>
            </w:tcMar>
          </w:tcPr>
          <w:p>
            <w:r>
              <w:t xml:space="preserve">25BSA10185</w:t>
            </w:r>
          </w:p>
        </w:tc>
      </w:tr>
      <w:tr>
        <w:tc>
          <w:tcPr>
            <w:tcBorders>
              <w:top w:val="single" w:color="1F4E78" w:sz="6"/>
              <w:left w:val="single" w:color="1F4E78" w:sz="6"/>
              <w:bottom w:val="single" w:color="1F4E78" w:sz="6"/>
              <w:right w:val="single" w:color="1F4E78" w:sz="6"/>
            </w:tcBorders>
            <w:shd w:fill="2E5090" w:val="clear"/>
            <w:tcMar>
              <w:top w:type="dxa" w:w="100"/>
              <w:left w:type="dxa" w:w="120"/>
              <w:bottom w:type="dxa" w:w="100"/>
              <w:right w:type="dxa" w:w="120"/>
            </w:tcMar>
          </w:tcPr>
          <w:p>
            <w:r>
              <w:rPr>
                <w:b/>
                <w:bCs/>
                <w:color w:val="FFFFFF"/>
                <w:sz w:val="24"/>
                <w:szCs w:val="24"/>
              </w:rPr>
              <w:t xml:space="preserve">Branch</w:t>
            </w:r>
          </w:p>
        </w:tc>
        <w:tc>
          <w:tcPr>
            <w:tcBorders>
              <w:top w:val="single" w:color="1F4E78" w:sz="6"/>
              <w:left w:val="single" w:color="1F4E78" w:sz="6"/>
              <w:bottom w:val="single" w:color="1F4E78" w:sz="6"/>
              <w:right w:val="single" w:color="1F4E78" w:sz="6"/>
            </w:tcBorders>
            <w:tcMar>
              <w:top w:type="dxa" w:w="100"/>
              <w:left w:type="dxa" w:w="120"/>
              <w:bottom w:type="dxa" w:w="100"/>
              <w:right w:type="dxa" w:w="120"/>
            </w:tcMar>
          </w:tcPr>
          <w:p>
            <w:r>
              <w:t xml:space="preserve">B.Tech CSE Cloud Computing</w:t>
            </w:r>
          </w:p>
        </w:tc>
      </w:tr>
      <w:tr>
        <w:tc>
          <w:tcPr>
            <w:tcBorders>
              <w:top w:val="single" w:color="1F4E78" w:sz="6"/>
              <w:left w:val="single" w:color="1F4E78" w:sz="6"/>
              <w:bottom w:val="single" w:color="1F4E78" w:sz="6"/>
              <w:right w:val="single" w:color="1F4E78" w:sz="6"/>
            </w:tcBorders>
            <w:shd w:fill="2E5090" w:val="clear"/>
            <w:tcMar>
              <w:top w:type="dxa" w:w="100"/>
              <w:left w:type="dxa" w:w="120"/>
              <w:bottom w:type="dxa" w:w="100"/>
              <w:right w:type="dxa" w:w="120"/>
            </w:tcMar>
          </w:tcPr>
          <w:p>
            <w:r>
              <w:rPr>
                <w:b/>
                <w:bCs/>
                <w:color w:val="FFFFFF"/>
                <w:sz w:val="24"/>
                <w:szCs w:val="24"/>
              </w:rPr>
              <w:t xml:space="preserve">Year</w:t>
            </w:r>
          </w:p>
        </w:tc>
        <w:tc>
          <w:tcPr>
            <w:tcBorders>
              <w:top w:val="single" w:color="1F4E78" w:sz="6"/>
              <w:left w:val="single" w:color="1F4E78" w:sz="6"/>
              <w:bottom w:val="single" w:color="1F4E78" w:sz="6"/>
              <w:right w:val="single" w:color="1F4E78" w:sz="6"/>
            </w:tcBorders>
            <w:tcMar>
              <w:top w:type="dxa" w:w="100"/>
              <w:left w:type="dxa" w:w="120"/>
              <w:bottom w:type="dxa" w:w="100"/>
              <w:right w:type="dxa" w:w="120"/>
            </w:tcMar>
          </w:tcPr>
          <w:p>
            <w:r>
              <w:t xml:space="preserve">I (2025 - 2029)</w:t>
            </w:r>
          </w:p>
        </w:tc>
      </w:tr>
      <w:tr>
        <w:tc>
          <w:tcPr>
            <w:tcBorders>
              <w:top w:val="single" w:color="1F4E78" w:sz="6"/>
              <w:left w:val="single" w:color="1F4E78" w:sz="6"/>
              <w:bottom w:val="single" w:color="1F4E78" w:sz="6"/>
              <w:right w:val="single" w:color="1F4E78" w:sz="6"/>
            </w:tcBorders>
            <w:shd w:fill="2E5090" w:val="clear"/>
            <w:tcMar>
              <w:top w:type="dxa" w:w="100"/>
              <w:left w:type="dxa" w:w="120"/>
              <w:bottom w:type="dxa" w:w="100"/>
              <w:right w:type="dxa" w:w="120"/>
            </w:tcMar>
          </w:tcPr>
          <w:p>
            <w:r>
              <w:rPr>
                <w:b/>
                <w:bCs/>
                <w:color w:val="FFFFFF"/>
                <w:sz w:val="24"/>
                <w:szCs w:val="24"/>
              </w:rPr>
              <w:t xml:space="preserve">Course Code</w:t>
            </w:r>
          </w:p>
        </w:tc>
        <w:tc>
          <w:tcPr>
            <w:tcBorders>
              <w:top w:val="single" w:color="1F4E78" w:sz="6"/>
              <w:left w:val="single" w:color="1F4E78" w:sz="6"/>
              <w:bottom w:val="single" w:color="1F4E78" w:sz="6"/>
              <w:right w:val="single" w:color="1F4E78" w:sz="6"/>
            </w:tcBorders>
            <w:tcMar>
              <w:top w:type="dxa" w:w="100"/>
              <w:left w:type="dxa" w:w="120"/>
              <w:bottom w:type="dxa" w:w="100"/>
              <w:right w:type="dxa" w:w="120"/>
            </w:tcMar>
          </w:tcPr>
          <w:p>
            <w:r>
              <w:t xml:space="preserve">CSE0001</w:t>
            </w:r>
          </w:p>
        </w:tc>
      </w:tr>
      <w:tr>
        <w:tc>
          <w:tcPr>
            <w:tcBorders>
              <w:top w:val="single" w:color="1F4E78" w:sz="6"/>
              <w:left w:val="single" w:color="1F4E78" w:sz="6"/>
              <w:bottom w:val="single" w:color="1F4E78" w:sz="6"/>
              <w:right w:val="single" w:color="1F4E78" w:sz="6"/>
            </w:tcBorders>
            <w:shd w:fill="2E5090" w:val="clear"/>
            <w:tcMar>
              <w:top w:type="dxa" w:w="100"/>
              <w:left w:type="dxa" w:w="120"/>
              <w:bottom w:type="dxa" w:w="100"/>
              <w:right w:type="dxa" w:w="120"/>
            </w:tcMar>
          </w:tcPr>
          <w:p>
            <w:r>
              <w:rPr>
                <w:b/>
                <w:bCs/>
                <w:color w:val="FFFFFF"/>
                <w:sz w:val="24"/>
                <w:szCs w:val="24"/>
              </w:rPr>
              <w:t xml:space="preserve">Date</w:t>
            </w:r>
          </w:p>
        </w:tc>
        <w:tc>
          <w:tcPr>
            <w:tcBorders>
              <w:top w:val="single" w:color="1F4E78" w:sz="6"/>
              <w:left w:val="single" w:color="1F4E78" w:sz="6"/>
              <w:bottom w:val="single" w:color="1F4E78" w:sz="6"/>
              <w:right w:val="single" w:color="1F4E78" w:sz="6"/>
            </w:tcBorders>
            <w:tcMar>
              <w:top w:type="dxa" w:w="100"/>
              <w:left w:type="dxa" w:w="120"/>
              <w:bottom w:type="dxa" w:w="100"/>
              <w:right w:type="dxa" w:w="120"/>
            </w:tcMar>
          </w:tcPr>
          <w:p>
            <w:r>
              <w:t xml:space="preserve">30 March 2026</w:t>
            </w:r>
          </w:p>
        </w:tc>
      </w:tr>
    </w:tbl>
    <w:p>
      <w:pPr>
        <w:spacing w:before="480" w:after="0"/>
      </w:pPr>
      <w:r>
        <w:t xml:space="preserve"/>
      </w:r>
    </w:p>
    <w:p>
      <w:pPr>
        <w:spacing w:before="480" w:after="480"/>
        <w:jc w:val="center"/>
      </w:pPr>
      <w:r>
        <w:rPr>
          <w:i/>
          <w:iCs/>
          <w:color w:val="595959"/>
          <w:sz w:val="24"/>
          <w:szCs w:val="24"/>
        </w:rPr>
        <w:t xml:space="preserve">Vellore Institute of Technology (VIT) Bhopal</w:t>
      </w:r>
    </w:p>
    <w:p>
      <w:r>
        <w:br w:type="page"/>
      </w:r>
    </w:p>
    <w:p>
      <w:pPr>
        <w:pStyle w:val="Heading1"/>
      </w:pPr>
      <w:r>
        <w:t xml:space="preserve">Table of Contents</w:t>
      </w:r>
    </w:p>
    <w:p>
      <w:pPr>
        <w:spacing w:after="80"/>
      </w:pPr>
      <w:r>
        <w:t xml:space="preserve">1. Digital Literacy Awareness Report</w:t>
      </w:r>
    </w:p>
    <w:p>
      <w:pPr>
        <w:spacing w:after="80"/>
      </w:pPr>
      <w:r>
        <w:t xml:space="preserve">2. Digital Portfolio Platforms Report</w:t>
      </w:r>
    </w:p>
    <w:p>
      <w:pPr>
        <w:spacing w:after="80"/>
      </w:pPr>
      <w:r>
        <w:t xml:space="preserve">3. Digital Literacy &amp; Programming Practice Report</w:t>
      </w:r>
    </w:p>
    <w:p>
      <w:pPr>
        <w:spacing w:after="80"/>
      </w:pPr>
      <w:r>
        <w:t xml:space="preserve">4. Digital Communication Case Study</w:t>
      </w:r>
    </w:p>
    <w:p>
      <w:pPr>
        <w:spacing w:after="240"/>
      </w:pPr>
      <w:r>
        <w:t xml:space="preserve">5. Cybercrime Case Study: WannaCry Attack</w:t>
      </w:r>
    </w:p>
    <w:p>
      <w:r>
        <w:br w:type="page"/>
      </w:r>
    </w:p>
    <w:p>
      <w:pPr>
        <w:pStyle w:val="Heading1"/>
      </w:pPr>
      <w:r>
        <w:t xml:space="preserve">1. Digital Literacy Awareness Report</w:t>
      </w:r>
    </w:p>
    <w:p>
      <w:pPr>
        <w:spacing w:after="200"/>
      </w:pPr>
      <w:r>
        <w:rPr>
          <w:i/>
          <w:iCs/>
          <w:sz w:val="26"/>
          <w:szCs w:val="26"/>
        </w:rPr>
        <w:t xml:space="preserve">Empowering Communities Through Technology Education</w:t>
      </w:r>
    </w:p>
    <w:p>
      <w:pPr>
        <w:pStyle w:val="Heading2"/>
      </w:pPr>
      <w:r>
        <w:t xml:space="preserve">Executive Summary</w:t>
      </w:r>
    </w:p>
    <w:p>
      <w:pPr>
        <w:spacing w:after="200" w:line="360" w:lineRule="auto"/>
        <w:jc w:val="both"/>
      </w:pPr>
      <w:r>
        <w:t xml:space="preserve">This project report presents a comprehensive overview of the Digital Literacy Awareness initiative. The project aims to equip individuals — from school-going children to working professionals — with the knowledge and skills needed to navigate, evaluate, and create information using modern digital technologies including computers, smartphones, tablets, and the internet. Digital literacy is no longer optional; it is a fundamental life skill in the 21st century. This initiative addresses four core areas: understanding digital literacy, enabling access to learning, promoting safe internet practices, and building professional online presence.</w:t>
      </w:r>
    </w:p>
    <w:p>
      <w:pPr>
        <w:pStyle w:val="Heading2"/>
      </w:pPr>
      <w:r>
        <w:t xml:space="preserve">What is Digital Literacy?</w:t>
      </w:r>
    </w:p>
    <w:p>
      <w:pPr>
        <w:spacing w:after="200" w:line="360" w:lineRule="auto"/>
        <w:jc w:val="both"/>
      </w:pPr>
      <w:r>
        <w:t xml:space="preserve">Digital literacy is defined as the ability to confidently navigate, evaluate, and create information using technology, such as computers and the internet. It encompasses a wide range of competencies — from basic device operation to critical evaluation of online information and responsible digital citizenship. Key components of digital literacy include: using digital devices and software effectively, finding and evaluating online information critically, communicating and collaborating using digital tools, creating digital content responsibly, and staying safe and secure online.</w:t>
      </w:r>
    </w:p>
    <w:p>
      <w:pPr>
        <w:pStyle w:val="Heading2"/>
      </w:pPr>
      <w:r>
        <w:t xml:space="preserve">Project Objectives</w:t>
      </w:r>
    </w:p>
    <w:p>
      <w:pPr>
        <w:spacing w:after="100"/>
      </w:pPr>
      <w:r>
        <w:t xml:space="preserve">The primary objectives of this project are:</w:t>
      </w:r>
    </w:p>
    <w:p>
      <w:pPr>
        <w:spacing w:after="80"/>
      </w:pPr>
      <w:r>
        <w:t xml:space="preserve">• Raise awareness about digital literacy and its importance in everyday life</w:t>
      </w:r>
    </w:p>
    <w:p>
      <w:pPr>
        <w:spacing w:after="80"/>
      </w:pPr>
      <w:r>
        <w:t xml:space="preserve">• Provide accessible learning opportunities using everyday devices</w:t>
      </w:r>
    </w:p>
    <w:p>
      <w:pPr>
        <w:spacing w:after="80"/>
      </w:pPr>
      <w:r>
        <w:t xml:space="preserve">• Promote safe and responsible internet usage among all age groups</w:t>
      </w:r>
    </w:p>
    <w:p>
      <w:pPr>
        <w:spacing w:after="80"/>
      </w:pPr>
      <w:r>
        <w:t xml:space="preserve">• Guide individuals in building a credible and professional online presence</w:t>
      </w:r>
    </w:p>
    <w:p>
      <w:pPr>
        <w:spacing w:after="200"/>
      </w:pPr>
      <w:r>
        <w:t xml:space="preserve">• Reduce the digital divide by targeting both urban and rural communities</w:t>
      </w:r>
    </w:p>
    <w:p>
      <w:pPr>
        <w:pStyle w:val="Heading2"/>
      </w:pPr>
      <w:r>
        <w:t xml:space="preserve">Core Areas of Focus</w:t>
      </w:r>
    </w:p>
    <w:p>
      <w:pPr>
        <w:spacing w:after="200" w:line="360" w:lineRule="auto"/>
        <w:jc w:val="both"/>
      </w:pPr>
      <w:r>
        <w:t xml:space="preserve">Access to Learning: One of the most transformative aspects of digital literacy is enabling individuals to learn from anywhere. With affordable smartphones and internet connectivity, both children and adults can access high-quality educational content from the comfort of their homes. Safe Internet Practices: The project emphasizes the importance of cybersecurity awareness, responsible online behavior, and protection against digital threats. Professional Online Presence: Building credible profiles on platforms like LinkedIn helps individuals showcase their skills and connect with professional networks. Community Engagement: The initiative works to bridge the digital divide by providing resources and training to underserved communities.</w:t>
      </w:r>
    </w:p>
    <w:p>
      <w:r>
        <w:br w:type="page"/>
      </w:r>
    </w:p>
    <w:p>
      <w:pPr>
        <w:pStyle w:val="Heading1"/>
      </w:pPr>
      <w:r>
        <w:t xml:space="preserve">2. Digital Portfolio Platforms Report</w:t>
      </w:r>
    </w:p>
    <w:p>
      <w:pPr>
        <w:pStyle w:val="Heading2"/>
      </w:pPr>
      <w:r>
        <w:t xml:space="preserve">Platform Selection &amp; Usage Plan</w:t>
      </w:r>
    </w:p>
    <w:p>
      <w:pPr>
        <w:spacing w:after="200" w:line="360" w:lineRule="auto"/>
        <w:jc w:val="both"/>
      </w:pPr>
      <w:r>
        <w:t xml:space="preserve">For my professional development as a Computer Science student, I have chosen three key platforms: GitHub, Kaggle, and LinkedIn. Each serves a distinct purpose aligned with my four-year goal of becoming a skilled software developer.</w:t>
      </w:r>
    </w:p>
    <w:p>
      <w:pPr>
        <w:pStyle w:val="Heading3"/>
      </w:pPr>
      <w:r>
        <w:t xml:space="preserve">GitHub</w:t>
      </w:r>
    </w:p>
    <w:p>
      <w:pPr>
        <w:spacing w:after="200" w:line="360" w:lineRule="auto"/>
        <w:jc w:val="both"/>
      </w:pPr>
      <w:r>
        <w:t xml:space="preserve">GitHub is a version control and code hosting platform used for managing and showcasing software projects. I am using it to store my programming assignments and personal projects, including a command-line insurance management system and an AI/ML spam classifier. Over the next four years, I plan to build a strong public repository demonstrating consistent contributions, collaborative open-source work, and increasingly complex projects as my skills grow through the B.Tech program.</w:t>
      </w:r>
    </w:p>
    <w:p>
      <w:pPr>
        <w:pStyle w:val="Heading3"/>
      </w:pPr>
      <w:r>
        <w:t xml:space="preserve">Kaggle</w:t>
      </w:r>
    </w:p>
    <w:p>
      <w:pPr>
        <w:spacing w:after="200" w:line="360" w:lineRule="auto"/>
        <w:jc w:val="both"/>
      </w:pPr>
      <w:r>
        <w:t xml:space="preserve">Kaggle is a data science and machine learning platform offering datasets, notebooks, and competitions. It allows students to practise real-world AI and ML tasks. Having recently joined, I intend to complete beginner courses, work on public datasets, and eventually participate in competitions. By my third and fourth years, I aim to achieve a higher tier ranking, which will validate my machine learning abilities to prospective employers and internship recruiters.</w:t>
      </w:r>
    </w:p>
    <w:p>
      <w:pPr>
        <w:pStyle w:val="Heading3"/>
      </w:pPr>
      <w:r>
        <w:t xml:space="preserve">LinkedIn</w:t>
      </w:r>
    </w:p>
    <w:p>
      <w:pPr>
        <w:spacing w:after="240" w:line="360" w:lineRule="auto"/>
        <w:jc w:val="both"/>
      </w:pPr>
      <w:r>
        <w:t xml:space="preserve">LinkedIn is the leading professional networking platform used for career building, networking, and job searching. Currently, I have set my profile to "Open to Work" for internship and engineering intern roles. Over the next four years, I will continuously update my profile with skills, certifications, and completed projects. I plan to expand my professional network, connect with industry mentors, and use the platform to secure internships during my second and third years, ultimately landing a full-time role upon graduation in 2029.</w:t>
      </w:r>
    </w:p>
    <w:p>
      <w:pPr>
        <w:pBdr>
          <w:top w:val="single" w:color="CCCCCC" w:sz="6" w:space="1"/>
        </w:pBdr>
        <w:spacing w:before="0" w:after="240"/>
      </w:pPr>
      <w:r>
        <w:rPr>
          <w:i/>
          <w:iCs/>
          <w:color w:val="666666"/>
          <w:sz w:val="22"/>
          <w:szCs w:val="22"/>
        </w:rPr>
        <w:t xml:space="preserve">Word Count: ~180 words</w:t>
      </w:r>
    </w:p>
    <w:p>
      <w:r>
        <w:br w:type="page"/>
      </w:r>
    </w:p>
    <w:p>
      <w:pPr>
        <w:pStyle w:val="Heading1"/>
      </w:pPr>
      <w:r>
        <w:t xml:space="preserve">3. Digital Literacy &amp; Programming Practice Report</w:t>
      </w:r>
    </w:p>
    <w:p>
      <w:pPr>
        <w:pStyle w:val="Heading2"/>
      </w:pPr>
      <w:r>
        <w:t xml:space="preserve">Platforms Used</w:t>
      </w:r>
    </w:p>
    <w:p>
      <w:pPr>
        <w:spacing w:after="200"/>
      </w:pPr>
      <w:r>
        <w:t xml:space="preserve">For this project, two primary platforms were used: Google Workspace (specifically Google Forms and Google Sheets) and HackerRank.</w:t>
      </w:r>
    </w:p>
    <w:p>
      <w:pPr>
        <w:spacing w:after="100"/>
      </w:pPr>
      <w:r>
        <w:rPr>
          <w:b/>
          <w:bCs/>
        </w:rPr>
        <w:t xml:space="preserve">Google Forms &amp; Google Sheets</w:t>
      </w:r>
      <w:r>
        <w:t xml:space="preserve"> – a free, cloud-based suite by Google used for creating quizzes, collecting responses, and analysing data.</w:t>
      </w:r>
    </w:p>
    <w:p>
      <w:pPr>
        <w:spacing w:after="200"/>
      </w:pPr>
      <w:r>
        <w:rPr>
          <w:b/>
          <w:bCs/>
        </w:rPr>
        <w:t xml:space="preserve">HackerRank</w:t>
      </w:r>
      <w:r>
        <w:t xml:space="preserve"> – an online competitive programming platform used for practising coding challenges across multiple languages and domains.</w:t>
      </w:r>
    </w:p>
    <w:p>
      <w:pPr>
        <w:pStyle w:val="Heading2"/>
      </w:pPr>
      <w:r>
        <w:t xml:space="preserve">What Was Built / Practised</w:t>
      </w:r>
    </w:p>
    <w:p>
      <w:pPr>
        <w:pStyle w:val="Heading3"/>
      </w:pPr>
      <w:r>
        <w:t xml:space="preserve">Google Workspace – Google Forms &amp; Sheets</w:t>
      </w:r>
    </w:p>
    <w:p>
      <w:pPr>
        <w:spacing w:after="200" w:line="360" w:lineRule="auto"/>
        <w:jc w:val="both"/>
      </w:pPr>
      <w:r>
        <w:t xml:space="preserve">A graded quiz titled "Digital Literacy Awareness" was designed and deployed using Google Forms. The quiz comprised four multiple-choice questions and one short-answer question, covering topics such as the definition of digital literacy, examples of digital communication, password security, and online safety practices. An answer key with a total of 20 points was configured within the form. The form was shared with respondents and collected two submissions. Response data was automatically linked to Google Sheets, where timestamps, individual scores, and per-question answers were captured in a structured spreadsheet.</w:t>
      </w:r>
    </w:p>
    <w:p>
      <w:pPr>
        <w:pStyle w:val="Heading3"/>
      </w:pPr>
      <w:r>
        <w:t xml:space="preserve">HackerRank – Python Programming</w:t>
      </w:r>
    </w:p>
    <w:p>
      <w:pPr>
        <w:spacing w:after="200" w:line="360" w:lineRule="auto"/>
        <w:jc w:val="both"/>
      </w:pPr>
      <w:r>
        <w:t xml:space="preserve">On HackerRank, the "Solve Me First" warmup challenge under the Algorithms section was attempted and successfully completed. The task required writing a Python 3 function solveMeFirst(a, b) that returns the sum of two integers. The solution used the return(a+b) statement, and both provided test cases passed with a Compiler Message of "Success". This earned 1.00 point, contributing to the Problem Solving badge progress.</w:t>
      </w:r>
    </w:p>
    <w:p>
      <w:pPr>
        <w:pStyle w:val="Heading2"/>
      </w:pPr>
      <w:r>
        <w:t xml:space="preserve">Academic Benefits of These Tools</w:t>
      </w:r>
    </w:p>
    <w:p>
      <w:pPr>
        <w:spacing w:after="200" w:line="360" w:lineRule="auto"/>
        <w:jc w:val="both"/>
      </w:pPr>
      <w:r>
        <w:t xml:space="preserve">Both platforms offer substantial academic value. Google Forms &amp; Sheets develops skills in digital assessment design, data collection, and basic data analysis. HackerRank strengthens problem-solving and algorithmic thinking, which are core competencies for computer science. Together, these tools build a strong foundation in digital collaboration, data literacy, and programming — equipping students for both academic success and industry readiness.</w:t>
      </w:r>
    </w:p>
    <w:p>
      <w:r>
        <w:br w:type="page"/>
      </w:r>
    </w:p>
    <w:p>
      <w:pPr>
        <w:pStyle w:val="Heading1"/>
      </w:pPr>
      <w:r>
        <w:t xml:space="preserve">4. Digital Communication Case Study</w:t>
      </w:r>
    </w:p>
    <w:p>
      <w:pPr>
        <w:pStyle w:val="Heading2"/>
      </w:pPr>
      <w:r>
        <w:t xml:space="preserve">Case Study: Email Communication Breakdown</w:t>
      </w:r>
    </w:p>
    <w:p>
      <w:pPr>
        <w:spacing w:after="240" w:line="360" w:lineRule="auto"/>
        <w:jc w:val="both"/>
      </w:pPr>
      <w:r>
        <w:t xml:space="preserve">A student sent an assignment extension request email to their professor using vague language: "I was unable to complete the work on time due to personal reasons." The professor, receiving dozens of emails daily, initially overlooked the request and marked the submission as late. This miscommunication created unnecessary conflict and affected the student's grade. The root cause was a lack of clarity, specificity, and appropriate tone in digital communication. The student failed to provide relevant context, mention the specific deadline, or explain their circumstances adequately. Additionally, they did not follow up or verify that the professor received the message. Better practices would have included: writing a clear subject line explicitly stating "Assignment Extension Request," providing specific reasons with relevant dates, maintaining a professional and respectful tone, and including a polite follow-up question seeking confirmation. Using appropriate email etiquette, such as checking previous institutional communication guidelines and timing the message appropriately, would have significantly improved the outcome and prevented this unnecessary miscommunication.</w:t>
      </w:r>
    </w:p>
    <w:p>
      <w:pPr>
        <w:pBdr>
          <w:top w:val="single" w:color="CCCCCC" w:sz="6" w:space="1"/>
        </w:pBdr>
        <w:spacing w:before="0" w:after="240"/>
      </w:pPr>
      <w:r>
        <w:rPr>
          <w:i/>
          <w:iCs/>
          <w:color w:val="666666"/>
          <w:sz w:val="22"/>
          <w:szCs w:val="22"/>
        </w:rPr>
        <w:t xml:space="preserve">Word Count: 147 words</w:t>
      </w:r>
    </w:p>
    <w:p>
      <w:pPr>
        <w:pStyle w:val="Heading2"/>
      </w:pPr>
      <w:r>
        <w:t xml:space="preserve">Key Takeaways</w:t>
      </w:r>
    </w:p>
    <w:p>
      <w:pPr>
        <w:spacing w:after="100"/>
      </w:pPr>
      <w:r>
        <w:rPr>
          <w:b/>
          <w:bCs/>
        </w:rPr>
        <w:t xml:space="preserve">Problem Identified:</w:t>
      </w:r>
    </w:p>
    <w:p>
      <w:pPr>
        <w:spacing w:after="200"/>
      </w:pPr>
      <w:r>
        <w:t xml:space="preserve">Unclear communication and lack of follow-up in digital correspondence can lead to missed messages and unintended consequences.</w:t>
      </w:r>
    </w:p>
    <w:p>
      <w:pPr>
        <w:spacing w:after="100"/>
      </w:pPr>
      <w:r>
        <w:rPr>
          <w:b/>
          <w:bCs/>
        </w:rPr>
        <w:t xml:space="preserve">Solutions Applied:</w:t>
      </w:r>
    </w:p>
    <w:p>
      <w:pPr>
        <w:spacing w:after="200"/>
      </w:pPr>
      <w:r>
        <w:t xml:space="preserve">Clarity in subject lines, specific and detailed content, professional tone, proper timing, and verification through follow-up communication.</w:t>
      </w:r>
    </w:p>
    <w:p>
      <w:pPr>
        <w:spacing w:after="0"/>
      </w:pPr>
      <w:r>
        <w:rPr>
          <w:b/>
          <w:bCs/>
        </w:rPr>
        <w:t xml:space="preserve">Learning Outcome:</w:t>
      </w:r>
    </w:p>
    <w:p>
      <w:r>
        <w:t xml:space="preserve">Digital literacy requires not just writing skills, but strategic thinking about audience, context, and confirmation of message receipt.</w:t>
      </w:r>
    </w:p>
    <w:p>
      <w:r>
        <w:br w:type="page"/>
      </w:r>
    </w:p>
    <w:p>
      <w:pPr>
        <w:pStyle w:val="Heading1"/>
      </w:pPr>
      <w:r>
        <w:t xml:space="preserve">5. Cybercrime Case Study: WannaCry Attack</w:t>
      </w:r>
    </w:p>
    <w:p>
      <w:pPr>
        <w:pStyle w:val="Heading2"/>
      </w:pPr>
      <w:r>
        <w:t xml:space="preserve">Most Surprising Finding</w:t>
      </w:r>
    </w:p>
    <w:p>
      <w:pPr>
        <w:spacing w:after="240" w:line="360" w:lineRule="auto"/>
        <w:jc w:val="both"/>
      </w:pPr>
      <w:r>
        <w:t xml:space="preserve">The most surprising aspect of researching the WannaCry ransomware attack was the realization that such a massive global catastrophe could have been largely prevented through simple, routine security practices. What struck me most was that WannaCry exploited a vulnerability (EternalBlue) in Windows systems that Microsoft had already patched in March 2017, yet thousands of organizations worldwide had not applied this basic update. The attack affected over 200,000 computers across 150 countries within days, impacting critical infrastructure including hospitals in the United Kingdom where patient care was directly compromised. The frightening reality is that organizations had received security warnings and patch notifications but failed to implement them promptly.</w:t>
      </w:r>
    </w:p>
    <w:p>
      <w:pPr>
        <w:pBdr>
          <w:top w:val="single" w:color="CCCCCC" w:sz="6" w:space="1"/>
        </w:pBdr>
        <w:spacing w:before="0" w:after="240"/>
      </w:pPr>
      <w:r>
        <w:rPr>
          <w:i/>
          <w:iCs/>
          <w:color w:val="666666"/>
          <w:sz w:val="22"/>
          <w:szCs w:val="22"/>
        </w:rPr>
        <w:t xml:space="preserve">Word Count: 192 words</w:t>
      </w:r>
    </w:p>
    <w:p>
      <w:pPr>
        <w:pStyle w:val="Heading2"/>
      </w:pPr>
      <w:r>
        <w:t xml:space="preserve">Personal Habit Change</w:t>
      </w:r>
    </w:p>
    <w:p>
      <w:pPr>
        <w:spacing w:after="240" w:line="360" w:lineRule="auto"/>
        <w:jc w:val="both"/>
      </w:pPr>
      <w:r>
        <w:t xml:space="preserve">As a direct result of studying the WannaCry case, I have committed to changing one critical habit: I now immediately update my operating system and software when security patches are released, rather than delaying or ignoring update notifications. Before this research, I frequently postponed updates, viewing them as inconvenient interruptions to my workflow. However, understanding that unpatched systems are like unlocked doors in a neighborhood targeted by thieves has fundamentally shifted my approach. I now schedule regular backup routines for all my important data and use strong, unique passwords across different accounts. This transformation from reluctant updater to proactive security practitioner represents a meaningful change in how I approach digital responsibility.</w:t>
      </w:r>
    </w:p>
    <w:p>
      <w:pPr>
        <w:pBdr>
          <w:top w:val="single" w:color="CCCCCC" w:sz="6" w:space="1"/>
        </w:pBdr>
        <w:spacing w:before="0" w:after="240"/>
      </w:pPr>
      <w:r>
        <w:rPr>
          <w:i/>
          <w:iCs/>
          <w:color w:val="666666"/>
          <w:sz w:val="22"/>
          <w:szCs w:val="22"/>
        </w:rPr>
        <w:t xml:space="preserve">Word Count: 188 words</w:t>
      </w:r>
    </w:p>
    <w:p>
      <w:pPr>
        <w:pStyle w:val="Heading2"/>
      </w:pPr>
      <w:r>
        <w:t xml:space="preserve">Key Security Lessons</w:t>
      </w:r>
    </w:p>
    <w:p>
      <w:pPr>
        <w:spacing w:after="100"/>
      </w:pPr>
      <w:r>
        <w:rPr>
          <w:b/>
          <w:bCs/>
        </w:rPr>
        <w:t xml:space="preserve">What Happened:</w:t>
      </w:r>
    </w:p>
    <w:p>
      <w:pPr>
        <w:spacing w:after="200"/>
      </w:pPr>
      <w:r>
        <w:t xml:space="preserve">WannaCry ransomware locked files and demanded Bitcoin payments. It affected hospitals, companies, government offices, and individual users worldwide, causing critical systems to fail.</w:t>
      </w:r>
    </w:p>
    <w:p>
      <w:pPr>
        <w:spacing w:after="100"/>
      </w:pPr>
      <w:r>
        <w:rPr>
          <w:b/>
          <w:bCs/>
        </w:rPr>
        <w:t xml:space="preserve">Prevention Strategies:</w:t>
      </w:r>
    </w:p>
    <w:p>
      <w:pPr>
        <w:spacing w:after="80"/>
      </w:pPr>
      <w:r>
        <w:t xml:space="preserve">1. Keep systems updated with latest security patches immediately</w:t>
      </w:r>
    </w:p>
    <w:p>
      <w:pPr>
        <w:spacing w:after="80"/>
      </w:pPr>
      <w:r>
        <w:t xml:space="preserve">2. Install and maintain antivirus software on all devices</w:t>
      </w:r>
    </w:p>
    <w:p>
      <w:pPr>
        <w:spacing w:after="80"/>
      </w:pPr>
      <w:r>
        <w:t xml:space="preserve">3. Avoid clicking unknown links or downloading suspicious files</w:t>
      </w:r>
    </w:p>
    <w:p>
      <w:pPr>
        <w:spacing w:after="80"/>
      </w:pPr>
      <w:r>
        <w:t xml:space="preserve">4. Perform regular data backups independent from main systems</w:t>
      </w:r>
    </w:p>
    <w:p>
      <w:pPr>
        <w:spacing w:after="200"/>
      </w:pPr>
      <w:r>
        <w:t xml:space="preserve">5. Develop organizational security awareness and training programs</w:t>
      </w:r>
    </w:p>
    <w:p>
      <w:pPr>
        <w:spacing w:after="100"/>
      </w:pPr>
      <w:r>
        <w:rPr>
          <w:b/>
          <w:bCs/>
        </w:rPr>
        <w:t xml:space="preserve">Core Insight:</w:t>
      </w:r>
    </w:p>
    <w:p>
      <w:pPr>
        <w:spacing w:after="240"/>
      </w:pPr>
      <w:r>
        <w:t xml:space="preserve">Small security gaps can lead to catastrophic problems. Awareness without action is ineffective. Digital responsibility is both personal and collective.</w:t>
      </w:r>
    </w:p>
    <w:p>
      <w:r>
        <w:br w:type="page"/>
      </w:r>
    </w:p>
    <w:p>
      <w:pPr>
        <w:pStyle w:val="Heading1"/>
      </w:pPr>
      <w:r>
        <w:t xml:space="preserve">Conclusion</w:t>
      </w:r>
    </w:p>
    <w:p>
      <w:pPr>
        <w:spacing w:after="200" w:line="360" w:lineRule="auto"/>
        <w:jc w:val="both"/>
      </w:pPr>
      <w:r>
        <w:t xml:space="preserve">This comprehensive report integrates five distinct digital literacy assignments, collectively demonstrating a holistic understanding of digital literacy awareness, professional development, practical digital skills, effective communication, and cybersecurity consciousness. The digital literacy awareness report establishes the foundational importance of technology education in the 21st century. The portfolio platforms section outlines a strategic four-year career development plan leveraging industry-standard tools. The programming practice report showcases hands-on experience with collaborative tools and problem-solving platforms. The digital communication case study emphasizes the critical importance of clarity, tone, and follow-up in professional correspondence. Finally, the cybercrime case study illustrates how small security oversights can have global consequences and underscores the importance of proactive digital responsibility. Together, these assignments represent essential competencies for a modern computer science graduate: digital awareness and education, professional networking, technical programming skills, effective digital communication, and cybersecurity consciousness. As technology continues to evolve, these foundational digital literacy skills will remain critical to career success and societal digital responsibility.</w:t>
      </w:r>
    </w:p>
    <w:p>
      <w:pPr>
        <w:pBdr>
          <w:top w:val="single" w:color="1F4E78" w:sz="6" w:space="1"/>
        </w:pBdr>
        <w:spacing w:before="240" w:after="0"/>
        <w:jc w:val="center"/>
      </w:pPr>
      <w:r>
        <w:rPr>
          <w:i/>
          <w:iCs/>
          <w:color w:val="595959"/>
          <w:sz w:val="24"/>
          <w:szCs w:val="24"/>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09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2026-03-30T21:08:25.026Z</dcterms:created>
  <dcterms:modified xsi:type="dcterms:W3CDTF">2026-03-30T21:08:25.028Z</dcterms:modified>
</cp:coreProperties>
</file>

<file path=docProps/custom.xml><?xml version="1.0" encoding="utf-8"?>
<Properties xmlns="http://schemas.openxmlformats.org/officeDocument/2006/custom-properties" xmlns:vt="http://schemas.openxmlformats.org/officeDocument/2006/docPropsVTypes"/>
</file>