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995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09 1042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995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6"/>
        </w:rPr>
        <w:t>INDIAN INSTITUTE OF TECHNOLOGY INDORE</w:t>
      </w:r>
    </w:p>
    <w:p>
      <w:pPr>
        <w:jc w:val="center"/>
      </w:pPr>
      <w:r>
        <w:rPr>
          <w:b/>
          <w:sz w:val="26"/>
        </w:rPr>
        <w:t>Department of Mechanical Engineering</w:t>
      </w:r>
    </w:p>
    <w:p>
      <w:pPr>
        <w:jc w:val="center"/>
      </w:pPr>
      <w:r>
        <w:rPr>
          <w:b/>
          <w:color w:val="69BEEB"/>
          <w:sz w:val="42"/>
        </w:rPr>
        <w:br/>
        <w:t>FINITE ELEMENT ANALYSIS OF A 2-D GRID STRUCTURE</w:t>
      </w:r>
    </w:p>
    <w:p>
      <w:pPr>
        <w:jc w:val="center"/>
      </w:pPr>
      <w:r>
        <w:rPr>
          <w:b/>
          <w:color w:val="69BEEB"/>
          <w:sz w:val="24"/>
        </w:rPr>
        <w:t>Effect of Different Loading and Structural Conditions</w:t>
      </w:r>
    </w:p>
    <w:p>
      <w:pPr>
        <w:jc w:val="center"/>
      </w:pPr>
      <w:r>
        <w:rPr>
          <w:sz w:val="22"/>
        </w:rPr>
        <w:br/>
        <w:t>A Project Report</w:t>
        <w:br/>
        <w:br/>
      </w:r>
      <w:r>
        <w:rPr>
          <w:sz w:val="22"/>
        </w:rPr>
        <w:t>Submitted in partial fulfillment of the requirements for the degree of</w:t>
        <w:br/>
      </w:r>
      <w:r>
        <w:rPr>
          <w:b/>
          <w:sz w:val="24"/>
        </w:rPr>
        <w:t>Master of Technology</w:t>
        <w:br/>
        <w:t>(Mechanical System Design)</w:t>
      </w:r>
    </w:p>
    <w:p>
      <w:pPr>
        <w:jc w:val="center"/>
      </w:pPr>
      <w:r>
        <w:rPr>
          <w:sz w:val="22"/>
        </w:rPr>
        <w:br/>
        <w:t>by</w:t>
        <w:br/>
      </w:r>
    </w:p>
    <w:p>
      <w:pPr>
        <w:jc w:val="center"/>
      </w:pPr>
      <w:r>
        <w:rPr>
          <w:b/>
          <w:color w:val="000000"/>
          <w:sz w:val="30"/>
        </w:rPr>
        <w:t>Pushkar Bharad</w:t>
      </w:r>
    </w:p>
    <w:p>
      <w:pPr>
        <w:jc w:val="center"/>
      </w:pPr>
      <w:r>
        <w:rPr>
          <w:b/>
          <w:color w:val="000000"/>
          <w:sz w:val="24"/>
        </w:rPr>
        <w:t>Roll No. 2502103016</w:t>
      </w:r>
    </w:p>
    <w:p>
      <w:pPr>
        <w:jc w:val="center"/>
      </w:pPr>
      <w:r>
        <w:rPr>
          <w:b/>
          <w:color w:val="000000"/>
          <w:sz w:val="22"/>
        </w:rPr>
        <w:br/>
        <w:t>Academic Year 2025–27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 xml:space="preserve">This report presents a numerical finite element investigation of a two-dimensional braced grid structure. </w:t>
        <w:br/>
        <w:t xml:space="preserve">The model contains 30 nodes connected through horizontal, vertical and diagonal members. A linear elastic </w:t>
        <w:br/>
        <w:t xml:space="preserve">two-dimensional truss formulation is used to determine nodal displacement under static loading. The reference </w:t>
        <w:br/>
        <w:t xml:space="preserve">configuration uses a 500 N downward point load at Node 7, Young's modulus of 210 GPa and a member cross-sectional </w:t>
        <w:br/>
        <w:t xml:space="preserve">area of 5×10⁻³ m². Node 30 is restrained in both translational directions and Node 29 is restrained vertically </w:t>
        <w:br/>
        <w:t xml:space="preserve">to remove rigid-body rotation. The reference calculation gives a maximum physical displacement of approximately </w:t>
        <w:br/>
        <w:t xml:space="preserve">6.805×10⁻⁴ m at Node 7. The deformation shown in the figure is graphically magnified only to make the structural </w:t>
        <w:br/>
        <w:t>response clearly visible.</w:t>
      </w:r>
    </w:p>
    <w:p>
      <w:pPr>
        <w:pStyle w:val="Heading1"/>
      </w:pPr>
      <w:r>
        <w:t>1. Introduction</w:t>
      </w:r>
    </w:p>
    <w:p>
      <w:r>
        <w:t xml:space="preserve">Finite Element Analysis (FEA) is a numerical method used to predict the response of engineering structures </w:t>
        <w:br/>
        <w:t xml:space="preserve">subjected to external loading. A complex structure is divided into a finite number of interconnected elements. </w:t>
        <w:br/>
        <w:t xml:space="preserve">The stiffness behavior of each element is formulated mathematically, and all element contributions are assembled </w:t>
        <w:br/>
        <w:t xml:space="preserve">to form a global structural system. The resulting equations are solved to obtain nodal displacements and other </w:t>
        <w:br/>
        <w:t>structural response quantities.</w:t>
      </w:r>
    </w:p>
    <w:p>
      <w:pPr>
        <w:pStyle w:val="Heading1"/>
      </w:pPr>
      <w:r>
        <w:t>2. Objectives</w:t>
      </w:r>
    </w:p>
    <w:p>
      <w:r>
        <w:t xml:space="preserve">The objectives of this project are to develop a two-dimensional grid/truss finite element model, formulate </w:t>
        <w:br/>
        <w:t xml:space="preserve">and assemble element stiffness matrices, apply loading and boundary conditions, calculate nodal displacements, </w:t>
        <w:br/>
        <w:t xml:space="preserve">identify the maximum displacement location, visualize the deformed structure, and investigate the effect of </w:t>
        <w:br/>
        <w:t>different loading and structural stiffness conditions.</w:t>
      </w:r>
    </w:p>
    <w:p>
      <w:pPr>
        <w:pStyle w:val="Heading1"/>
      </w:pPr>
      <w:r>
        <w:t>3. Geometry and Structural Model</w:t>
      </w:r>
    </w:p>
    <w:p>
      <w:r>
        <w:t xml:space="preserve">The structure consists of 30 nodes. The lower grid extends from x = 0 m to x = 12 m and contains </w:t>
        <w:br/>
        <w:t xml:space="preserve">two horizontal levels at y = 0 m and y = 1 m. The upper portion forms a tower-like braced grid extending to </w:t>
        <w:br/>
        <w:t xml:space="preserve">y = 9 m. Horizontal and vertical members are connected with diagonal braces to create a triangulated structural </w:t>
        <w:br/>
        <w:t>network. The horizontal nodal spacing is 2 m and the vertical spacing is 1 m.</w:t>
      </w:r>
    </w:p>
    <w:p>
      <w:pPr>
        <w:pStyle w:val="Heading1"/>
      </w:pPr>
      <w:r>
        <w:t>4. Finite Element Theory</w:t>
      </w:r>
    </w:p>
    <w:p>
      <w:r>
        <w:t xml:space="preserve">Each member is represented as a two-dimensional truss element with two translational degrees of freedom at </w:t>
        <w:br/>
        <w:t xml:space="preserve">each node. For an element of length L, Young's modulus E, area A and direction cosines c and s, the standard </w:t>
        <w:br/>
        <w:t xml:space="preserve">2-D truss stiffness matrix is formed in global coordinates. Assembly of all element matrices gives the global </w:t>
        <w:br/>
        <w:t xml:space="preserve">equilibrium equation KU = F, where K is the global stiffness matrix, U is the nodal displacement vector and F </w:t>
        <w:br/>
        <w:t>is the global load vector.</w:t>
      </w:r>
    </w:p>
    <w:p>
      <w:pPr>
        <w:pStyle w:val="Heading1"/>
      </w:pPr>
      <w:r>
        <w:t>5. Material, Loading and Boundary Conditions</w:t>
      </w:r>
    </w:p>
    <w:p>
      <w:r>
        <w:t xml:space="preserve">The members are assigned a steel-like Young's modulus of 210 GPa and a constant cross-sectional area of </w:t>
        <w:br/>
        <w:t xml:space="preserve">5×10⁻³ m². A 500 N downward point load is applied at Node 7 for the reference condition. Node 30 is fixed in </w:t>
        <w:br/>
        <w:t xml:space="preserve">both X and Y directions. Node 29 is restrained in the Y direction to remove rigid-body rotation and provide a </w:t>
        <w:br/>
        <w:t>stable two-dimensional truss solution.</w:t>
      </w:r>
    </w:p>
    <w:p>
      <w:pPr>
        <w:pStyle w:val="Heading1"/>
      </w:pPr>
      <w:r>
        <w:t>6. Computational Procedure</w:t>
      </w:r>
    </w:p>
    <w:p>
      <w:r>
        <w:t xml:space="preserve">The analysis begins with the definition of nodal coordinates and element connectivity. For every element, </w:t>
        <w:br/>
        <w:t xml:space="preserve">the length and direction cosines are calculated and the element stiffness matrix is generated. These matrices </w:t>
        <w:br/>
        <w:t xml:space="preserve">are assembled into the global stiffness matrix. The load vector and support conditions are then applied. The </w:t>
        <w:br/>
        <w:t xml:space="preserve">reduced system is solved for unknown nodal displacements. Finally, displacement magnitudes are calculated and </w:t>
        <w:br/>
        <w:t>the original and deformed configurations are plotted for interpretation.</w:t>
      </w:r>
    </w:p>
    <w:p>
      <w:pPr>
        <w:pStyle w:val="Heading1"/>
      </w:pPr>
      <w:r>
        <w:t>7. Reference Analysis Result</w:t>
      </w:r>
    </w:p>
    <w:p>
      <w:r>
        <w:t xml:space="preserve">For the reference 500 N loading condition, the maximum physical displacement is 6.805×10⁻⁴ m </w:t>
        <w:br/>
        <w:t xml:space="preserve">(approximately 0.681 mm) at Node 7. Since the physical deformation is very small compared with the 9 m overall </w:t>
        <w:br/>
        <w:t xml:space="preserve">height of the structure, a visualization scale of 500 is used in the plotted result. This scale is only a </w:t>
        <w:br/>
        <w:t>graphical magnification and does not change the calculated FEM displacement.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38584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12 2312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58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Reference FEA output showing the original grid in black and the magnified deformed grid in red.</w:t>
      </w:r>
    </w:p>
    <w:p>
      <w:r>
        <w:br w:type="page"/>
      </w:r>
    </w:p>
    <w:p>
      <w:pPr>
        <w:pStyle w:val="Heading1"/>
      </w:pPr>
      <w:r>
        <w:t>8. Analysis Under Different Conditions</w:t>
      </w:r>
    </w:p>
    <w:p>
      <w:r>
        <w:t xml:space="preserve">A parametric study is performed to examine the effect of load and structural stiffness. The first four </w:t>
        <w:br/>
        <w:t xml:space="preserve">cases vary the applied load while maintaining the reference material and area. The remaining cases investigate </w:t>
        <w:br/>
        <w:t>the effect of reducing Young's modulus and member cross-sectional area.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DCEEFF"/>
          </w:tcPr>
          <w:p>
            <w:r/>
            <w:r>
              <w:rPr>
                <w:b/>
                <w:sz w:val="16"/>
              </w:rPr>
              <w:t>Case</w:t>
            </w:r>
          </w:p>
        </w:tc>
        <w:tc>
          <w:tcPr>
            <w:tcW w:type="dxa" w:w="1680"/>
            <w:vAlign w:val="center"/>
            <w:shd w:fill="DCEEFF"/>
          </w:tcPr>
          <w:p>
            <w:r/>
            <w:r>
              <w:rPr>
                <w:b/>
                <w:sz w:val="16"/>
              </w:rPr>
              <w:t>Load</w:t>
            </w:r>
          </w:p>
        </w:tc>
        <w:tc>
          <w:tcPr>
            <w:tcW w:type="dxa" w:w="1680"/>
            <w:vAlign w:val="center"/>
            <w:shd w:fill="DCEEFF"/>
          </w:tcPr>
          <w:p>
            <w:r/>
            <w:r>
              <w:rPr>
                <w:b/>
                <w:sz w:val="16"/>
              </w:rPr>
              <w:t>E (GPa)</w:t>
            </w:r>
          </w:p>
        </w:tc>
        <w:tc>
          <w:tcPr>
            <w:tcW w:type="dxa" w:w="1680"/>
            <w:vAlign w:val="center"/>
            <w:shd w:fill="DCEEFF"/>
          </w:tcPr>
          <w:p>
            <w:r/>
            <w:r>
              <w:rPr>
                <w:b/>
                <w:sz w:val="16"/>
              </w:rPr>
              <w:t>Area (m²)</w:t>
            </w:r>
          </w:p>
        </w:tc>
        <w:tc>
          <w:tcPr>
            <w:tcW w:type="dxa" w:w="1680"/>
            <w:vAlign w:val="center"/>
            <w:shd w:fill="DCEEFF"/>
          </w:tcPr>
          <w:p>
            <w:r/>
            <w:r>
              <w:rPr>
                <w:b/>
                <w:sz w:val="16"/>
              </w:rPr>
              <w:t>Max Disp. (m)</w:t>
            </w:r>
          </w:p>
        </w:tc>
        <w:tc>
          <w:tcPr>
            <w:tcW w:type="dxa" w:w="1680"/>
            <w:vAlign w:val="center"/>
            <w:shd w:fill="DCEEFF"/>
          </w:tcPr>
          <w:p>
            <w:r/>
            <w:r>
              <w:rPr>
                <w:b/>
                <w:sz w:val="16"/>
              </w:rPr>
              <w:t>Node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Case 1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5.00e-03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3.402e-04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Case 2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5.00e-03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6.804e-04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Case 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750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5.00e-03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1.021e-03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Case 4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1000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5.00e-03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1.361e-03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Case 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5.00e-03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1.361e-03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Case 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2.50e-03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1.361e-03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</w:tr>
    </w:tbl>
    <w:p>
      <w:pPr>
        <w:pStyle w:val="Heading2"/>
      </w:pPr>
      <w:r>
        <w:t>8.1 Case-by-Case Discussion</w:t>
      </w:r>
    </w:p>
    <w:p>
      <w:r>
        <w:rPr>
          <w:b/>
        </w:rPr>
        <w:t xml:space="preserve">Case 1 – 250 N load: </w:t>
      </w:r>
      <w:r>
        <w:t>The lower 250 N load produces approximately half the reference displacement, as expected for a linear elastic structure.</w:t>
      </w:r>
    </w:p>
    <w:p>
      <w:r>
        <w:rPr>
          <w:b/>
        </w:rPr>
        <w:t xml:space="preserve">Case 2 – 500 N reference: </w:t>
      </w:r>
      <w:r>
        <w:t>This is the reference condition shown in Figure 1, with a maximum displacement of approximately 0.681 mm at Node 7.</w:t>
      </w:r>
    </w:p>
    <w:p>
      <w:r>
        <w:rPr>
          <w:b/>
        </w:rPr>
        <w:t xml:space="preserve">Case 3 – 750 N load: </w:t>
      </w:r>
      <w:r>
        <w:t>Increasing the load to 750 N increases the maximum displacement by approximately 50% relative to the reference condition.</w:t>
      </w:r>
    </w:p>
    <w:p>
      <w:r>
        <w:rPr>
          <w:b/>
        </w:rPr>
        <w:t xml:space="preserve">Case 4 – 1000 N load: </w:t>
      </w:r>
      <w:r>
        <w:t>At 1000 N, the maximum displacement is approximately twice the 500 N reference value, consistent with linear elastic behavior.</w:t>
      </w:r>
    </w:p>
    <w:p>
      <w:r>
        <w:rPr>
          <w:b/>
        </w:rPr>
        <w:t xml:space="preserve">Case 5 – E = 105 GPa: </w:t>
      </w:r>
      <w:r>
        <w:t>Reducing Young's modulus from 210 GPa to 105 GPa approximately doubles the displacement because stiffness is proportional to E.</w:t>
      </w:r>
    </w:p>
    <w:p>
      <w:r>
        <w:rPr>
          <w:b/>
        </w:rPr>
        <w:t xml:space="preserve">Case 6 – A = 2.5×10⁻³ m²: </w:t>
      </w:r>
      <w:r>
        <w:t>This is the reference condition shown in Figure 1, with a maximum displacement of approximately 0.681 mm at Node 7.</w:t>
      </w:r>
    </w:p>
    <w:p>
      <w:r>
        <w:drawing>
          <wp:inline xmlns:a="http://schemas.openxmlformats.org/drawingml/2006/main" xmlns:pic="http://schemas.openxmlformats.org/drawingml/2006/picture">
            <wp:extent cx="5715000" cy="3265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_Grid_FEA_Load_Study_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Effect of applied load on maximum displacement.</w:t>
      </w:r>
    </w:p>
    <w:p>
      <w:pPr>
        <w:pStyle w:val="Heading1"/>
      </w:pPr>
      <w:r>
        <w:t>9. Results and Engineering Interpretation</w:t>
      </w:r>
    </w:p>
    <w:p>
      <w:r>
        <w:t xml:space="preserve">The numerical results show the expected behavior of a linear elastic truss system. Increasing the applied </w:t>
        <w:br/>
        <w:t xml:space="preserve">load increases displacement in direct proportion. Reducing Young's modulus or cross-sectional area reduces </w:t>
        <w:br/>
        <w:t xml:space="preserve">member stiffness and therefore increases deformation. Node 7 remains the critical displacement location because </w:t>
        <w:br/>
        <w:t>the load is applied there and the node is relatively far from the principal restraint.</w:t>
      </w:r>
    </w:p>
    <w:p>
      <w:pPr>
        <w:pStyle w:val="ListBullet"/>
      </w:pPr>
      <w:r>
        <w:t>The black geometry represents the original undeformed structure.</w:t>
      </w:r>
    </w:p>
    <w:p>
      <w:pPr>
        <w:pStyle w:val="ListBullet"/>
      </w:pPr>
      <w:r>
        <w:t>The red geometry represents the deformed configuration after graphical magnification.</w:t>
      </w:r>
    </w:p>
    <w:p>
      <w:pPr>
        <w:pStyle w:val="ListBullet"/>
      </w:pPr>
      <w:r>
        <w:t>The displacement stated in metres or millimetres is the physical FEM result.</w:t>
      </w:r>
    </w:p>
    <w:p>
      <w:pPr>
        <w:pStyle w:val="ListBullet"/>
      </w:pPr>
      <w:r>
        <w:t>The deformation scale shown in the figure is a visualization aid only.</w:t>
      </w:r>
    </w:p>
    <w:p>
      <w:pPr>
        <w:pStyle w:val="ListBullet"/>
      </w:pPr>
      <w:r>
        <w:t>The diagonal bracing provides load paths and contributes to the overall structural stiffness.</w:t>
      </w:r>
    </w:p>
    <w:p>
      <w:pPr>
        <w:pStyle w:val="ListBullet"/>
      </w:pPr>
      <w:r>
        <w:t>The parametric trends provide a useful consistency check for the numerical implementation.</w:t>
      </w:r>
    </w:p>
    <w:p>
      <w:pPr>
        <w:pStyle w:val="Heading1"/>
      </w:pPr>
      <w:r>
        <w:t>10. Assumptions and Limitations</w:t>
      </w:r>
    </w:p>
    <w:p>
      <w:pPr>
        <w:pStyle w:val="ListBullet"/>
      </w:pPr>
      <w:r>
        <w:t>Members are idealized as two-dimensional truss elements carrying axial force.</w:t>
      </w:r>
    </w:p>
    <w:p>
      <w:pPr>
        <w:pStyle w:val="ListBullet"/>
      </w:pPr>
      <w:r>
        <w:t>Material behavior is assumed linear elastic and isotropic.</w:t>
      </w:r>
    </w:p>
    <w:p>
      <w:pPr>
        <w:pStyle w:val="ListBullet"/>
      </w:pPr>
      <w:r>
        <w:t>Young's modulus and cross-sectional area are constant within each analysis case.</w:t>
      </w:r>
    </w:p>
    <w:p>
      <w:pPr>
        <w:pStyle w:val="ListBullet"/>
      </w:pPr>
      <w:r>
        <w:t>Connections are idealized as pin joints.</w:t>
      </w:r>
    </w:p>
    <w:p>
      <w:pPr>
        <w:pStyle w:val="ListBullet"/>
      </w:pPr>
      <w:r>
        <w:t>Geometric nonlinearities and large-deformation effects are neglected.</w:t>
      </w:r>
    </w:p>
    <w:p>
      <w:pPr>
        <w:pStyle w:val="ListBullet"/>
      </w:pPr>
      <w:r>
        <w:t>The analysis is static and does not include dynamic or time-dependent effects.</w:t>
      </w:r>
    </w:p>
    <w:p>
      <w:pPr>
        <w:pStyle w:val="ListBullet"/>
      </w:pPr>
      <w:r>
        <w:t>The displayed deformation is magnified for visualization and is not the physical scale of the structure.</w:t>
      </w:r>
    </w:p>
    <w:p>
      <w:pPr>
        <w:pStyle w:val="Heading1"/>
      </w:pPr>
      <w:r>
        <w:t>11. Conclusion</w:t>
      </w:r>
    </w:p>
    <w:p>
      <w:r>
        <w:t xml:space="preserve">A complete finite element model of a 30-node two-dimensional braced grid structure was developed and </w:t>
        <w:br/>
        <w:t xml:space="preserve">evaluated. The study demonstrates the complete FEM workflow, including element formulation, global stiffness </w:t>
        <w:br/>
        <w:t xml:space="preserve">assembly, application of loads and boundary conditions, solution of nodal displacements, and graphical </w:t>
        <w:br/>
        <w:t xml:space="preserve">interpretation of the deformed structure. For the 500 N reference condition, the maximum physical displacement </w:t>
        <w:br/>
        <w:t xml:space="preserve">is approximately 6.805×10⁻⁴ m at Node 7. The additional loading and stiffness cases demonstrate consistent </w:t>
        <w:br/>
        <w:t xml:space="preserve">linear relationships between displacement, applied load and structural stiffness. The study therefore provides </w:t>
        <w:br/>
        <w:t>a clear and practical demonstration of finite element structural analysis.</w:t>
      </w:r>
    </w:p>
    <w:p>
      <w:pPr>
        <w:pStyle w:val="Heading1"/>
      </w:pPr>
      <w:r>
        <w:t>12. Future Scope</w:t>
      </w:r>
    </w:p>
    <w:p>
      <w:pPr>
        <w:pStyle w:val="ListBullet"/>
      </w:pPr>
      <w:r>
        <w:t>Calculate member axial forces, stresses and strains.</w:t>
      </w:r>
    </w:p>
    <w:p>
      <w:pPr>
        <w:pStyle w:val="ListBullet"/>
      </w:pPr>
      <w:r>
        <w:t>Introduce multiple load combinations and support configurations.</w:t>
      </w:r>
    </w:p>
    <w:p>
      <w:pPr>
        <w:pStyle w:val="ListBullet"/>
      </w:pPr>
      <w:r>
        <w:t>Perform sensitivity studies for member size and material properties.</w:t>
      </w:r>
    </w:p>
    <w:p>
      <w:pPr>
        <w:pStyle w:val="ListBullet"/>
      </w:pPr>
      <w:r>
        <w:t>Extend the model to beam and frame elements including bending stiffness.</w:t>
      </w:r>
    </w:p>
    <w:p>
      <w:pPr>
        <w:pStyle w:val="ListBullet"/>
      </w:pPr>
      <w:r>
        <w:t>Include geometric and material nonlinear analysis.</w:t>
      </w:r>
    </w:p>
    <w:p>
      <w:pPr>
        <w:pStyle w:val="ListBullet"/>
      </w:pPr>
      <w:r>
        <w:t>Compare the results with a commercial finite element package.</w:t>
      </w:r>
    </w:p>
    <w:p>
      <w:pPr>
        <w:pStyle w:val="Heading1"/>
      </w:pPr>
      <w:r>
        <w:t>Appendix – Main Analysis Parameters</w:t>
      </w:r>
    </w:p>
    <w:p>
      <w:r>
        <w:rPr>
          <w:rFonts w:ascii="Courier New" w:hAnsi="Courier New"/>
          <w:sz w:val="18"/>
        </w:rPr>
        <w:t>Young's modulus, E = 210 GPa</w:t>
        <w:br/>
        <w:t>Cross-sectional area, A = 5×10⁻³ m²</w:t>
        <w:br/>
        <w:t>Reference load, P = 500 N</w:t>
        <w:br/>
        <w:t>Load location = Node 7</w:t>
        <w:br/>
        <w:t>Fixed node = Node 30 (X and Y)</w:t>
        <w:br/>
        <w:t>Additional restraint = Node 29 (Y)</w:t>
        <w:br/>
        <w:t>Visualization scale = 500×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>2-D Grid FEA Project Report  |  Pushkar Bharad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8"/>
      </w:rPr>
      <w:t>INDIAN INSTITUTE OF TECHNOLOGY INDORE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