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caps/>
          <w:color w:val="595959"/>
          <w:spacing w:val="40"/>
          <w:sz w:val="22"/>
          <w:szCs w:val="22"/>
        </w:rPr>
        <w:t xml:space="preserve">Work Instruction</w:t>
      </w:r>
    </w:p>
    <w:p>
      <w:pPr>
        <w:spacing w:after="80"/>
        <w:jc w:val="center"/>
      </w:pPr>
      <w:r>
        <w:rPr>
          <w:b/>
          <w:bCs/>
          <w:color w:val="1F4E79"/>
          <w:sz w:val="34"/>
          <w:szCs w:val="34"/>
        </w:rPr>
        <w:t xml:space="preserve">Registering On-Premises (Offline) SQL Server Instances in Azure Arc and Activating Extended Security Updates (ESUs) Using a Purchase Order (PO) Number</w:t>
      </w:r>
    </w:p>
    <w:p>
      <w:pPr>
        <w:pBdr>
          <w:bottom w:val="single" w:color="1F4E79" w:sz="8"/>
        </w:pBdr>
        <w:spacing w:after="240"/>
        <w:jc w:val="center"/>
      </w:pPr>
      <w:r>
        <w:rPr>
          <w:i/>
          <w:iCs/>
          <w:color w:val="595959"/>
          <w:sz w:val="22"/>
          <w:szCs w:val="22"/>
        </w:rPr>
        <w:t xml:space="preserve">Applies to: SQL Server 2014 and SQL Server 2016 (disconnected / manually registered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D9E2F3" w:val="clear"/>
            <w:tcMar>
              <w:top w:type="dxa" w:w="80"/>
              <w:left w:type="dxa" w:w="120"/>
              <w:bottom w:type="dxa" w:w="80"/>
              <w:right w:type="dxa" w:w="120"/>
            </w:tcMar>
          </w:tcPr>
          <w:p>
            <w:pPr>
              <w:spacing w:after="0" w:line="260"/>
            </w:pPr>
            <w:r>
              <w:rPr>
                <w:b/>
                <w:bCs/>
                <w:sz w:val="20"/>
                <w:szCs w:val="20"/>
              </w:rPr>
              <w:t xml:space="preserve">Field</w:t>
            </w:r>
          </w:p>
        </w:tc>
        <w:tc>
          <w:tcPr>
            <w:tcW w:type="dxa" w:w="7020"/>
            <w:shd w:fill="D9E2F3" w:val="clear"/>
            <w:tcMar>
              <w:top w:type="dxa" w:w="80"/>
              <w:left w:type="dxa" w:w="120"/>
              <w:bottom w:type="dxa" w:w="80"/>
              <w:right w:type="dxa" w:w="120"/>
            </w:tcMar>
          </w:tcPr>
          <w:p>
            <w:pPr>
              <w:spacing w:after="0" w:line="260"/>
            </w:pPr>
            <w:r>
              <w:rPr>
                <w:b/>
                <w:bCs/>
                <w:sz w:val="20"/>
                <w:szCs w:val="20"/>
              </w:rPr>
              <w:t xml:space="preserve">Details</w:t>
            </w:r>
          </w:p>
        </w:tc>
      </w:tr>
      <w:tr>
        <w:tc>
          <w:tcPr>
            <w:tcW w:type="dxa" w:w="2340"/>
            <w:tcMar>
              <w:top w:type="dxa" w:w="80"/>
              <w:left w:type="dxa" w:w="120"/>
              <w:bottom w:type="dxa" w:w="80"/>
              <w:right w:type="dxa" w:w="120"/>
            </w:tcMar>
          </w:tcPr>
          <w:p>
            <w:pPr>
              <w:spacing w:after="0" w:line="260"/>
            </w:pPr>
            <w:r>
              <w:rPr>
                <w:b w:val="false"/>
                <w:bCs w:val="false"/>
                <w:sz w:val="20"/>
                <w:szCs w:val="20"/>
              </w:rPr>
              <w:t xml:space="preserve">Document Title</w:t>
            </w:r>
          </w:p>
        </w:tc>
        <w:tc>
          <w:tcPr>
            <w:tcW w:type="dxa" w:w="7020"/>
            <w:tcMar>
              <w:top w:type="dxa" w:w="80"/>
              <w:left w:type="dxa" w:w="120"/>
              <w:bottom w:type="dxa" w:w="80"/>
              <w:right w:type="dxa" w:w="120"/>
            </w:tcMar>
          </w:tcPr>
          <w:p>
            <w:pPr>
              <w:spacing w:after="0" w:line="260"/>
            </w:pPr>
            <w:r>
              <w:rPr>
                <w:b w:val="false"/>
                <w:bCs w:val="false"/>
                <w:sz w:val="20"/>
                <w:szCs w:val="20"/>
              </w:rPr>
              <w:t xml:space="preserve">Register On-Prem Offline SQL Servers in Azure Arc and Activate ESU via PO Number</w:t>
            </w:r>
          </w:p>
        </w:tc>
      </w:tr>
      <w:tr>
        <w:tc>
          <w:tcPr>
            <w:tcW w:type="dxa" w:w="2340"/>
            <w:tcMar>
              <w:top w:type="dxa" w:w="80"/>
              <w:left w:type="dxa" w:w="120"/>
              <w:bottom w:type="dxa" w:w="80"/>
              <w:right w:type="dxa" w:w="120"/>
            </w:tcMar>
          </w:tcPr>
          <w:p>
            <w:pPr>
              <w:spacing w:after="0" w:line="260"/>
            </w:pPr>
            <w:r>
              <w:rPr>
                <w:b w:val="false"/>
                <w:bCs w:val="false"/>
                <w:sz w:val="20"/>
                <w:szCs w:val="20"/>
              </w:rPr>
              <w:t xml:space="preserve">Purpose</w:t>
            </w:r>
          </w:p>
        </w:tc>
        <w:tc>
          <w:tcPr>
            <w:tcW w:type="dxa" w:w="7020"/>
            <w:tcMar>
              <w:top w:type="dxa" w:w="80"/>
              <w:left w:type="dxa" w:w="120"/>
              <w:bottom w:type="dxa" w:w="80"/>
              <w:right w:type="dxa" w:w="120"/>
            </w:tcMar>
          </w:tcPr>
          <w:p>
            <w:pPr>
              <w:spacing w:after="0" w:line="260"/>
            </w:pPr>
            <w:r>
              <w:rPr>
                <w:b w:val="false"/>
                <w:bCs w:val="false"/>
                <w:sz w:val="20"/>
                <w:szCs w:val="20"/>
              </w:rPr>
              <w:t xml:space="preserve">Step-by-step procedure to manually register disconnected SQL Server instances in the Azure portal (Azure Arc) and link the ESU volume-licensing invoice using the Purchase Order Number</w:t>
            </w:r>
          </w:p>
        </w:tc>
      </w:tr>
      <w:tr>
        <w:tc>
          <w:tcPr>
            <w:tcW w:type="dxa" w:w="2340"/>
            <w:tcMar>
              <w:top w:type="dxa" w:w="80"/>
              <w:left w:type="dxa" w:w="120"/>
              <w:bottom w:type="dxa" w:w="80"/>
              <w:right w:type="dxa" w:w="120"/>
            </w:tcMar>
          </w:tcPr>
          <w:p>
            <w:pPr>
              <w:spacing w:after="0" w:line="260"/>
            </w:pPr>
            <w:r>
              <w:rPr>
                <w:b w:val="false"/>
                <w:bCs w:val="false"/>
                <w:sz w:val="20"/>
                <w:szCs w:val="20"/>
              </w:rPr>
              <w:t xml:space="preserve">Reference</w:t>
            </w:r>
          </w:p>
        </w:tc>
        <w:tc>
          <w:tcPr>
            <w:tcW w:type="dxa" w:w="7020"/>
            <w:tcMar>
              <w:top w:type="dxa" w:w="80"/>
              <w:left w:type="dxa" w:w="120"/>
              <w:bottom w:type="dxa" w:w="80"/>
              <w:right w:type="dxa" w:w="120"/>
            </w:tcMar>
          </w:tcPr>
          <w:p>
            <w:pPr>
              <w:spacing w:after="0" w:line="260"/>
            </w:pPr>
            <w:r>
              <w:rPr>
                <w:b w:val="false"/>
                <w:bCs w:val="false"/>
                <w:sz w:val="20"/>
                <w:szCs w:val="20"/>
              </w:rPr>
              <w:t xml:space="preserve">Microsoft Learn – “Register SQL Server instances for ESUs” (extended-security-updates-disconnected-instances)</w:t>
            </w:r>
          </w:p>
        </w:tc>
      </w:tr>
      <w:tr>
        <w:tc>
          <w:tcPr>
            <w:tcW w:type="dxa" w:w="2340"/>
            <w:tcMar>
              <w:top w:type="dxa" w:w="80"/>
              <w:left w:type="dxa" w:w="120"/>
              <w:bottom w:type="dxa" w:w="80"/>
              <w:right w:type="dxa" w:w="120"/>
            </w:tcMar>
          </w:tcPr>
          <w:p>
            <w:pPr>
              <w:spacing w:after="0" w:line="260"/>
            </w:pPr>
            <w:r>
              <w:rPr>
                <w:b w:val="false"/>
                <w:bCs w:val="false"/>
                <w:sz w:val="20"/>
                <w:szCs w:val="20"/>
              </w:rPr>
              <w:t xml:space="preserve">Prepared By</w:t>
            </w:r>
          </w:p>
        </w:tc>
        <w:tc>
          <w:tcPr>
            <w:tcW w:type="dxa" w:w="7020"/>
            <w:tcMar>
              <w:top w:type="dxa" w:w="80"/>
              <w:left w:type="dxa" w:w="120"/>
              <w:bottom w:type="dxa" w:w="80"/>
              <w:right w:type="dxa" w:w="120"/>
            </w:tcMar>
          </w:tcPr>
          <w:p>
            <w:pPr>
              <w:spacing w:after="0" w:line="260"/>
            </w:pPr>
            <w:r>
              <w:rPr>
                <w:b w:val="false"/>
                <w:bCs w:val="false"/>
                <w:sz w:val="20"/>
                <w:szCs w:val="20"/>
              </w:rPr>
              <w:t xml:space="preserve">__________________________</w:t>
            </w:r>
          </w:p>
        </w:tc>
      </w:tr>
      <w:tr>
        <w:tc>
          <w:tcPr>
            <w:tcW w:type="dxa" w:w="2340"/>
            <w:tcMar>
              <w:top w:type="dxa" w:w="80"/>
              <w:left w:type="dxa" w:w="120"/>
              <w:bottom w:type="dxa" w:w="80"/>
              <w:right w:type="dxa" w:w="120"/>
            </w:tcMar>
          </w:tcPr>
          <w:p>
            <w:pPr>
              <w:spacing w:after="0" w:line="260"/>
            </w:pPr>
            <w:r>
              <w:rPr>
                <w:b w:val="false"/>
                <w:bCs w:val="false"/>
                <w:sz w:val="20"/>
                <w:szCs w:val="20"/>
              </w:rPr>
              <w:t xml:space="preserve">Date</w:t>
            </w:r>
          </w:p>
        </w:tc>
        <w:tc>
          <w:tcPr>
            <w:tcW w:type="dxa" w:w="7020"/>
            <w:tcMar>
              <w:top w:type="dxa" w:w="80"/>
              <w:left w:type="dxa" w:w="120"/>
              <w:bottom w:type="dxa" w:w="80"/>
              <w:right w:type="dxa" w:w="120"/>
            </w:tcMar>
          </w:tcPr>
          <w:p>
            <w:pPr>
              <w:spacing w:after="0" w:line="260"/>
            </w:pPr>
            <w:r>
              <w:rPr>
                <w:b w:val="false"/>
                <w:bCs w:val="false"/>
                <w:sz w:val="20"/>
                <w:szCs w:val="20"/>
              </w:rPr>
              <w:t xml:space="preserve">__________________________</w:t>
            </w:r>
          </w:p>
        </w:tc>
      </w:tr>
      <w:tr>
        <w:tc>
          <w:tcPr>
            <w:tcW w:type="dxa" w:w="2340"/>
            <w:tcMar>
              <w:top w:type="dxa" w:w="80"/>
              <w:left w:type="dxa" w:w="120"/>
              <w:bottom w:type="dxa" w:w="80"/>
              <w:right w:type="dxa" w:w="120"/>
            </w:tcMar>
          </w:tcPr>
          <w:p>
            <w:pPr>
              <w:spacing w:after="0" w:line="260"/>
            </w:pPr>
            <w:r>
              <w:rPr>
                <w:b w:val="false"/>
                <w:bCs w:val="false"/>
                <w:sz w:val="20"/>
                <w:szCs w:val="20"/>
              </w:rPr>
              <w:t xml:space="preserve">Version</w:t>
            </w:r>
          </w:p>
        </w:tc>
        <w:tc>
          <w:tcPr>
            <w:tcW w:type="dxa" w:w="7020"/>
            <w:tcMar>
              <w:top w:type="dxa" w:w="80"/>
              <w:left w:type="dxa" w:w="120"/>
              <w:bottom w:type="dxa" w:w="80"/>
              <w:right w:type="dxa" w:w="120"/>
            </w:tcMar>
          </w:tcPr>
          <w:p>
            <w:pPr>
              <w:spacing w:after="0" w:line="260"/>
            </w:pPr>
            <w:r>
              <w:rPr>
                <w:b w:val="false"/>
                <w:bCs w:val="false"/>
                <w:sz w:val="20"/>
                <w:szCs w:val="20"/>
              </w:rPr>
              <w:t xml:space="preserve">1.0</w:t>
            </w:r>
          </w:p>
        </w:tc>
      </w:tr>
    </w:tbl>
    <w:p>
      <w:pPr>
        <w:spacing w:after="120" w:line="276"/>
      </w:pPr>
      <w:r>
        <w:rPr>
          <w:sz w:val="22"/>
          <w:szCs w:val="22"/>
        </w:rPr>
        <w:t xml:space="preserve"/>
      </w:r>
    </w:p>
    <w:p>
      <w:pPr>
        <w:pStyle w:val="Heading1"/>
        <w:spacing w:after="160" w:before="320"/>
      </w:pPr>
      <w:r>
        <w:rPr>
          <w:b/>
          <w:bCs/>
          <w:color w:val="1F4E79"/>
          <w:sz w:val="30"/>
          <w:szCs w:val="30"/>
        </w:rPr>
        <w:t xml:space="preserve">1. Overview</w:t>
      </w:r>
    </w:p>
    <w:p>
      <w:pPr>
        <w:spacing w:after="120" w:line="276"/>
      </w:pPr>
      <w:r>
        <w:rPr>
          <w:sz w:val="22"/>
          <w:szCs w:val="22"/>
        </w:rPr>
        <w:t xml:space="preserve">Extended Security Updates (ESUs) provide critical security patches for SQL Server versions that have reached end of support. Servers that cannot be connected to Azure Arc directly (offline / disconnected environments) must be manually registered in the Azure portal so that ESUs purchased through volume licensing can be activated and downloaded.</w:t>
      </w:r>
    </w:p>
    <w:p>
      <w:pPr>
        <w:spacing w:after="120" w:line="276"/>
      </w:pPr>
      <w:r>
        <w:rPr>
          <w:sz w:val="22"/>
          <w:szCs w:val="22"/>
        </w:rPr>
        <w:t xml:space="preserve">Manual registration is required in the following scenarios:</w:t>
      </w:r>
    </w:p>
    <w:p>
      <w:pPr>
        <w:pStyle w:val="ListParagraph"/>
        <w:numPr>
          <w:ilvl w:val="0"/>
          <w:numId w:val="2"/>
        </w:numPr>
        <w:spacing w:after="80" w:line="276"/>
      </w:pPr>
      <w:r>
        <w:rPr>
          <w:sz w:val="22"/>
          <w:szCs w:val="22"/>
        </w:rPr>
        <w:t xml:space="preserve">The SQL Server instance cannot be connected to Azure Arc directly (e.g., air-gapped or restricted network environments).</w:t>
      </w:r>
    </w:p>
    <w:p>
      <w:pPr>
        <w:pStyle w:val="ListParagraph"/>
        <w:numPr>
          <w:ilvl w:val="0"/>
          <w:numId w:val="2"/>
        </w:numPr>
        <w:spacing w:after="80" w:line="276"/>
      </w:pPr>
      <w:r>
        <w:rPr>
          <w:sz w:val="22"/>
          <w:szCs w:val="22"/>
        </w:rPr>
        <w:t xml:space="preserve">The SQL Server on Azure VM is in a region that does not currently support ESUs for Azure VMs.</w:t>
      </w:r>
    </w:p>
    <w:p>
      <w:pPr>
        <w:pBdr>
          <w:left w:val="single" w:color="1F4E79" w:sz="24"/>
        </w:pBdr>
        <w:shd w:fill="F2F6FC" w:val="clear"/>
        <w:spacing w:after="160" w:before="120" w:line="276"/>
        <w:ind w:left="215"/>
      </w:pPr>
      <w:r>
        <w:rPr>
          <w:b/>
          <w:bCs/>
          <w:color w:val="1F4E79"/>
          <w:sz w:val="22"/>
          <w:szCs w:val="22"/>
        </w:rPr>
        <w:t xml:space="preserve">Note: </w:t>
      </w:r>
      <w:r>
        <w:rPr>
          <w:sz w:val="22"/>
          <w:szCs w:val="22"/>
        </w:rPr>
        <w:t xml:space="preserve">If neither scenario applies, Microsoft recommends connecting the server to Azure Arc directly (connected mode) instead of manual registration, to take advantage of the full flexibility of Arc-enabled ESUs.</w:t>
      </w:r>
    </w:p>
    <w:p>
      <w:pPr>
        <w:pBdr>
          <w:left w:val="single" w:color="1F4E79" w:sz="24"/>
        </w:pBdr>
        <w:shd w:fill="F2F6FC" w:val="clear"/>
        <w:spacing w:after="160" w:before="120" w:line="276"/>
        <w:ind w:left="215"/>
      </w:pPr>
      <w:r>
        <w:rPr>
          <w:b/>
          <w:bCs/>
          <w:color w:val="1F4E79"/>
          <w:sz w:val="22"/>
          <w:szCs w:val="22"/>
        </w:rPr>
        <w:t xml:space="preserve">About the figures: </w:t>
      </w:r>
      <w:r>
        <w:rPr>
          <w:sz w:val="22"/>
          <w:szCs w:val="22"/>
        </w:rPr>
        <w:t xml:space="preserve">The figures in this document are illustrative representations of the Azure portal screens, created to guide the reader through each step. Actual portal layout and labels may differ slightly. Refer to the Microsoft Learn source article for original screenshots.</w:t>
      </w:r>
    </w:p>
    <w:p>
      <w:pPr>
        <w:pStyle w:val="Heading1"/>
        <w:spacing w:after="160" w:before="320"/>
      </w:pPr>
      <w:r>
        <w:rPr>
          <w:b/>
          <w:bCs/>
          <w:color w:val="1F4E79"/>
          <w:sz w:val="30"/>
          <w:szCs w:val="30"/>
        </w:rPr>
        <w:t xml:space="preserve">2. Prerequisites</w:t>
      </w:r>
    </w:p>
    <w:p>
      <w:pPr>
        <w:spacing w:after="120" w:line="276"/>
      </w:pPr>
      <w:r>
        <w:rPr>
          <w:sz w:val="22"/>
          <w:szCs w:val="22"/>
        </w:rPr>
        <w:t xml:space="preserve">Complete all items below before starting the registration procedure.</w:t>
      </w:r>
    </w:p>
    <w:p>
      <w:pPr>
        <w:pStyle w:val="ListParagraph"/>
        <w:numPr>
          <w:ilvl w:val="0"/>
          <w:numId w:val="3"/>
        </w:numPr>
        <w:spacing w:after="100" w:line="276"/>
      </w:pPr>
      <w:r>
        <w:rPr>
          <w:b/>
          <w:bCs/>
          <w:sz w:val="22"/>
          <w:szCs w:val="22"/>
        </w:rPr>
        <w:t xml:space="preserve">Azure subscription. </w:t>
      </w:r>
      <w:r>
        <w:rPr>
          <w:sz w:val="22"/>
          <w:szCs w:val="22"/>
        </w:rPr>
        <w:t xml:space="preserve">An active Azure subscription is required (Microsoft Customer Agreement, Enterprise Agreement, pay-as-you-go, or free account).</w:t>
      </w:r>
    </w:p>
    <w:p>
      <w:pPr>
        <w:pStyle w:val="ListParagraph"/>
        <w:numPr>
          <w:ilvl w:val="0"/>
          <w:numId w:val="3"/>
        </w:numPr>
        <w:spacing w:after="100" w:line="276"/>
      </w:pPr>
      <w:r>
        <w:rPr>
          <w:b/>
          <w:bCs/>
          <w:sz w:val="22"/>
          <w:szCs w:val="22"/>
        </w:rPr>
        <w:t xml:space="preserve">Azure RBAC permissions. </w:t>
      </w:r>
      <w:r>
        <w:rPr>
          <w:sz w:val="22"/>
          <w:szCs w:val="22"/>
        </w:rPr>
        <w:t xml:space="preserve">The user performing the registration must have the following permissions:</w:t>
      </w:r>
    </w:p>
    <w:p>
      <w:pPr>
        <w:pStyle w:val="ListParagraph"/>
        <w:numPr>
          <w:ilvl w:val="1"/>
          <w:numId w:val="2"/>
        </w:numPr>
        <w:spacing w:after="80" w:line="276"/>
      </w:pPr>
      <w:r>
        <w:rPr>
          <w:sz w:val="22"/>
          <w:szCs w:val="22"/>
        </w:rPr>
        <w:t xml:space="preserve">Microsoft.AzureArcData/sqlServerInstances/read</w:t>
      </w:r>
    </w:p>
    <w:p>
      <w:pPr>
        <w:pStyle w:val="ListParagraph"/>
        <w:numPr>
          <w:ilvl w:val="1"/>
          <w:numId w:val="2"/>
        </w:numPr>
        <w:spacing w:after="80" w:line="276"/>
      </w:pPr>
      <w:r>
        <w:rPr>
          <w:sz w:val="22"/>
          <w:szCs w:val="22"/>
        </w:rPr>
        <w:t xml:space="preserve">Microsoft.AzureArcData/sqlServerInstances/write</w:t>
      </w:r>
    </w:p>
    <w:p>
      <w:pPr>
        <w:pStyle w:val="ListParagraph"/>
        <w:numPr>
          <w:ilvl w:val="1"/>
          <w:numId w:val="2"/>
        </w:numPr>
        <w:spacing w:after="80" w:line="276"/>
      </w:pPr>
      <w:r>
        <w:rPr>
          <w:sz w:val="22"/>
          <w:szCs w:val="22"/>
        </w:rPr>
        <w:t xml:space="preserve">These can be granted via the </w:t>
      </w:r>
      <w:r>
        <w:rPr>
          <w:b/>
          <w:bCs/>
          <w:sz w:val="22"/>
          <w:szCs w:val="22"/>
        </w:rPr>
        <w:t xml:space="preserve">Azure Connected SQL Server Onboarding</w:t>
      </w:r>
      <w:r>
        <w:rPr>
          <w:sz w:val="22"/>
          <w:szCs w:val="22"/>
        </w:rPr>
        <w:t xml:space="preserve"> role, or via built-in roles such as Contributor or Owner.</w:t>
      </w:r>
    </w:p>
    <w:p>
      <w:pPr>
        <w:pStyle w:val="ListParagraph"/>
        <w:numPr>
          <w:ilvl w:val="0"/>
          <w:numId w:val="3"/>
        </w:numPr>
        <w:spacing w:after="100" w:line="276"/>
      </w:pPr>
      <w:r>
        <w:rPr>
          <w:b/>
          <w:bCs/>
          <w:sz w:val="22"/>
          <w:szCs w:val="22"/>
        </w:rPr>
        <w:t xml:space="preserve">Register the resource provider. </w:t>
      </w:r>
      <w:r>
        <w:rPr>
          <w:sz w:val="22"/>
          <w:szCs w:val="22"/>
        </w:rPr>
        <w:t xml:space="preserve">The Microsoft.AzureArcData resource provider must be registered in the subscription:</w:t>
      </w:r>
    </w:p>
    <w:p>
      <w:pPr>
        <w:pStyle w:val="ListParagraph"/>
        <w:numPr>
          <w:ilvl w:val="1"/>
          <w:numId w:val="2"/>
        </w:numPr>
        <w:spacing w:after="80" w:line="276"/>
      </w:pPr>
      <w:r>
        <w:rPr>
          <w:sz w:val="22"/>
          <w:szCs w:val="22"/>
        </w:rPr>
        <w:t xml:space="preserve">Sign in to the Azure portal.</w:t>
      </w:r>
    </w:p>
    <w:p>
      <w:pPr>
        <w:pStyle w:val="ListParagraph"/>
        <w:numPr>
          <w:ilvl w:val="1"/>
          <w:numId w:val="2"/>
        </w:numPr>
        <w:spacing w:after="80" w:line="276"/>
      </w:pPr>
      <w:r>
        <w:rPr>
          <w:sz w:val="22"/>
          <w:szCs w:val="22"/>
        </w:rPr>
        <w:t xml:space="preserve">Navigate to the subscription and select </w:t>
      </w:r>
      <w:r>
        <w:rPr>
          <w:b/>
          <w:bCs/>
          <w:sz w:val="22"/>
          <w:szCs w:val="22"/>
        </w:rPr>
        <w:t xml:space="preserve">Resource providers</w:t>
      </w:r>
      <w:r>
        <w:rPr>
          <w:sz w:val="22"/>
          <w:szCs w:val="22"/>
        </w:rPr>
        <w:t xml:space="preserve">.</w:t>
      </w:r>
    </w:p>
    <w:p>
      <w:pPr>
        <w:pStyle w:val="ListParagraph"/>
        <w:numPr>
          <w:ilvl w:val="1"/>
          <w:numId w:val="2"/>
        </w:numPr>
        <w:spacing w:after="80" w:line="276"/>
      </w:pPr>
      <w:r>
        <w:rPr>
          <w:sz w:val="22"/>
          <w:szCs w:val="22"/>
        </w:rPr>
        <w:t xml:space="preserve">If Microsoft.AzureArcData is not listed as Registered, select it and click </w:t>
      </w:r>
      <w:r>
        <w:rPr>
          <w:b/>
          <w:bCs/>
          <w:sz w:val="22"/>
          <w:szCs w:val="22"/>
        </w:rPr>
        <w:t xml:space="preserve">Register</w:t>
      </w:r>
      <w:r>
        <w:rPr>
          <w:sz w:val="22"/>
          <w:szCs w:val="22"/>
        </w:rPr>
        <w:t xml:space="preserve">.</w:t>
      </w:r>
    </w:p>
    <w:p>
      <w:pPr>
        <w:pStyle w:val="ListParagraph"/>
        <w:numPr>
          <w:ilvl w:val="0"/>
          <w:numId w:val="3"/>
        </w:numPr>
        <w:spacing w:after="100" w:line="276"/>
      </w:pPr>
      <w:r>
        <w:rPr>
          <w:b/>
          <w:bCs/>
          <w:sz w:val="22"/>
          <w:szCs w:val="22"/>
        </w:rPr>
        <w:t xml:space="preserve">Azure Policy check. </w:t>
      </w:r>
      <w:r>
        <w:rPr>
          <w:sz w:val="22"/>
          <w:szCs w:val="22"/>
        </w:rPr>
        <w:t xml:space="preserve">If Azure policies restrict resource creation to specific resource types, ensure the Microsoft.AzureArcData/sqlServerInstances resource type is allowed. Otherwise, the SQLServerInstances_Update operation fails with a 'deny' Policy action entry in the subscription activity log.</w:t>
      </w:r>
    </w:p>
    <w:p>
      <w:pPr>
        <w:pStyle w:val="ListParagraph"/>
        <w:numPr>
          <w:ilvl w:val="0"/>
          <w:numId w:val="3"/>
        </w:numPr>
        <w:spacing w:after="100" w:line="276"/>
      </w:pPr>
      <w:r>
        <w:rPr>
          <w:b/>
          <w:bCs/>
          <w:sz w:val="22"/>
          <w:szCs w:val="22"/>
        </w:rPr>
        <w:t xml:space="preserve">Information to collect per server. </w:t>
      </w:r>
      <w:r>
        <w:rPr>
          <w:sz w:val="22"/>
          <w:szCs w:val="22"/>
        </w:rPr>
        <w:t xml:space="preserve">For every SQL Server instance to be registered, collect: instance name (output of SELECT @@SERVERNAME), SQL Server version, edition, number of cores, and host type.</w:t>
      </w:r>
    </w:p>
    <w:p>
      <w:pPr>
        <w:pStyle w:val="ListParagraph"/>
        <w:numPr>
          <w:ilvl w:val="0"/>
          <w:numId w:val="3"/>
        </w:numPr>
        <w:spacing w:after="100" w:line="276"/>
      </w:pPr>
      <w:r>
        <w:rPr>
          <w:b/>
          <w:bCs/>
          <w:sz w:val="22"/>
          <w:szCs w:val="22"/>
        </w:rPr>
        <w:t xml:space="preserve">ESU purchase details. </w:t>
      </w:r>
      <w:r>
        <w:rPr>
          <w:sz w:val="22"/>
          <w:szCs w:val="22"/>
        </w:rPr>
        <w:t xml:space="preserve">The Purchase Order (PO) Number from the Microsoft ESU invoice (found under Invoice Summary on the invoice) is required to activate ESUs.</w:t>
      </w:r>
    </w:p>
    <w:p>
      <w:pPr>
        <w:pStyle w:val="Heading1"/>
        <w:spacing w:after="160" w:before="320"/>
      </w:pPr>
      <w:r>
        <w:rPr>
          <w:b/>
          <w:bCs/>
          <w:color w:val="1F4E79"/>
          <w:sz w:val="30"/>
          <w:szCs w:val="30"/>
        </w:rPr>
        <w:t xml:space="preserve">3. Procedure A – Register a Single SQL Server Instance</w:t>
      </w:r>
    </w:p>
    <w:p>
      <w:pPr>
        <w:pStyle w:val="ListParagraph"/>
        <w:numPr>
          <w:ilvl w:val="0"/>
          <w:numId w:val="4"/>
        </w:numPr>
        <w:spacing w:after="100" w:line="276"/>
      </w:pPr>
      <w:r>
        <w:rPr>
          <w:sz w:val="22"/>
          <w:szCs w:val="22"/>
        </w:rPr>
        <w:t xml:space="preserve">In the Azure portal, go to </w:t>
      </w:r>
      <w:r>
        <w:rPr>
          <w:b/>
          <w:bCs/>
          <w:sz w:val="22"/>
          <w:szCs w:val="22"/>
        </w:rPr>
        <w:t xml:space="preserve">Azure Arc &gt; SQL Server instances</w:t>
      </w:r>
      <w:r>
        <w:rPr>
          <w:sz w:val="22"/>
          <w:szCs w:val="22"/>
        </w:rPr>
        <w:t xml:space="preserve">.</w:t>
      </w:r>
    </w:p>
    <w:p>
      <w:pPr>
        <w:pStyle w:val="ListParagraph"/>
        <w:numPr>
          <w:ilvl w:val="0"/>
          <w:numId w:val="4"/>
        </w:numPr>
        <w:spacing w:after="100" w:line="276"/>
      </w:pPr>
      <w:r>
        <w:rPr>
          <w:sz w:val="22"/>
          <w:szCs w:val="22"/>
        </w:rPr>
        <w:t xml:space="preserve">Select </w:t>
      </w:r>
      <w:r>
        <w:rPr>
          <w:b/>
          <w:bCs/>
          <w:sz w:val="22"/>
          <w:szCs w:val="22"/>
        </w:rPr>
        <w:t xml:space="preserve">Add</w:t>
      </w:r>
      <w:r>
        <w:rPr>
          <w:sz w:val="22"/>
          <w:szCs w:val="22"/>
        </w:rPr>
        <w:t xml:space="preserve"> in the navigation bar.</w:t>
      </w:r>
    </w:p>
    <w:p>
      <w:pPr>
        <w:spacing w:after="60" w:before="120"/>
        <w:jc w:val="center"/>
      </w:pPr>
      <w:r>
        <w:drawing>
          <wp:inline distT="0" distB="0" distL="0" distR="0">
            <wp:extent cx="5905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514475"/>
                    </a:xfrm>
                    <a:prstGeom prst="rect">
                      <a:avLst/>
                    </a:prstGeom>
                  </pic:spPr>
                </pic:pic>
              </a:graphicData>
            </a:graphic>
          </wp:inline>
        </w:drawing>
      </w:r>
    </w:p>
    <w:p>
      <w:pPr>
        <w:spacing w:after="200"/>
        <w:jc w:val="center"/>
      </w:pPr>
      <w:r>
        <w:rPr>
          <w:i/>
          <w:iCs/>
          <w:color w:val="595959"/>
          <w:sz w:val="18"/>
          <w:szCs w:val="18"/>
        </w:rPr>
        <w:t xml:space="preserve">Figure 1: The “+ Add” button on the Azure Arc &gt; SQL Server instances pane (illustrative representation of the Azure portal)</w:t>
      </w:r>
    </w:p>
    <w:p>
      <w:pPr>
        <w:pStyle w:val="ListParagraph"/>
        <w:numPr>
          <w:ilvl w:val="0"/>
          <w:numId w:val="4"/>
        </w:numPr>
        <w:spacing w:after="100" w:line="276"/>
      </w:pPr>
      <w:r>
        <w:rPr>
          <w:sz w:val="22"/>
          <w:szCs w:val="22"/>
        </w:rPr>
        <w:t xml:space="preserve">Select </w:t>
      </w:r>
      <w:r>
        <w:rPr>
          <w:b/>
          <w:bCs/>
          <w:sz w:val="22"/>
          <w:szCs w:val="22"/>
        </w:rPr>
        <w:t xml:space="preserve">Register SQL Server instances</w:t>
      </w:r>
      <w:r>
        <w:rPr>
          <w:sz w:val="22"/>
          <w:szCs w:val="22"/>
        </w:rPr>
        <w:t xml:space="preserve">.</w:t>
      </w:r>
    </w:p>
    <w:p>
      <w:pPr>
        <w:spacing w:after="60" w:before="12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color w:val="595959"/>
          <w:sz w:val="18"/>
          <w:szCs w:val="18"/>
        </w:rPr>
        <w:t xml:space="preserve">Figure 2: Choosing “Register SQL Server instances” for disconnected servers (illustrative representation of the Azure portal)</w:t>
      </w:r>
    </w:p>
    <w:p>
      <w:pPr>
        <w:pStyle w:val="ListParagraph"/>
        <w:numPr>
          <w:ilvl w:val="0"/>
          <w:numId w:val="4"/>
        </w:numPr>
        <w:spacing w:after="100" w:line="276"/>
      </w:pPr>
      <w:r>
        <w:rPr>
          <w:sz w:val="22"/>
          <w:szCs w:val="22"/>
        </w:rPr>
        <w:t xml:space="preserve">Choose </w:t>
      </w:r>
      <w:r>
        <w:rPr>
          <w:b/>
          <w:bCs/>
          <w:sz w:val="22"/>
          <w:szCs w:val="22"/>
        </w:rPr>
        <w:t xml:space="preserve">Single SQL Server Instance</w:t>
      </w:r>
      <w:r>
        <w:rPr>
          <w:sz w:val="22"/>
          <w:szCs w:val="22"/>
        </w:rPr>
        <w:t xml:space="preserve"> (this is the default option).</w:t>
      </w:r>
    </w:p>
    <w:p>
      <w:pPr>
        <w:pStyle w:val="ListParagraph"/>
        <w:numPr>
          <w:ilvl w:val="0"/>
          <w:numId w:val="4"/>
        </w:numPr>
        <w:spacing w:after="100" w:line="276"/>
      </w:pPr>
      <w:r>
        <w:rPr>
          <w:sz w:val="22"/>
          <w:szCs w:val="22"/>
        </w:rPr>
        <w:t xml:space="preserve">Select the </w:t>
      </w:r>
      <w:r>
        <w:rPr>
          <w:b/>
          <w:bCs/>
          <w:sz w:val="22"/>
          <w:szCs w:val="22"/>
        </w:rPr>
        <w:t xml:space="preserve">Subscription</w:t>
      </w:r>
      <w:r>
        <w:rPr>
          <w:sz w:val="22"/>
          <w:szCs w:val="22"/>
        </w:rPr>
        <w:t xml:space="preserve"> and </w:t>
      </w:r>
      <w:r>
        <w:rPr>
          <w:b/>
          <w:bCs/>
          <w:sz w:val="22"/>
          <w:szCs w:val="22"/>
        </w:rPr>
        <w:t xml:space="preserve">Resource group</w:t>
      </w:r>
      <w:r>
        <w:rPr>
          <w:sz w:val="22"/>
          <w:szCs w:val="22"/>
        </w:rPr>
        <w:t xml:space="preserve"> where the registered instance will be created.</w:t>
      </w:r>
    </w:p>
    <w:p>
      <w:pPr>
        <w:pStyle w:val="ListParagraph"/>
        <w:numPr>
          <w:ilvl w:val="0"/>
          <w:numId w:val="4"/>
        </w:numPr>
        <w:spacing w:after="100" w:line="276"/>
      </w:pPr>
      <w:r>
        <w:rPr>
          <w:sz w:val="22"/>
          <w:szCs w:val="22"/>
        </w:rPr>
        <w:t xml:space="preserve">Enter the instance details as per the table below, then select </w:t>
      </w:r>
      <w:r>
        <w:rPr>
          <w:b/>
          <w:bCs/>
          <w:sz w:val="22"/>
          <w:szCs w:val="22"/>
        </w:rPr>
        <w:t xml:space="preserve">Next</w:t>
      </w:r>
      <w:r>
        <w:rPr>
          <w:sz w:val="22"/>
          <w:szCs w:val="22"/>
        </w:rPr>
        <w:t xml:space="preserve">.</w:t>
      </w:r>
    </w:p>
    <w:p>
      <w:pPr>
        <w:spacing w:after="12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160"/>
      </w:tblGrid>
      <w:tr>
        <w:tc>
          <w:tcPr>
            <w:tcW w:type="dxa" w:w="2100"/>
            <w:shd w:fill="D9E2F3" w:val="clear"/>
            <w:tcMar>
              <w:top w:type="dxa" w:w="80"/>
              <w:left w:type="dxa" w:w="120"/>
              <w:bottom w:type="dxa" w:w="80"/>
              <w:right w:type="dxa" w:w="120"/>
            </w:tcMar>
          </w:tcPr>
          <w:p>
            <w:pPr>
              <w:spacing w:after="0" w:line="260"/>
            </w:pPr>
            <w:r>
              <w:rPr>
                <w:b/>
                <w:bCs/>
                <w:sz w:val="20"/>
                <w:szCs w:val="20"/>
              </w:rPr>
              <w:t xml:space="preserve">Field</w:t>
            </w:r>
          </w:p>
        </w:tc>
        <w:tc>
          <w:tcPr>
            <w:tcW w:type="dxa" w:w="4100"/>
            <w:shd w:fill="D9E2F3" w:val="clear"/>
            <w:tcMar>
              <w:top w:type="dxa" w:w="80"/>
              <w:left w:type="dxa" w:w="120"/>
              <w:bottom w:type="dxa" w:w="80"/>
              <w:right w:type="dxa" w:w="120"/>
            </w:tcMar>
          </w:tcPr>
          <w:p>
            <w:pPr>
              <w:spacing w:after="0" w:line="260"/>
            </w:pPr>
            <w:r>
              <w:rPr>
                <w:b/>
                <w:bCs/>
                <w:sz w:val="20"/>
                <w:szCs w:val="20"/>
              </w:rPr>
              <w:t xml:space="preserve">What to Enter</w:t>
            </w:r>
          </w:p>
        </w:tc>
        <w:tc>
          <w:tcPr>
            <w:tcW w:type="dxa" w:w="3160"/>
            <w:shd w:fill="D9E2F3" w:val="clear"/>
            <w:tcMar>
              <w:top w:type="dxa" w:w="80"/>
              <w:left w:type="dxa" w:w="120"/>
              <w:bottom w:type="dxa" w:w="80"/>
              <w:right w:type="dxa" w:w="120"/>
            </w:tcMar>
          </w:tcPr>
          <w:p>
            <w:pPr>
              <w:spacing w:after="0" w:line="260"/>
            </w:pPr>
            <w:r>
              <w:rPr>
                <w:b/>
                <w:bCs/>
                <w:sz w:val="20"/>
                <w:szCs w:val="20"/>
              </w:rPr>
              <w:t xml:space="preserve">Notes</w:t>
            </w:r>
          </w:p>
        </w:tc>
      </w:tr>
      <w:tr>
        <w:tc>
          <w:tcPr>
            <w:tcW w:type="dxa" w:w="2100"/>
            <w:tcMar>
              <w:top w:type="dxa" w:w="80"/>
              <w:left w:type="dxa" w:w="120"/>
              <w:bottom w:type="dxa" w:w="80"/>
              <w:right w:type="dxa" w:w="120"/>
            </w:tcMar>
          </w:tcPr>
          <w:p>
            <w:pPr>
              <w:spacing w:after="0" w:line="260"/>
            </w:pPr>
            <w:r>
              <w:rPr>
                <w:b w:val="false"/>
                <w:bCs w:val="false"/>
                <w:sz w:val="20"/>
                <w:szCs w:val="20"/>
              </w:rPr>
              <w:t xml:space="preserve">Instance Name</w:t>
            </w:r>
          </w:p>
        </w:tc>
        <w:tc>
          <w:tcPr>
            <w:tcW w:type="dxa" w:w="4100"/>
            <w:tcMar>
              <w:top w:type="dxa" w:w="80"/>
              <w:left w:type="dxa" w:w="120"/>
              <w:bottom w:type="dxa" w:w="80"/>
              <w:right w:type="dxa" w:w="120"/>
            </w:tcMar>
          </w:tcPr>
          <w:p>
            <w:pPr>
              <w:spacing w:after="0" w:line="260"/>
            </w:pPr>
            <w:r>
              <w:rPr>
                <w:b w:val="false"/>
                <w:bCs w:val="false"/>
                <w:sz w:val="20"/>
                <w:szCs w:val="20"/>
              </w:rPr>
              <w:t xml:space="preserve">Output of the T-SQL command SELECT @@SERVERNAME</w:t>
            </w:r>
          </w:p>
        </w:tc>
        <w:tc>
          <w:tcPr>
            <w:tcW w:type="dxa" w:w="3160"/>
            <w:tcMar>
              <w:top w:type="dxa" w:w="80"/>
              <w:left w:type="dxa" w:w="120"/>
              <w:bottom w:type="dxa" w:w="80"/>
              <w:right w:type="dxa" w:w="120"/>
            </w:tcMar>
          </w:tcPr>
          <w:p>
            <w:pPr>
              <w:spacing w:after="0" w:line="260"/>
            </w:pPr>
            <w:r>
              <w:rPr>
                <w:b w:val="false"/>
                <w:bCs w:val="false"/>
                <w:sz w:val="20"/>
                <w:szCs w:val="20"/>
              </w:rPr>
              <w:t xml:space="preserve">For a named instance, replace the backslash (\) with a hyphen (-). Example: MyServer\Instance01 becomes MyServer-Instance01</w:t>
            </w:r>
          </w:p>
        </w:tc>
      </w:tr>
      <w:tr>
        <w:tc>
          <w:tcPr>
            <w:tcW w:type="dxa" w:w="2100"/>
            <w:tcMar>
              <w:top w:type="dxa" w:w="80"/>
              <w:left w:type="dxa" w:w="120"/>
              <w:bottom w:type="dxa" w:w="80"/>
              <w:right w:type="dxa" w:w="120"/>
            </w:tcMar>
          </w:tcPr>
          <w:p>
            <w:pPr>
              <w:spacing w:after="0" w:line="260"/>
            </w:pPr>
            <w:r>
              <w:rPr>
                <w:b w:val="false"/>
                <w:bCs w:val="false"/>
                <w:sz w:val="20"/>
                <w:szCs w:val="20"/>
              </w:rPr>
              <w:t xml:space="preserve">SQL Server Version</w:t>
            </w:r>
          </w:p>
        </w:tc>
        <w:tc>
          <w:tcPr>
            <w:tcW w:type="dxa" w:w="4100"/>
            <w:tcMar>
              <w:top w:type="dxa" w:w="80"/>
              <w:left w:type="dxa" w:w="120"/>
              <w:bottom w:type="dxa" w:w="80"/>
              <w:right w:type="dxa" w:w="120"/>
            </w:tcMar>
          </w:tcPr>
          <w:p>
            <w:pPr>
              <w:spacing w:after="0" w:line="260"/>
            </w:pPr>
            <w:r>
              <w:rPr>
                <w:b w:val="false"/>
                <w:bCs w:val="false"/>
                <w:sz w:val="20"/>
                <w:szCs w:val="20"/>
              </w:rPr>
              <w:t xml:space="preserve">Select the version from the dropdown (e.g., SQL Server 2014 / 2016)</w:t>
            </w:r>
          </w:p>
        </w:tc>
        <w:tc>
          <w:tcPr>
            <w:tcW w:type="dxa" w:w="3160"/>
            <w:tcMar>
              <w:top w:type="dxa" w:w="80"/>
              <w:left w:type="dxa" w:w="120"/>
              <w:bottom w:type="dxa" w:w="80"/>
              <w:right w:type="dxa" w:w="120"/>
            </w:tcMar>
          </w:tcPr>
          <w:p>
            <w:pPr>
              <w:spacing w:after="0" w:line="260"/>
            </w:pPr>
            <w:r>
              <w:rPr>
                <w:b w:val="false"/>
                <w:bCs w:val="false"/>
                <w:sz w:val="20"/>
                <w:szCs w:val="20"/>
              </w:rPr>
              <w:t xml:space="preserve"/>
            </w:r>
          </w:p>
        </w:tc>
      </w:tr>
      <w:tr>
        <w:tc>
          <w:tcPr>
            <w:tcW w:type="dxa" w:w="2100"/>
            <w:tcMar>
              <w:top w:type="dxa" w:w="80"/>
              <w:left w:type="dxa" w:w="120"/>
              <w:bottom w:type="dxa" w:w="80"/>
              <w:right w:type="dxa" w:w="120"/>
            </w:tcMar>
          </w:tcPr>
          <w:p>
            <w:pPr>
              <w:spacing w:after="0" w:line="260"/>
            </w:pPr>
            <w:r>
              <w:rPr>
                <w:b w:val="false"/>
                <w:bCs w:val="false"/>
                <w:sz w:val="20"/>
                <w:szCs w:val="20"/>
              </w:rPr>
              <w:t xml:space="preserve">Edition</w:t>
            </w:r>
          </w:p>
        </w:tc>
        <w:tc>
          <w:tcPr>
            <w:tcW w:type="dxa" w:w="4100"/>
            <w:tcMar>
              <w:top w:type="dxa" w:w="80"/>
              <w:left w:type="dxa" w:w="120"/>
              <w:bottom w:type="dxa" w:w="80"/>
              <w:right w:type="dxa" w:w="120"/>
            </w:tcMar>
          </w:tcPr>
          <w:p>
            <w:pPr>
              <w:spacing w:after="0" w:line="260"/>
            </w:pPr>
            <w:r>
              <w:rPr>
                <w:b w:val="false"/>
                <w:bCs w:val="false"/>
                <w:sz w:val="20"/>
                <w:szCs w:val="20"/>
              </w:rPr>
              <w:t xml:space="preserve">Select from: Datacenter, Developer, Enterprise, Standard, Web, Workgroup</w:t>
            </w:r>
          </w:p>
        </w:tc>
        <w:tc>
          <w:tcPr>
            <w:tcW w:type="dxa" w:w="3160"/>
            <w:tcMar>
              <w:top w:type="dxa" w:w="80"/>
              <w:left w:type="dxa" w:w="120"/>
              <w:bottom w:type="dxa" w:w="80"/>
              <w:right w:type="dxa" w:w="120"/>
            </w:tcMar>
          </w:tcPr>
          <w:p>
            <w:pPr>
              <w:spacing w:after="0" w:line="260"/>
            </w:pPr>
            <w:r>
              <w:rPr>
                <w:b w:val="false"/>
                <w:bCs w:val="false"/>
                <w:sz w:val="20"/>
                <w:szCs w:val="20"/>
              </w:rPr>
              <w:t xml:space="preserve">Developer edition is free to deploy if ESUs were purchased</w:t>
            </w:r>
          </w:p>
        </w:tc>
      </w:tr>
      <w:tr>
        <w:tc>
          <w:tcPr>
            <w:tcW w:type="dxa" w:w="2100"/>
            <w:tcMar>
              <w:top w:type="dxa" w:w="80"/>
              <w:left w:type="dxa" w:w="120"/>
              <w:bottom w:type="dxa" w:w="80"/>
              <w:right w:type="dxa" w:w="120"/>
            </w:tcMar>
          </w:tcPr>
          <w:p>
            <w:pPr>
              <w:spacing w:after="0" w:line="260"/>
            </w:pPr>
            <w:r>
              <w:rPr>
                <w:b w:val="false"/>
                <w:bCs w:val="false"/>
                <w:sz w:val="20"/>
                <w:szCs w:val="20"/>
              </w:rPr>
              <w:t xml:space="preserve">Cores</w:t>
            </w:r>
          </w:p>
        </w:tc>
        <w:tc>
          <w:tcPr>
            <w:tcW w:type="dxa" w:w="4100"/>
            <w:tcMar>
              <w:top w:type="dxa" w:w="80"/>
              <w:left w:type="dxa" w:w="120"/>
              <w:bottom w:type="dxa" w:w="80"/>
              <w:right w:type="dxa" w:w="120"/>
            </w:tcMar>
          </w:tcPr>
          <w:p>
            <w:pPr>
              <w:spacing w:after="0" w:line="260"/>
            </w:pPr>
            <w:r>
              <w:rPr>
                <w:b w:val="false"/>
                <w:bCs w:val="false"/>
                <w:sz w:val="20"/>
                <w:szCs w:val="20"/>
              </w:rPr>
              <w:t xml:space="preserve">Number of cores for the instance</w:t>
            </w:r>
          </w:p>
        </w:tc>
        <w:tc>
          <w:tcPr>
            <w:tcW w:type="dxa" w:w="3160"/>
            <w:tcMar>
              <w:top w:type="dxa" w:w="80"/>
              <w:left w:type="dxa" w:w="120"/>
              <w:bottom w:type="dxa" w:w="80"/>
              <w:right w:type="dxa" w:w="120"/>
            </w:tcMar>
          </w:tcPr>
          <w:p>
            <w:pPr>
              <w:spacing w:after="0" w:line="260"/>
            </w:pPr>
            <w:r>
              <w:rPr>
                <w:b w:val="false"/>
                <w:bCs w:val="false"/>
                <w:sz w:val="20"/>
                <w:szCs w:val="20"/>
              </w:rPr>
              <w:t xml:space="preserve"/>
            </w:r>
          </w:p>
        </w:tc>
      </w:tr>
      <w:tr>
        <w:tc>
          <w:tcPr>
            <w:tcW w:type="dxa" w:w="2100"/>
            <w:tcMar>
              <w:top w:type="dxa" w:w="80"/>
              <w:left w:type="dxa" w:w="120"/>
              <w:bottom w:type="dxa" w:w="80"/>
              <w:right w:type="dxa" w:w="120"/>
            </w:tcMar>
          </w:tcPr>
          <w:p>
            <w:pPr>
              <w:spacing w:after="0" w:line="260"/>
            </w:pPr>
            <w:r>
              <w:rPr>
                <w:b w:val="false"/>
                <w:bCs w:val="false"/>
                <w:sz w:val="20"/>
                <w:szCs w:val="20"/>
              </w:rPr>
              <w:t xml:space="preserve">Host Type</w:t>
            </w:r>
          </w:p>
        </w:tc>
        <w:tc>
          <w:tcPr>
            <w:tcW w:type="dxa" w:w="4100"/>
            <w:tcMar>
              <w:top w:type="dxa" w:w="80"/>
              <w:left w:type="dxa" w:w="120"/>
              <w:bottom w:type="dxa" w:w="80"/>
              <w:right w:type="dxa" w:w="120"/>
            </w:tcMar>
          </w:tcPr>
          <w:p>
            <w:pPr>
              <w:spacing w:after="0" w:line="260"/>
            </w:pPr>
            <w:r>
              <w:rPr>
                <w:b w:val="false"/>
                <w:bCs w:val="false"/>
                <w:sz w:val="20"/>
                <w:szCs w:val="20"/>
              </w:rPr>
              <w:t xml:space="preserve">Virtual machine (on-premises), Physical Server (on-premises), Azure Virtual Machine, Amazon EC2, Google Compute Engine, Other</w:t>
            </w:r>
          </w:p>
        </w:tc>
        <w:tc>
          <w:tcPr>
            <w:tcW w:type="dxa" w:w="3160"/>
            <w:tcMar>
              <w:top w:type="dxa" w:w="80"/>
              <w:left w:type="dxa" w:w="120"/>
              <w:bottom w:type="dxa" w:w="80"/>
              <w:right w:type="dxa" w:w="120"/>
            </w:tcMar>
          </w:tcPr>
          <w:p>
            <w:pPr>
              <w:spacing w:after="0" w:line="260"/>
            </w:pPr>
            <w:r>
              <w:rPr>
                <w:b w:val="false"/>
                <w:bCs w:val="false"/>
                <w:sz w:val="20"/>
                <w:szCs w:val="20"/>
              </w:rPr>
              <w:t xml:space="preserve">For on-prem offline servers, select the applicable on-premises option</w:t>
            </w:r>
          </w:p>
        </w:tc>
      </w:tr>
    </w:tbl>
    <w:p>
      <w:pPr>
        <w:spacing w:after="120" w:line="276"/>
      </w:pPr>
      <w:r>
        <w:rPr>
          <w:sz w:val="22"/>
          <w:szCs w:val="22"/>
        </w:rPr>
        <w:t xml:space="preserve"/>
      </w:r>
    </w:p>
    <w:p>
      <w:pPr>
        <w:pStyle w:val="ListParagraph"/>
        <w:numPr>
          <w:ilvl w:val="0"/>
          <w:numId w:val="4"/>
        </w:numPr>
        <w:spacing w:after="100" w:line="276"/>
      </w:pPr>
      <w:r>
        <w:rPr>
          <w:b/>
          <w:bCs/>
          <w:sz w:val="22"/>
          <w:szCs w:val="22"/>
        </w:rPr>
        <w:t xml:space="preserve">Confirm the entitlement checkbox </w:t>
      </w:r>
      <w:r>
        <w:rPr>
          <w:sz w:val="22"/>
          <w:szCs w:val="22"/>
        </w:rPr>
        <w:t xml:space="preserve">to declare that your organization has the rights to receive ESUs, then complete the registration.</w:t>
      </w:r>
    </w:p>
    <w:p>
      <w:pPr>
        <w:spacing w:after="60" w:before="120"/>
        <w:jc w:val="center"/>
      </w:pPr>
      <w:r>
        <w:drawing>
          <wp:inline distT="0" distB="0" distL="0" distR="0">
            <wp:extent cx="5905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09925"/>
                    </a:xfrm>
                    <a:prstGeom prst="rect">
                      <a:avLst/>
                    </a:prstGeom>
                  </pic:spPr>
                </pic:pic>
              </a:graphicData>
            </a:graphic>
          </wp:inline>
        </w:drawing>
      </w:r>
    </w:p>
    <w:p>
      <w:pPr>
        <w:spacing w:after="200"/>
        <w:jc w:val="center"/>
      </w:pPr>
      <w:r>
        <w:rPr>
          <w:i/>
          <w:iCs/>
          <w:color w:val="595959"/>
          <w:sz w:val="18"/>
          <w:szCs w:val="18"/>
        </w:rPr>
        <w:t xml:space="preserve">Figure 3: Single-instance registration form with entitlement confirmation (illustrative representation of the Azure portal)</w:t>
      </w:r>
    </w:p>
    <w:p>
      <w:pPr>
        <w:pStyle w:val="Heading1"/>
        <w:spacing w:after="160" w:before="320"/>
      </w:pPr>
      <w:r>
        <w:rPr>
          <w:b/>
          <w:bCs/>
          <w:color w:val="1F4E79"/>
          <w:sz w:val="30"/>
          <w:szCs w:val="30"/>
        </w:rPr>
        <w:t xml:space="preserve">4. Procedure B – Register Multiple SQL Server Instances in Bulk (CSV Upload)</w:t>
      </w:r>
    </w:p>
    <w:p>
      <w:pPr>
        <w:pStyle w:val="Heading2"/>
        <w:spacing w:after="120" w:before="240"/>
      </w:pPr>
      <w:r>
        <w:rPr>
          <w:b/>
          <w:bCs/>
          <w:color w:val="1F4E79"/>
          <w:sz w:val="26"/>
          <w:szCs w:val="26"/>
        </w:rPr>
        <w:t xml:space="preserve">4.1 Prepare the CSV File</w:t>
      </w:r>
    </w:p>
    <w:p>
      <w:pPr>
        <w:pStyle w:val="ListParagraph"/>
        <w:numPr>
          <w:ilvl w:val="0"/>
          <w:numId w:val="2"/>
        </w:numPr>
        <w:spacing w:after="80" w:line="276"/>
      </w:pPr>
      <w:r>
        <w:rPr>
          <w:sz w:val="22"/>
          <w:szCs w:val="22"/>
        </w:rPr>
        <w:t xml:space="preserve">Separate values with commas; do not use single or double quotes around values.</w:t>
      </w:r>
    </w:p>
    <w:p>
      <w:pPr>
        <w:pStyle w:val="ListParagraph"/>
        <w:numPr>
          <w:ilvl w:val="0"/>
          <w:numId w:val="2"/>
        </w:numPr>
        <w:spacing w:after="80" w:line="276"/>
      </w:pPr>
      <w:r>
        <w:rPr>
          <w:sz w:val="22"/>
          <w:szCs w:val="22"/>
        </w:rPr>
        <w:t xml:space="preserve">Values may contain letters, numbers, hyphens (-), and underscores (_) only – no other special characters.</w:t>
      </w:r>
    </w:p>
    <w:p>
      <w:pPr>
        <w:pStyle w:val="ListParagraph"/>
        <w:numPr>
          <w:ilvl w:val="0"/>
          <w:numId w:val="2"/>
        </w:numPr>
        <w:spacing w:after="80" w:line="276"/>
      </w:pPr>
      <w:r>
        <w:rPr>
          <w:sz w:val="22"/>
          <w:szCs w:val="22"/>
        </w:rPr>
        <w:t xml:space="preserve">For named instances, replace the backslash (\) with a hyphen (-). Example: MyServer\Instance01 becomes MyServer-Instance01.</w:t>
      </w:r>
    </w:p>
    <w:p>
      <w:pPr>
        <w:pStyle w:val="ListParagraph"/>
        <w:numPr>
          <w:ilvl w:val="0"/>
          <w:numId w:val="2"/>
        </w:numPr>
        <w:spacing w:after="80" w:line="276"/>
      </w:pPr>
      <w:r>
        <w:rPr>
          <w:sz w:val="22"/>
          <w:szCs w:val="22"/>
        </w:rPr>
        <w:t xml:space="preserve">Column names are case-sensitive and must be exactly: </w:t>
      </w:r>
      <w:r>
        <w:rPr>
          <w:b/>
          <w:bCs/>
          <w:sz w:val="22"/>
          <w:szCs w:val="22"/>
        </w:rPr>
        <w:t xml:space="preserve">name, version, edition, cores, hostType</w:t>
      </w:r>
    </w:p>
    <w:p>
      <w:pPr>
        <w:spacing w:after="120" w:line="276"/>
      </w:pPr>
      <w:r>
        <w:rPr>
          <w:sz w:val="22"/>
          <w:szCs w:val="22"/>
        </w:rPr>
        <w:t xml:space="preserve">Example CSV content:</w:t>
      </w:r>
    </w:p>
    <w:p>
      <w:pPr>
        <w:shd w:fill="F2F2F2" w:val="clear"/>
        <w:spacing w:after="40"/>
        <w:ind w:left="288"/>
      </w:pPr>
      <w:r>
        <w:rPr>
          <w:rFonts w:ascii="Consolas" w:cs="Consolas" w:eastAsia="Consolas" w:hAnsi="Consolas"/>
          <w:sz w:val="18"/>
          <w:szCs w:val="18"/>
        </w:rPr>
        <w:t xml:space="preserve">name,version,edition,cores,hostType</w:t>
      </w:r>
    </w:p>
    <w:p>
      <w:pPr>
        <w:shd w:fill="F2F2F2" w:val="clear"/>
        <w:spacing w:after="40"/>
        <w:ind w:left="288"/>
      </w:pPr>
      <w:r>
        <w:rPr>
          <w:rFonts w:ascii="Consolas" w:cs="Consolas" w:eastAsia="Consolas" w:hAnsi="Consolas"/>
          <w:sz w:val="18"/>
          <w:szCs w:val="18"/>
        </w:rPr>
        <w:t xml:space="preserve">Server1-SQL2014,SQL Server 2014,Enterprise,12,Other Physical Server</w:t>
      </w:r>
    </w:p>
    <w:p>
      <w:pPr>
        <w:shd w:fill="F2F2F2" w:val="clear"/>
        <w:spacing w:after="40"/>
        <w:ind w:left="288"/>
      </w:pPr>
      <w:r>
        <w:rPr>
          <w:rFonts w:ascii="Consolas" w:cs="Consolas" w:eastAsia="Consolas" w:hAnsi="Consolas"/>
          <w:sz w:val="18"/>
          <w:szCs w:val="18"/>
        </w:rPr>
        <w:t xml:space="preserve">Server2-SQL2014,SQL Server 2014,Enterprise,24,Other Physical Server</w:t>
      </w:r>
    </w:p>
    <w:p>
      <w:pPr>
        <w:shd w:fill="F2F2F2" w:val="clear"/>
        <w:spacing w:after="40"/>
        <w:ind w:left="288"/>
      </w:pPr>
      <w:r>
        <w:rPr>
          <w:rFonts w:ascii="Consolas" w:cs="Consolas" w:eastAsia="Consolas" w:hAnsi="Consolas"/>
          <w:sz w:val="18"/>
          <w:szCs w:val="18"/>
        </w:rPr>
        <w:t xml:space="preserve">Server3-SQL2014,SQL Server 2014,Enterprise,12,Azure Virtual Machine</w:t>
      </w:r>
    </w:p>
    <w:p>
      <w:pPr>
        <w:shd w:fill="F2F2F2" w:val="clear"/>
        <w:spacing w:after="40"/>
        <w:ind w:left="288"/>
      </w:pPr>
      <w:r>
        <w:rPr>
          <w:rFonts w:ascii="Consolas" w:cs="Consolas" w:eastAsia="Consolas" w:hAnsi="Consolas"/>
          <w:sz w:val="18"/>
          <w:szCs w:val="18"/>
        </w:rPr>
        <w:t xml:space="preserve">Server4-SQL2014,SQL Server 2014,Standard,8,Azure VMware Solution</w:t>
      </w:r>
    </w:p>
    <w:p>
      <w:pPr>
        <w:spacing w:after="120" w:line="276"/>
      </w:pPr>
      <w:r>
        <w:rPr>
          <w:sz w:val="22"/>
          <w:szCs w:val="22"/>
        </w:rPr>
        <w:t xml:space="preserve"/>
      </w:r>
    </w:p>
    <w:p>
      <w:pPr>
        <w:pStyle w:val="Heading2"/>
        <w:spacing w:after="120" w:before="240"/>
      </w:pPr>
      <w:r>
        <w:rPr>
          <w:b/>
          <w:bCs/>
          <w:color w:val="1F4E79"/>
          <w:sz w:val="26"/>
          <w:szCs w:val="26"/>
        </w:rPr>
        <w:t xml:space="preserve">4.2 Upload and Register</w:t>
      </w:r>
    </w:p>
    <w:p>
      <w:pPr>
        <w:pStyle w:val="ListParagraph"/>
        <w:numPr>
          <w:ilvl w:val="0"/>
          <w:numId w:val="5"/>
        </w:numPr>
        <w:spacing w:after="100" w:line="276"/>
      </w:pPr>
      <w:r>
        <w:rPr>
          <w:sz w:val="22"/>
          <w:szCs w:val="22"/>
        </w:rPr>
        <w:t xml:space="preserve">In the Azure portal, go to </w:t>
      </w:r>
      <w:r>
        <w:rPr>
          <w:b/>
          <w:bCs/>
          <w:sz w:val="22"/>
          <w:szCs w:val="22"/>
        </w:rPr>
        <w:t xml:space="preserve">Azure Arc &gt; SQL Server instances</w:t>
      </w:r>
      <w:r>
        <w:rPr>
          <w:sz w:val="22"/>
          <w:szCs w:val="22"/>
        </w:rPr>
        <w:t xml:space="preserve">.</w:t>
      </w:r>
    </w:p>
    <w:p>
      <w:pPr>
        <w:pStyle w:val="ListParagraph"/>
        <w:numPr>
          <w:ilvl w:val="0"/>
          <w:numId w:val="5"/>
        </w:numPr>
        <w:spacing w:after="100" w:line="276"/>
      </w:pPr>
      <w:r>
        <w:rPr>
          <w:sz w:val="22"/>
          <w:szCs w:val="22"/>
        </w:rPr>
        <w:t xml:space="preserve">Select </w:t>
      </w:r>
      <w:r>
        <w:rPr>
          <w:b/>
          <w:bCs/>
          <w:sz w:val="22"/>
          <w:szCs w:val="22"/>
        </w:rPr>
        <w:t xml:space="preserve">Add</w:t>
      </w:r>
      <w:r>
        <w:rPr>
          <w:sz w:val="22"/>
          <w:szCs w:val="22"/>
        </w:rPr>
        <w:t xml:space="preserve"> in the navigation bar.</w:t>
      </w:r>
    </w:p>
    <w:p>
      <w:pPr>
        <w:pStyle w:val="ListParagraph"/>
        <w:numPr>
          <w:ilvl w:val="0"/>
          <w:numId w:val="5"/>
        </w:numPr>
        <w:spacing w:after="100" w:line="276"/>
      </w:pPr>
      <w:r>
        <w:rPr>
          <w:sz w:val="22"/>
          <w:szCs w:val="22"/>
        </w:rPr>
        <w:t xml:space="preserve">Select </w:t>
      </w:r>
      <w:r>
        <w:rPr>
          <w:b/>
          <w:bCs/>
          <w:sz w:val="22"/>
          <w:szCs w:val="22"/>
        </w:rPr>
        <w:t xml:space="preserve">Register SQL Server instances</w:t>
      </w:r>
      <w:r>
        <w:rPr>
          <w:sz w:val="22"/>
          <w:szCs w:val="22"/>
        </w:rPr>
        <w:t xml:space="preserve">.</w:t>
      </w:r>
    </w:p>
    <w:p>
      <w:pPr>
        <w:pStyle w:val="ListParagraph"/>
        <w:numPr>
          <w:ilvl w:val="0"/>
          <w:numId w:val="5"/>
        </w:numPr>
        <w:spacing w:after="100" w:line="276"/>
      </w:pPr>
      <w:r>
        <w:rPr>
          <w:sz w:val="22"/>
          <w:szCs w:val="22"/>
        </w:rPr>
        <w:t xml:space="preserve">Select the option for </w:t>
      </w:r>
      <w:r>
        <w:rPr>
          <w:b/>
          <w:bCs/>
          <w:sz w:val="22"/>
          <w:szCs w:val="22"/>
        </w:rPr>
        <w:t xml:space="preserve">Multiple SQL Instances</w:t>
      </w:r>
      <w:r>
        <w:rPr>
          <w:sz w:val="22"/>
          <w:szCs w:val="22"/>
        </w:rPr>
        <w:t xml:space="preserve">.</w:t>
      </w:r>
    </w:p>
    <w:p>
      <w:pPr>
        <w:pStyle w:val="ListParagraph"/>
        <w:numPr>
          <w:ilvl w:val="0"/>
          <w:numId w:val="5"/>
        </w:numPr>
        <w:spacing w:after="100" w:line="276"/>
      </w:pPr>
      <w:r>
        <w:rPr>
          <w:sz w:val="22"/>
          <w:szCs w:val="22"/>
        </w:rPr>
        <w:t xml:space="preserve">Select the </w:t>
      </w:r>
      <w:r>
        <w:rPr>
          <w:b/>
          <w:bCs/>
          <w:sz w:val="22"/>
          <w:szCs w:val="22"/>
        </w:rPr>
        <w:t xml:space="preserve">Browse</w:t>
      </w:r>
      <w:r>
        <w:rPr>
          <w:sz w:val="22"/>
          <w:szCs w:val="22"/>
        </w:rPr>
        <w:t xml:space="preserve"> icon and upload the prepared CSV file.</w:t>
      </w:r>
    </w:p>
    <w:p>
      <w:pPr>
        <w:pStyle w:val="ListParagraph"/>
        <w:numPr>
          <w:ilvl w:val="0"/>
          <w:numId w:val="5"/>
        </w:numPr>
        <w:spacing w:after="100" w:line="276"/>
      </w:pPr>
      <w:r>
        <w:rPr>
          <w:b/>
          <w:bCs/>
          <w:sz w:val="22"/>
          <w:szCs w:val="22"/>
        </w:rPr>
        <w:t xml:space="preserve">Confirm the entitlement checkbox </w:t>
      </w:r>
      <w:r>
        <w:rPr>
          <w:sz w:val="22"/>
          <w:szCs w:val="22"/>
        </w:rPr>
        <w:t xml:space="preserve">to declare that your organization has the rights to receive ESUs, then complete the registration.</w:t>
      </w:r>
    </w:p>
    <w:p>
      <w:pPr>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62200"/>
                    </a:xfrm>
                    <a:prstGeom prst="rect">
                      <a:avLst/>
                    </a:prstGeom>
                  </pic:spPr>
                </pic:pic>
              </a:graphicData>
            </a:graphic>
          </wp:inline>
        </w:drawing>
      </w:r>
    </w:p>
    <w:p>
      <w:pPr>
        <w:spacing w:after="200"/>
        <w:jc w:val="center"/>
      </w:pPr>
      <w:r>
        <w:rPr>
          <w:i/>
          <w:iCs/>
          <w:color w:val="595959"/>
          <w:sz w:val="18"/>
          <w:szCs w:val="18"/>
        </w:rPr>
        <w:t xml:space="preserve">Figure 4: Bulk registration – uploading the CSV file for multiple instances (illustrative representation of the Azure portal)</w:t>
      </w:r>
    </w:p>
    <w:p>
      <w:pPr>
        <w:pBdr>
          <w:left w:val="single" w:color="1F4E79" w:sz="24"/>
        </w:pBdr>
        <w:shd w:fill="F2F6FC" w:val="clear"/>
        <w:spacing w:after="160" w:before="120" w:line="276"/>
        <w:ind w:left="215"/>
      </w:pPr>
      <w:r>
        <w:rPr>
          <w:b/>
          <w:bCs/>
          <w:color w:val="1F4E79"/>
          <w:sz w:val="22"/>
          <w:szCs w:val="22"/>
        </w:rPr>
        <w:t xml:space="preserve">Verification: </w:t>
      </w:r>
      <w:r>
        <w:rPr>
          <w:sz w:val="22"/>
          <w:szCs w:val="22"/>
        </w:rPr>
        <w:t xml:space="preserve">Registered instances appear in the SQL Server instances pane within a few minutes. Because they were added manually, their status always shows as “Registered” (as opposed to “Connected” for Arc-connected servers).</w:t>
      </w:r>
    </w:p>
    <w:p>
      <w:pPr>
        <w:spacing w:after="60" w:before="120"/>
        <w:jc w:val="center"/>
      </w:pPr>
      <w:r>
        <w:drawing>
          <wp:inline distT="0" distB="0" distL="0" distR="0">
            <wp:extent cx="5905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85925"/>
                    </a:xfrm>
                    <a:prstGeom prst="rect">
                      <a:avLst/>
                    </a:prstGeom>
                  </pic:spPr>
                </pic:pic>
              </a:graphicData>
            </a:graphic>
          </wp:inline>
        </w:drawing>
      </w:r>
    </w:p>
    <w:p>
      <w:pPr>
        <w:spacing w:after="200"/>
        <w:jc w:val="center"/>
      </w:pPr>
      <w:r>
        <w:rPr>
          <w:i/>
          <w:iCs/>
          <w:color w:val="595959"/>
          <w:sz w:val="18"/>
          <w:szCs w:val="18"/>
        </w:rPr>
        <w:t xml:space="preserve">Figure 5: Registered instances shown with the status “Registered” (illustrative representation of the Azure portal)</w:t>
      </w:r>
    </w:p>
    <w:p>
      <w:pPr>
        <w:pStyle w:val="Heading1"/>
        <w:spacing w:after="160" w:before="320"/>
      </w:pPr>
      <w:r>
        <w:rPr>
          <w:b/>
          <w:bCs/>
          <w:color w:val="1F4E79"/>
          <w:sz w:val="30"/>
          <w:szCs w:val="30"/>
        </w:rPr>
        <w:t xml:space="preserve">5. Procedure C – Activate ESUs by Linking the Invoice (PO Number)</w:t>
      </w:r>
    </w:p>
    <w:p>
      <w:pPr>
        <w:spacing w:after="120" w:line="276"/>
      </w:pPr>
      <w:r>
        <w:rPr>
          <w:sz w:val="22"/>
          <w:szCs w:val="22"/>
        </w:rPr>
        <w:t xml:space="preserve">ESUs are activated by linking the ESU volume-licensing purchase to the registered SQL Server instances. The value used as the Invoice ID is the Purchase Order Number shown under the Invoice Summary section of the Microsoft invoice.</w:t>
      </w:r>
    </w:p>
    <w:p>
      <w:pPr>
        <w:pStyle w:val="ListParagraph"/>
        <w:numPr>
          <w:ilvl w:val="0"/>
          <w:numId w:val="6"/>
        </w:numPr>
        <w:spacing w:after="100" w:line="276"/>
      </w:pPr>
      <w:r>
        <w:rPr>
          <w:sz w:val="22"/>
          <w:szCs w:val="22"/>
        </w:rPr>
        <w:t xml:space="preserve">Locate the </w:t>
      </w:r>
      <w:r>
        <w:rPr>
          <w:b/>
          <w:bCs/>
          <w:sz w:val="22"/>
          <w:szCs w:val="22"/>
        </w:rPr>
        <w:t xml:space="preserve">Purchase Order Number</w:t>
      </w:r>
      <w:r>
        <w:rPr>
          <w:sz w:val="22"/>
          <w:szCs w:val="22"/>
        </w:rPr>
        <w:t xml:space="preserve"> under the Invoice Summary section of your Microsoft ESU invoice.</w:t>
      </w:r>
    </w:p>
    <w:p>
      <w:pPr>
        <w:spacing w:after="6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190750"/>
                    </a:xfrm>
                    <a:prstGeom prst="rect">
                      <a:avLst/>
                    </a:prstGeom>
                  </pic:spPr>
                </pic:pic>
              </a:graphicData>
            </a:graphic>
          </wp:inline>
        </w:drawing>
      </w:r>
    </w:p>
    <w:p>
      <w:pPr>
        <w:spacing w:after="200"/>
        <w:jc w:val="center"/>
      </w:pPr>
      <w:r>
        <w:rPr>
          <w:i/>
          <w:iCs/>
          <w:color w:val="595959"/>
          <w:sz w:val="18"/>
          <w:szCs w:val="18"/>
        </w:rPr>
        <w:t xml:space="preserve">Figure 6: Sample Microsoft invoice with the Purchase Order Number under Invoice Summary (illustrative representation of the Azure portal)</w:t>
      </w:r>
    </w:p>
    <w:p>
      <w:pPr>
        <w:pStyle w:val="ListParagraph"/>
        <w:numPr>
          <w:ilvl w:val="0"/>
          <w:numId w:val="6"/>
        </w:numPr>
        <w:spacing w:after="100" w:line="276"/>
      </w:pPr>
      <w:r>
        <w:rPr>
          <w:sz w:val="22"/>
          <w:szCs w:val="22"/>
        </w:rPr>
        <w:t xml:space="preserve">In the Azure portal, go to </w:t>
      </w:r>
      <w:r>
        <w:rPr>
          <w:b/>
          <w:bCs/>
          <w:sz w:val="22"/>
          <w:szCs w:val="22"/>
        </w:rPr>
        <w:t xml:space="preserve">Azure Arc &gt; SQL Server instances</w:t>
      </w:r>
      <w:r>
        <w:rPr>
          <w:sz w:val="22"/>
          <w:szCs w:val="22"/>
        </w:rPr>
        <w:t xml:space="preserve">.</w:t>
      </w:r>
    </w:p>
    <w:p>
      <w:pPr>
        <w:pStyle w:val="ListParagraph"/>
        <w:numPr>
          <w:ilvl w:val="0"/>
          <w:numId w:val="6"/>
        </w:numPr>
        <w:spacing w:after="100" w:line="276"/>
      </w:pPr>
      <w:r>
        <w:rPr>
          <w:sz w:val="22"/>
          <w:szCs w:val="22"/>
        </w:rPr>
        <w:t xml:space="preserve">Select the checkboxes next to each SQL Server instance to be linked, then select </w:t>
      </w:r>
      <w:r>
        <w:rPr>
          <w:b/>
          <w:bCs/>
          <w:sz w:val="22"/>
          <w:szCs w:val="22"/>
        </w:rPr>
        <w:t xml:space="preserve">Link ESU invoice</w:t>
      </w:r>
      <w:r>
        <w:rPr>
          <w:sz w:val="22"/>
          <w:szCs w:val="22"/>
        </w:rPr>
        <w:t xml:space="preserve">.</w:t>
      </w:r>
    </w:p>
    <w:p>
      <w:pPr>
        <w:spacing w:after="60" w:before="12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color w:val="595959"/>
          <w:sz w:val="18"/>
          <w:szCs w:val="18"/>
        </w:rPr>
        <w:t xml:space="preserve">Figure 7: Selecting registered instances and choosing “Link ESU invoice” (illustrative representation of the Azure portal)</w:t>
      </w:r>
    </w:p>
    <w:p>
      <w:pPr>
        <w:pStyle w:val="ListParagraph"/>
        <w:numPr>
          <w:ilvl w:val="0"/>
          <w:numId w:val="6"/>
        </w:numPr>
        <w:spacing w:after="100" w:line="276"/>
      </w:pPr>
      <w:r>
        <w:rPr>
          <w:sz w:val="22"/>
          <w:szCs w:val="22"/>
        </w:rPr>
        <w:t xml:space="preserve">Enter the PO number in the </w:t>
      </w:r>
      <w:r>
        <w:rPr>
          <w:b/>
          <w:bCs/>
          <w:sz w:val="22"/>
          <w:szCs w:val="22"/>
        </w:rPr>
        <w:t xml:space="preserve">Invoice ID</w:t>
      </w:r>
      <w:r>
        <w:rPr>
          <w:sz w:val="22"/>
          <w:szCs w:val="22"/>
        </w:rPr>
        <w:t xml:space="preserve"> field, then select </w:t>
      </w:r>
      <w:r>
        <w:rPr>
          <w:b/>
          <w:bCs/>
          <w:sz w:val="22"/>
          <w:szCs w:val="22"/>
        </w:rPr>
        <w:t xml:space="preserve">Link invoice</w:t>
      </w:r>
      <w:r>
        <w:rPr>
          <w:sz w:val="22"/>
          <w:szCs w:val="22"/>
        </w:rPr>
        <w:t xml:space="preserve">.</w:t>
      </w:r>
    </w:p>
    <w:p>
      <w:pPr>
        <w:spacing w:after="60" w:before="120"/>
        <w:jc w:val="center"/>
      </w:pPr>
      <w:r>
        <w:drawing>
          <wp:inline distT="0" distB="0" distL="0" distR="0">
            <wp:extent cx="5905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809750"/>
                    </a:xfrm>
                    <a:prstGeom prst="rect">
                      <a:avLst/>
                    </a:prstGeom>
                  </pic:spPr>
                </pic:pic>
              </a:graphicData>
            </a:graphic>
          </wp:inline>
        </w:drawing>
      </w:r>
    </w:p>
    <w:p>
      <w:pPr>
        <w:spacing w:after="200"/>
        <w:jc w:val="center"/>
      </w:pPr>
      <w:r>
        <w:rPr>
          <w:i/>
          <w:iCs/>
          <w:color w:val="595959"/>
          <w:sz w:val="18"/>
          <w:szCs w:val="18"/>
        </w:rPr>
        <w:t xml:space="preserve">Figure 8: Entering the PO number as the Invoice ID and linking the invoice (illustrative representation of the Azure portal)</w:t>
      </w:r>
    </w:p>
    <w:p>
      <w:pPr>
        <w:pStyle w:val="ListParagraph"/>
        <w:numPr>
          <w:ilvl w:val="0"/>
          <w:numId w:val="6"/>
        </w:numPr>
        <w:spacing w:after="100" w:line="276"/>
      </w:pPr>
      <w:r>
        <w:rPr>
          <w:b/>
          <w:bCs/>
          <w:sz w:val="22"/>
          <w:szCs w:val="22"/>
        </w:rPr>
        <w:t xml:space="preserve">Verify activation: </w:t>
      </w:r>
      <w:r>
        <w:rPr>
          <w:sz w:val="22"/>
          <w:szCs w:val="22"/>
        </w:rPr>
        <w:t xml:space="preserve">the linked servers now display a valid ESU expiration date in the portal.</w:t>
      </w:r>
    </w:p>
    <w:p>
      <w:pPr>
        <w:spacing w:after="60" w:before="120"/>
        <w:jc w:val="center"/>
      </w:pPr>
      <w:r>
        <w:drawing>
          <wp:inline distT="0" distB="0" distL="0" distR="0">
            <wp:extent cx="59055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685925"/>
                    </a:xfrm>
                    <a:prstGeom prst="rect">
                      <a:avLst/>
                    </a:prstGeom>
                  </pic:spPr>
                </pic:pic>
              </a:graphicData>
            </a:graphic>
          </wp:inline>
        </w:drawing>
      </w:r>
    </w:p>
    <w:p>
      <w:pPr>
        <w:spacing w:after="200"/>
        <w:jc w:val="center"/>
      </w:pPr>
      <w:r>
        <w:rPr>
          <w:i/>
          <w:iCs/>
          <w:color w:val="595959"/>
          <w:sz w:val="18"/>
          <w:szCs w:val="18"/>
        </w:rPr>
        <w:t xml:space="preserve">Figure 9: Linked instances showing a valid ESU expiration date (illustrative representation of the Azure portal)</w:t>
      </w:r>
    </w:p>
    <w:p>
      <w:pPr>
        <w:pBdr>
          <w:left w:val="single" w:color="1F4E79" w:sz="24"/>
        </w:pBdr>
        <w:shd w:fill="F2F6FC" w:val="clear"/>
        <w:spacing w:after="160" w:before="120" w:line="276"/>
        <w:ind w:left="215"/>
      </w:pPr>
      <w:r>
        <w:rPr>
          <w:b/>
          <w:bCs/>
          <w:color w:val="1F4E79"/>
          <w:sz w:val="22"/>
          <w:szCs w:val="22"/>
        </w:rPr>
        <w:t xml:space="preserve">Important: </w:t>
      </w:r>
      <w:r>
        <w:rPr>
          <w:sz w:val="22"/>
          <w:szCs w:val="22"/>
        </w:rPr>
        <w:t xml:space="preserve">When registering an ESU volume-licensing product for disconnected SQL Server servers, select only the instances with a Status of “Registered”.</w:t>
      </w:r>
    </w:p>
    <w:p>
      <w:pPr>
        <w:pStyle w:val="Heading1"/>
        <w:spacing w:after="160" w:before="320"/>
      </w:pPr>
      <w:r>
        <w:rPr>
          <w:b/>
          <w:bCs/>
          <w:color w:val="1F4E79"/>
          <w:sz w:val="30"/>
          <w:szCs w:val="30"/>
        </w:rPr>
        <w:t xml:space="preserve">6. Procedure D – Download ESUs</w:t>
      </w:r>
    </w:p>
    <w:p>
      <w:pPr>
        <w:pStyle w:val="ListParagraph"/>
        <w:numPr>
          <w:ilvl w:val="0"/>
          <w:numId w:val="7"/>
        </w:numPr>
        <w:spacing w:after="100" w:line="276"/>
      </w:pPr>
      <w:r>
        <w:rPr>
          <w:sz w:val="22"/>
          <w:szCs w:val="22"/>
        </w:rPr>
        <w:t xml:space="preserve">After the ESU invoice is linked, open the relevant </w:t>
      </w:r>
      <w:r>
        <w:rPr>
          <w:b/>
          <w:bCs/>
          <w:sz w:val="22"/>
          <w:szCs w:val="22"/>
        </w:rPr>
        <w:t xml:space="preserve">SQL Server instance</w:t>
      </w:r>
      <w:r>
        <w:rPr>
          <w:sz w:val="22"/>
          <w:szCs w:val="22"/>
        </w:rPr>
        <w:t xml:space="preserve"> resource in the Azure portal.</w:t>
      </w:r>
    </w:p>
    <w:p>
      <w:pPr>
        <w:pStyle w:val="ListParagraph"/>
        <w:numPr>
          <w:ilvl w:val="0"/>
          <w:numId w:val="7"/>
        </w:numPr>
        <w:spacing w:after="100" w:line="276"/>
      </w:pPr>
      <w:r>
        <w:rPr>
          <w:sz w:val="22"/>
          <w:szCs w:val="22"/>
        </w:rPr>
        <w:t xml:space="preserve">Go to the </w:t>
      </w:r>
      <w:r>
        <w:rPr>
          <w:b/>
          <w:bCs/>
          <w:sz w:val="22"/>
          <w:szCs w:val="22"/>
        </w:rPr>
        <w:t xml:space="preserve">Extended Security Updates</w:t>
      </w:r>
      <w:r>
        <w:rPr>
          <w:sz w:val="22"/>
          <w:szCs w:val="22"/>
        </w:rPr>
        <w:t xml:space="preserve"> pane.</w:t>
      </w:r>
    </w:p>
    <w:p>
      <w:pPr>
        <w:pStyle w:val="ListParagraph"/>
        <w:numPr>
          <w:ilvl w:val="0"/>
          <w:numId w:val="7"/>
        </w:numPr>
        <w:spacing w:after="100" w:line="276"/>
      </w:pPr>
      <w:r>
        <w:rPr>
          <w:sz w:val="22"/>
          <w:szCs w:val="22"/>
        </w:rPr>
        <w:t xml:space="preserve">Manually download the available ESU packages and apply them to the offline SQL Server(s) using your standard offline patching process.</w:t>
      </w:r>
    </w:p>
    <w:p>
      <w:pPr>
        <w:pStyle w:val="Heading1"/>
        <w:spacing w:after="160" w:before="320"/>
      </w:pPr>
      <w:r>
        <w:rPr>
          <w:b/>
          <w:bCs/>
          <w:color w:val="1F4E79"/>
          <w:sz w:val="30"/>
          <w:szCs w:val="30"/>
        </w:rPr>
        <w:t xml:space="preserve">7. Quick Reference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660"/>
        <w:gridCol w:w="2000"/>
      </w:tblGrid>
      <w:tr>
        <w:tc>
          <w:tcPr>
            <w:tcW w:type="dxa" w:w="700"/>
            <w:shd w:fill="D9E2F3" w:val="clear"/>
            <w:tcMar>
              <w:top w:type="dxa" w:w="80"/>
              <w:left w:type="dxa" w:w="120"/>
              <w:bottom w:type="dxa" w:w="80"/>
              <w:right w:type="dxa" w:w="120"/>
            </w:tcMar>
          </w:tcPr>
          <w:p>
            <w:pPr>
              <w:spacing w:after="0" w:line="260"/>
            </w:pPr>
            <w:r>
              <w:rPr>
                <w:b/>
                <w:bCs/>
                <w:sz w:val="20"/>
                <w:szCs w:val="20"/>
              </w:rPr>
              <w:t xml:space="preserve">#</w:t>
            </w:r>
          </w:p>
        </w:tc>
        <w:tc>
          <w:tcPr>
            <w:tcW w:type="dxa" w:w="6660"/>
            <w:shd w:fill="D9E2F3" w:val="clear"/>
            <w:tcMar>
              <w:top w:type="dxa" w:w="80"/>
              <w:left w:type="dxa" w:w="120"/>
              <w:bottom w:type="dxa" w:w="80"/>
              <w:right w:type="dxa" w:w="120"/>
            </w:tcMar>
          </w:tcPr>
          <w:p>
            <w:pPr>
              <w:spacing w:after="0" w:line="260"/>
            </w:pPr>
            <w:r>
              <w:rPr>
                <w:b/>
                <w:bCs/>
                <w:sz w:val="20"/>
                <w:szCs w:val="20"/>
              </w:rPr>
              <w:t xml:space="preserve">Task</w:t>
            </w:r>
          </w:p>
        </w:tc>
        <w:tc>
          <w:tcPr>
            <w:tcW w:type="dxa" w:w="2000"/>
            <w:shd w:fill="D9E2F3" w:val="clear"/>
            <w:tcMar>
              <w:top w:type="dxa" w:w="80"/>
              <w:left w:type="dxa" w:w="120"/>
              <w:bottom w:type="dxa" w:w="80"/>
              <w:right w:type="dxa" w:w="120"/>
            </w:tcMar>
          </w:tcPr>
          <w:p>
            <w:pPr>
              <w:spacing w:after="0" w:line="260"/>
            </w:pPr>
            <w:r>
              <w:rPr>
                <w:b/>
                <w:bCs/>
                <w:sz w:val="20"/>
                <w:szCs w:val="20"/>
              </w:rPr>
              <w:t xml:space="preserve">Done (✓)</w:t>
            </w:r>
          </w:p>
        </w:tc>
      </w:tr>
      <w:tr>
        <w:tc>
          <w:tcPr>
            <w:tcW w:type="dxa" w:w="700"/>
            <w:tcMar>
              <w:top w:type="dxa" w:w="80"/>
              <w:left w:type="dxa" w:w="120"/>
              <w:bottom w:type="dxa" w:w="80"/>
              <w:right w:type="dxa" w:w="120"/>
            </w:tcMar>
          </w:tcPr>
          <w:p>
            <w:pPr>
              <w:spacing w:after="0" w:line="260"/>
            </w:pPr>
            <w:r>
              <w:rPr>
                <w:b w:val="false"/>
                <w:bCs w:val="false"/>
                <w:sz w:val="20"/>
                <w:szCs w:val="20"/>
              </w:rPr>
              <w:t xml:space="preserve">1</w:t>
            </w:r>
          </w:p>
        </w:tc>
        <w:tc>
          <w:tcPr>
            <w:tcW w:type="dxa" w:w="6660"/>
            <w:tcMar>
              <w:top w:type="dxa" w:w="80"/>
              <w:left w:type="dxa" w:w="120"/>
              <w:bottom w:type="dxa" w:w="80"/>
              <w:right w:type="dxa" w:w="120"/>
            </w:tcMar>
          </w:tcPr>
          <w:p>
            <w:pPr>
              <w:spacing w:after="0" w:line="260"/>
            </w:pPr>
            <w:r>
              <w:rPr>
                <w:b w:val="false"/>
                <w:bCs w:val="false"/>
                <w:sz w:val="20"/>
                <w:szCs w:val="20"/>
              </w:rPr>
              <w:t xml:space="preserve">Azure subscription available and Microsoft.AzureArcData resource provider registered</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2</w:t>
            </w:r>
          </w:p>
        </w:tc>
        <w:tc>
          <w:tcPr>
            <w:tcW w:type="dxa" w:w="6660"/>
            <w:tcMar>
              <w:top w:type="dxa" w:w="80"/>
              <w:left w:type="dxa" w:w="120"/>
              <w:bottom w:type="dxa" w:w="80"/>
              <w:right w:type="dxa" w:w="120"/>
            </w:tcMar>
          </w:tcPr>
          <w:p>
            <w:pPr>
              <w:spacing w:after="0" w:line="260"/>
            </w:pPr>
            <w:r>
              <w:rPr>
                <w:b w:val="false"/>
                <w:bCs w:val="false"/>
                <w:sz w:val="20"/>
                <w:szCs w:val="20"/>
              </w:rPr>
              <w:t xml:space="preserve">User has Azure Connected SQL Server Onboarding role (or Contributor/Owner)</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3</w:t>
            </w:r>
          </w:p>
        </w:tc>
        <w:tc>
          <w:tcPr>
            <w:tcW w:type="dxa" w:w="6660"/>
            <w:tcMar>
              <w:top w:type="dxa" w:w="80"/>
              <w:left w:type="dxa" w:w="120"/>
              <w:bottom w:type="dxa" w:w="80"/>
              <w:right w:type="dxa" w:w="120"/>
            </w:tcMar>
          </w:tcPr>
          <w:p>
            <w:pPr>
              <w:spacing w:after="0" w:line="260"/>
            </w:pPr>
            <w:r>
              <w:rPr>
                <w:b w:val="false"/>
                <w:bCs w:val="false"/>
                <w:sz w:val="20"/>
                <w:szCs w:val="20"/>
              </w:rPr>
              <w:t xml:space="preserve">Azure Policy allows Microsoft.AzureArcData/sqlServerInstances resource type</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4</w:t>
            </w:r>
          </w:p>
        </w:tc>
        <w:tc>
          <w:tcPr>
            <w:tcW w:type="dxa" w:w="6660"/>
            <w:tcMar>
              <w:top w:type="dxa" w:w="80"/>
              <w:left w:type="dxa" w:w="120"/>
              <w:bottom w:type="dxa" w:w="80"/>
              <w:right w:type="dxa" w:w="120"/>
            </w:tcMar>
          </w:tcPr>
          <w:p>
            <w:pPr>
              <w:spacing w:after="0" w:line="260"/>
            </w:pPr>
            <w:r>
              <w:rPr>
                <w:b w:val="false"/>
                <w:bCs w:val="false"/>
                <w:sz w:val="20"/>
                <w:szCs w:val="20"/>
              </w:rPr>
              <w:t xml:space="preserve">Server details collected (instance name, version, edition, cores, host type)</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5</w:t>
            </w:r>
          </w:p>
        </w:tc>
        <w:tc>
          <w:tcPr>
            <w:tcW w:type="dxa" w:w="6660"/>
            <w:tcMar>
              <w:top w:type="dxa" w:w="80"/>
              <w:left w:type="dxa" w:w="120"/>
              <w:bottom w:type="dxa" w:w="80"/>
              <w:right w:type="dxa" w:w="120"/>
            </w:tcMar>
          </w:tcPr>
          <w:p>
            <w:pPr>
              <w:spacing w:after="0" w:line="260"/>
            </w:pPr>
            <w:r>
              <w:rPr>
                <w:b w:val="false"/>
                <w:bCs w:val="false"/>
                <w:sz w:val="20"/>
                <w:szCs w:val="20"/>
              </w:rPr>
              <w:t xml:space="preserve">Instances registered in Azure Arc (single or bulk CSV)</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6</w:t>
            </w:r>
          </w:p>
        </w:tc>
        <w:tc>
          <w:tcPr>
            <w:tcW w:type="dxa" w:w="6660"/>
            <w:tcMar>
              <w:top w:type="dxa" w:w="80"/>
              <w:left w:type="dxa" w:w="120"/>
              <w:bottom w:type="dxa" w:w="80"/>
              <w:right w:type="dxa" w:w="120"/>
            </w:tcMar>
          </w:tcPr>
          <w:p>
            <w:pPr>
              <w:spacing w:after="0" w:line="260"/>
            </w:pPr>
            <w:r>
              <w:rPr>
                <w:b w:val="false"/>
                <w:bCs w:val="false"/>
                <w:sz w:val="20"/>
                <w:szCs w:val="20"/>
              </w:rPr>
              <w:t xml:space="preserve">Instances visible in portal with status “Registered”</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7</w:t>
            </w:r>
          </w:p>
        </w:tc>
        <w:tc>
          <w:tcPr>
            <w:tcW w:type="dxa" w:w="6660"/>
            <w:tcMar>
              <w:top w:type="dxa" w:w="80"/>
              <w:left w:type="dxa" w:w="120"/>
              <w:bottom w:type="dxa" w:w="80"/>
              <w:right w:type="dxa" w:w="120"/>
            </w:tcMar>
          </w:tcPr>
          <w:p>
            <w:pPr>
              <w:spacing w:after="0" w:line="260"/>
            </w:pPr>
            <w:r>
              <w:rPr>
                <w:b w:val="false"/>
                <w:bCs w:val="false"/>
                <w:sz w:val="20"/>
                <w:szCs w:val="20"/>
              </w:rPr>
              <w:t xml:space="preserve">PO Number obtained from Microsoft invoice (Invoice Summary section)</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8</w:t>
            </w:r>
          </w:p>
        </w:tc>
        <w:tc>
          <w:tcPr>
            <w:tcW w:type="dxa" w:w="6660"/>
            <w:tcMar>
              <w:top w:type="dxa" w:w="80"/>
              <w:left w:type="dxa" w:w="120"/>
              <w:bottom w:type="dxa" w:w="80"/>
              <w:right w:type="dxa" w:w="120"/>
            </w:tcMar>
          </w:tcPr>
          <w:p>
            <w:pPr>
              <w:spacing w:after="0" w:line="260"/>
            </w:pPr>
            <w:r>
              <w:rPr>
                <w:b w:val="false"/>
                <w:bCs w:val="false"/>
                <w:sz w:val="20"/>
                <w:szCs w:val="20"/>
              </w:rPr>
              <w:t xml:space="preserve">ESU invoice linked to registered instances (Invoice ID = PO Number)</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9</w:t>
            </w:r>
          </w:p>
        </w:tc>
        <w:tc>
          <w:tcPr>
            <w:tcW w:type="dxa" w:w="6660"/>
            <w:tcMar>
              <w:top w:type="dxa" w:w="80"/>
              <w:left w:type="dxa" w:w="120"/>
              <w:bottom w:type="dxa" w:w="80"/>
              <w:right w:type="dxa" w:w="120"/>
            </w:tcMar>
          </w:tcPr>
          <w:p>
            <w:pPr>
              <w:spacing w:after="0" w:line="260"/>
            </w:pPr>
            <w:r>
              <w:rPr>
                <w:b w:val="false"/>
                <w:bCs w:val="false"/>
                <w:sz w:val="20"/>
                <w:szCs w:val="20"/>
              </w:rPr>
              <w:t xml:space="preserve">Valid ESU expiration date visible on linked instances</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r>
        <w:tc>
          <w:tcPr>
            <w:tcW w:type="dxa" w:w="700"/>
            <w:tcMar>
              <w:top w:type="dxa" w:w="80"/>
              <w:left w:type="dxa" w:w="120"/>
              <w:bottom w:type="dxa" w:w="80"/>
              <w:right w:type="dxa" w:w="120"/>
            </w:tcMar>
          </w:tcPr>
          <w:p>
            <w:pPr>
              <w:spacing w:after="0" w:line="260"/>
            </w:pPr>
            <w:r>
              <w:rPr>
                <w:b w:val="false"/>
                <w:bCs w:val="false"/>
                <w:sz w:val="20"/>
                <w:szCs w:val="20"/>
              </w:rPr>
              <w:t xml:space="preserve">10</w:t>
            </w:r>
          </w:p>
        </w:tc>
        <w:tc>
          <w:tcPr>
            <w:tcW w:type="dxa" w:w="6660"/>
            <w:tcMar>
              <w:top w:type="dxa" w:w="80"/>
              <w:left w:type="dxa" w:w="120"/>
              <w:bottom w:type="dxa" w:w="80"/>
              <w:right w:type="dxa" w:w="120"/>
            </w:tcMar>
          </w:tcPr>
          <w:p>
            <w:pPr>
              <w:spacing w:after="0" w:line="260"/>
            </w:pPr>
            <w:r>
              <w:rPr>
                <w:b w:val="false"/>
                <w:bCs w:val="false"/>
                <w:sz w:val="20"/>
                <w:szCs w:val="20"/>
              </w:rPr>
              <w:t xml:space="preserve">ESU packages downloaded from Extended Security Updates pane and applied</w:t>
            </w:r>
          </w:p>
        </w:tc>
        <w:tc>
          <w:tcPr>
            <w:tcW w:type="dxa" w:w="2000"/>
            <w:tcMar>
              <w:top w:type="dxa" w:w="80"/>
              <w:left w:type="dxa" w:w="120"/>
              <w:bottom w:type="dxa" w:w="80"/>
              <w:right w:type="dxa" w:w="120"/>
            </w:tcMar>
          </w:tcPr>
          <w:p>
            <w:pPr>
              <w:spacing w:after="0" w:line="260"/>
            </w:pPr>
            <w:r>
              <w:rPr>
                <w:b w:val="false"/>
                <w:bCs w:val="false"/>
                <w:sz w:val="20"/>
                <w:szCs w:val="20"/>
              </w:rPr>
              <w:t xml:space="preserve"/>
            </w:r>
          </w:p>
        </w:tc>
      </w:tr>
    </w:tbl>
    <w:p>
      <w:pPr>
        <w:spacing w:after="120" w:line="276"/>
      </w:pPr>
      <w:r>
        <w:rPr>
          <w:sz w:val="22"/>
          <w:szCs w:val="22"/>
        </w:rPr>
        <w:t xml:space="preserve"/>
      </w:r>
    </w:p>
    <w:p>
      <w:pPr>
        <w:spacing w:after="120" w:line="276"/>
      </w:pPr>
      <w:r>
        <w:rPr>
          <w:b/>
          <w:bCs/>
          <w:sz w:val="22"/>
          <w:szCs w:val="22"/>
        </w:rPr>
        <w:t xml:space="preserve">Source: </w:t>
      </w:r>
      <w:r>
        <w:rPr>
          <w:sz w:val="22"/>
          <w:szCs w:val="22"/>
        </w:rPr>
        <w:t xml:space="preserve">Microsoft Learn – Register SQL Server instances for ESUs: </w:t>
      </w:r>
      <w:r>
        <w:rPr>
          <w:i/>
          <w:iCs/>
          <w:color w:val="2E5DA6"/>
          <w:sz w:val="22"/>
          <w:szCs w:val="22"/>
        </w:rPr>
        <w:t xml:space="preserve">https://learn.microsoft.com/en-us/sql/sql-server/end-of-support/extended-security-updates-disconnected-instances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191ed16cec03ffee4fbbb0995e0d36cda9d33b.png"/><Relationship Id="rId9" Type="http://schemas.openxmlformats.org/officeDocument/2006/relationships/image" Target="media/cd5c8609be78a4698801d99efbfa7e46c5dcf562.png"/><Relationship Id="rId10" Type="http://schemas.openxmlformats.org/officeDocument/2006/relationships/image" Target="media/90a033ecf45d9c57d34a49d72821f0ea6d1f028b.png"/><Relationship Id="rId11" Type="http://schemas.openxmlformats.org/officeDocument/2006/relationships/image" Target="media/db7ed99a0bb925b706875e7675bcfd6cf2386abc.png"/><Relationship Id="rId12" Type="http://schemas.openxmlformats.org/officeDocument/2006/relationships/image" Target="media/f3e93508852604a4c5a3d5bfb12ae6ff9885ad5b.png"/><Relationship Id="rId13" Type="http://schemas.openxmlformats.org/officeDocument/2006/relationships/image" Target="media/2e62a9792f6fb4bd4b399fdaaf05f0d670a4d12f.png"/><Relationship Id="rId14" Type="http://schemas.openxmlformats.org/officeDocument/2006/relationships/image" Target="media/209238ac03df9b38a18df9266719b04760567c71.png"/><Relationship Id="rId15" Type="http://schemas.openxmlformats.org/officeDocument/2006/relationships/image" Target="media/6619f4cda2b440037c7f37ed56b00705fef4a7ce.png"/><Relationship Id="rId16" Type="http://schemas.openxmlformats.org/officeDocument/2006/relationships/image" Target="media/aef624627c221f4b217a6fb2e4b5b96f0c18522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2026-07-19T15:06:04.738Z</dcterms:created>
  <dcterms:modified xsi:type="dcterms:W3CDTF">2026-07-19T15:06:04.740Z</dcterms:modified>
</cp:coreProperties>
</file>

<file path=docProps/custom.xml><?xml version="1.0" encoding="utf-8"?>
<Properties xmlns="http://schemas.openxmlformats.org/officeDocument/2006/custom-properties" xmlns:vt="http://schemas.openxmlformats.org/officeDocument/2006/docPropsVTypes"/>
</file>