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CBB 08 Communications Style Guide</w:t>
      </w:r>
    </w:p>
    <w:p>
      <w:r>
        <w:t>SYNTHETIC TRAINING DATA — NOT REAL BANK POLICY</w:t>
      </w:r>
    </w:p>
    <w:p>
      <w:r>
        <w:t>CBB Communication Style Guide</w:t>
      </w:r>
    </w:p>
    <w:p>
      <w:r>
        <w:t>Internal synthetic guideline | revision 1.2</w:t>
      </w:r>
    </w:p>
    <w:p>
      <w:r>
        <w:t>Tone</w:t>
      </w:r>
    </w:p>
    <w:p>
      <w:r>
        <w:t>Clear, helpful, respectful, calm. Avoid internal jargon in external communication.</w:t>
      </w:r>
    </w:p>
    <w:p>
      <w:r>
        <w:t>Customer safety</w:t>
      </w:r>
    </w:p>
    <w:p>
      <w:r>
        <w:t>Use neutral terminology and approved channels, do not copy sensitive application details and avoid unjustified deadlines.</w:t>
      </w:r>
    </w:p>
    <w:p>
      <w:r>
        <w:t>Internal update</w:t>
      </w:r>
    </w:p>
    <w:p>
      <w:r>
        <w:t>State observed fact, source, interpretation, recommendation and named next action.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CRESCENT BAY BANK  |  SYNTHETIC TRAINING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