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231C"/>
          <w:sz w:val="44"/>
        </w:rPr>
        <w:t>Superstore Sales Analysis</w:t>
      </w:r>
    </w:p>
    <w:p>
      <w:pPr>
        <w:spacing w:after="400"/>
      </w:pPr>
      <w:r>
        <w:rPr>
          <w:i/>
          <w:color w:val="6B6356"/>
          <w:sz w:val="24"/>
        </w:rPr>
        <w:t>Insights Summary &amp; Recommendations  ·  2015–2018 Sales Data</w:t>
      </w:r>
    </w:p>
    <w:p>
      <w:pPr>
        <w:pBdr>
          <w:bottom w:val="single" w:sz="6" w:space="4" w:color="C77B1F"/>
        </w:pBdr>
        <w:spacing w:before="360" w:after="160"/>
      </w:pPr>
      <w:r>
        <w:rPr>
          <w:b/>
          <w:color w:val="14231C"/>
          <w:sz w:val="32"/>
        </w:rPr>
        <w:t>Executive Summary</w:t>
      </w:r>
    </w:p>
    <w:p>
      <w:pPr>
        <w:spacing w:after="160"/>
      </w:pPr>
      <w:r>
        <w:rPr>
          <w:b w:val="0"/>
          <w:i w:val="0"/>
          <w:sz w:val="22"/>
        </w:rPr>
        <w:t>This analysis covers 9,994 cleaned orders from a 10,800-row raw export, spanning January 2015 through December 2018. Total revenue across the period was $2,297,201 with $286,397 in profit (12.47% overall margin) across 793 unique customers.</w:t>
      </w:r>
    </w:p>
    <w:p>
      <w:pPr>
        <w:spacing w:after="160"/>
      </w:pPr>
      <w:r>
        <w:rPr>
          <w:b w:val="0"/>
          <w:i w:val="0"/>
          <w:sz w:val="22"/>
        </w:rPr>
        <w:t>The analysis surfaces one dominant finding: discount strategy, not category mix or regional differences, is the primary driver of profit variance in this dataset.</w:t>
      </w:r>
    </w:p>
    <w:p>
      <w:pPr>
        <w:pBdr>
          <w:bottom w:val="single" w:sz="6" w:space="4" w:color="C77B1F"/>
        </w:pBdr>
        <w:spacing w:before="360" w:after="160"/>
      </w:pPr>
      <w:r>
        <w:rPr>
          <w:b/>
          <w:color w:val="14231C"/>
          <w:sz w:val="32"/>
        </w:rPr>
        <w:t>Key Findings</w:t>
      </w:r>
    </w:p>
    <w:p>
      <w:pPr>
        <w:spacing w:after="80"/>
      </w:pPr>
      <w:r>
        <w:rPr>
          <w:b/>
          <w:i w:val="0"/>
          <w:sz w:val="22"/>
        </w:rPr>
        <w:t>1. Discounting destroys margin past a clear threshold</w:t>
      </w:r>
    </w:p>
    <w:p>
      <w:pPr>
        <w:spacing w:after="160"/>
      </w:pPr>
      <w:r>
        <w:rPr>
          <w:b w:val="0"/>
          <w:i w:val="0"/>
          <w:sz w:val="22"/>
        </w:rPr>
        <w:t>Orders with no discount run a 29.51% margin. That margin holds reasonably well through a 1–20% discount tier (11.91%), but flips negative beyond 20%, and falls to -77.4% at 40%+ discount levels. The business is actively losing money on a meaningful share of its most heavily discounted orders.</w:t>
      </w:r>
    </w:p>
    <w:p>
      <w:pPr>
        <w:spacing w:after="80"/>
      </w:pPr>
      <w:r>
        <w:rPr>
          <w:b/>
          <w:i w:val="0"/>
          <w:sz w:val="22"/>
        </w:rPr>
        <w:t>2. Furniture sub-categories are net-unprofitable</w:t>
      </w:r>
    </w:p>
    <w:p>
      <w:pPr>
        <w:spacing w:after="160"/>
      </w:pPr>
      <w:r>
        <w:rPr>
          <w:b w:val="0"/>
          <w:i w:val="0"/>
          <w:sz w:val="22"/>
        </w:rPr>
        <w:t>Tables (-$17,725 profit on $206,966 revenue) and Bookcases (-$3,473 profit) are the two largest profit drains in the dataset. Both carry average discount rates above 21%, well above the healthier sub-categories.</w:t>
      </w:r>
    </w:p>
    <w:p>
      <w:pPr>
        <w:spacing w:after="80"/>
      </w:pPr>
      <w:r>
        <w:rPr>
          <w:b/>
          <w:i w:val="0"/>
          <w:sz w:val="22"/>
        </w:rPr>
        <w:t>3. Revenue growth has outpaced profit growth</w:t>
      </w:r>
    </w:p>
    <w:p>
      <w:pPr>
        <w:spacing w:after="160"/>
      </w:pPr>
      <w:r>
        <w:rPr>
          <w:b w:val="0"/>
          <w:i w:val="0"/>
          <w:sz w:val="22"/>
        </w:rPr>
        <w:t>Revenue grew from $484K (2015) to $733K (2018), with strong +29.5% and +20.4% year-over-year growth in 2017 and 2018. Profit grew too, but less consistently — reinforcing that top-line growth alone isn't translating fully to the bottom line.</w:t>
      </w:r>
    </w:p>
    <w:p>
      <w:pPr>
        <w:spacing w:after="80"/>
      </w:pPr>
      <w:r>
        <w:rPr>
          <w:b/>
          <w:i w:val="0"/>
          <w:sz w:val="22"/>
        </w:rPr>
        <w:t>4. Regional performance is uneven</w:t>
      </w:r>
    </w:p>
    <w:p>
      <w:pPr>
        <w:spacing w:after="160"/>
      </w:pPr>
      <w:r>
        <w:rPr>
          <w:b w:val="0"/>
          <w:i w:val="0"/>
          <w:sz w:val="22"/>
        </w:rPr>
        <w:t>The West region leads on both revenue ($725K) and margin (14.94%). Central, despite comparable order volume, lags meaningfully on margin (7.92%) — a strong candidate for a regional discount-policy audit.</w:t>
      </w:r>
    </w:p>
    <w:p>
      <w:pPr>
        <w:pBdr>
          <w:bottom w:val="single" w:sz="6" w:space="4" w:color="C77B1F"/>
        </w:pBdr>
        <w:spacing w:before="360" w:after="160"/>
      </w:pPr>
      <w:r>
        <w:rPr>
          <w:b/>
          <w:color w:val="14231C"/>
          <w:sz w:val="32"/>
        </w:rPr>
        <w:t>Recommendations</w:t>
      </w:r>
    </w:p>
    <w:p>
      <w:pPr>
        <w:pStyle w:val="ListBullet"/>
        <w:spacing w:after="80"/>
      </w:pPr>
      <w:r>
        <w:t>Cap discretionary discounts at 20% for Furniture sub-categories specifically (Tables, Bookcases), since these already run thin margins before any discount is applied.</w:t>
      </w:r>
    </w:p>
    <w:p>
      <w:pPr>
        <w:pStyle w:val="ListBullet"/>
        <w:spacing w:after="80"/>
      </w:pPr>
      <w:r>
        <w:t>Investigate Central region's discount approval process — its margin gap versus West/East is large enough to warrant a closer look at whether discounting policy differs by region.</w:t>
      </w:r>
    </w:p>
    <w:p>
      <w:pPr>
        <w:pStyle w:val="ListBullet"/>
        <w:spacing w:after="80"/>
      </w:pPr>
      <w:r>
        <w:t>Treat the 21-40% and 40%+ discount tiers as a managed exception, not a default lever — these tiers are reliably unprofitable across the dataset.</w:t>
      </w:r>
    </w:p>
    <w:p>
      <w:pPr>
        <w:pStyle w:val="ListBullet"/>
        <w:spacing w:after="80"/>
      </w:pPr>
      <w:r>
        <w:t>Monitor profit margin alongside revenue growth in future reporting, since 2017–2018 shows the two metrics starting to diverge.</w:t>
      </w:r>
    </w:p>
    <w:p>
      <w:pPr>
        <w:pBdr>
          <w:bottom w:val="single" w:sz="6" w:space="4" w:color="C77B1F"/>
        </w:pBdr>
        <w:spacing w:before="360" w:after="160"/>
      </w:pPr>
      <w:r>
        <w:rPr>
          <w:b/>
          <w:color w:val="14231C"/>
          <w:sz w:val="32"/>
        </w:rPr>
        <w:t>Methodology</w:t>
      </w:r>
    </w:p>
    <w:p>
      <w:pPr>
        <w:spacing w:after="160"/>
      </w:pPr>
      <w:r>
        <w:rPr>
          <w:b w:val="0"/>
          <w:i w:val="0"/>
          <w:sz w:val="22"/>
        </w:rPr>
        <w:t>Raw data was cleaned in Python (pandas): 806 rows with missing core fields were removed, dates were parsed and validated, and derived fields (profit margin, shipping days, year/month breakdowns) were added. The cleaned dataset was loaded into a SQLite database for SQL-based analysis, and the same logic was replicated in Python for the interactive dashboard. All figures in this summary are drawn directly from that pipeline — see the accompanying SQL file and dashboard for full detail.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