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D57" w:rsidRPr="008A0D57" w:rsidRDefault="008A0D57" w:rsidP="008A0D57">
      <w:pPr>
        <w:spacing w:before="100" w:beforeAutospacing="1" w:after="100" w:afterAutospacing="1" w:line="240" w:lineRule="auto"/>
        <w:rPr>
          <w:rFonts w:ascii="Times New Roman" w:eastAsia="Times New Roman" w:hAnsi="Times New Roman" w:cs="Times New Roman"/>
          <w:sz w:val="36"/>
          <w:szCs w:val="24"/>
          <w:lang w:eastAsia="en-IN"/>
        </w:rPr>
      </w:pPr>
      <w:r w:rsidRPr="008A0D57">
        <w:rPr>
          <w:rFonts w:ascii="Times New Roman" w:eastAsia="Times New Roman" w:hAnsi="Times New Roman" w:cs="Times New Roman"/>
          <w:b/>
          <w:bCs/>
          <w:sz w:val="36"/>
          <w:szCs w:val="24"/>
          <w:lang w:eastAsia="en-IN"/>
        </w:rPr>
        <w:t>Borrower Risk Analysis: Understanding Default Rates and APR Trends for Strategic Decision-Making</w:t>
      </w:r>
    </w:p>
    <w:p w:rsidR="008A0D57" w:rsidRPr="008A0D57" w:rsidRDefault="008A0D57" w:rsidP="008A0D57">
      <w:p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Introduction:</w:t>
      </w:r>
      <w:r w:rsidRPr="008A0D57">
        <w:rPr>
          <w:rFonts w:ascii="Times New Roman" w:eastAsia="Times New Roman" w:hAnsi="Times New Roman" w:cs="Times New Roman"/>
          <w:sz w:val="24"/>
          <w:szCs w:val="24"/>
          <w:lang w:eastAsia="en-IN"/>
        </w:rPr>
        <w:t xml:space="preserve"> This report dives into a comprehensive analysis of borrower risk, examining key factors that influence default rates. Using metrics such as borrower APR (Annual Percentage Rate), employment status, income range, Prosper rating, and debt-to-income (DTI) ratio, the analysis highlights patterns of risk that can support stakeholders in refining their strategies for managing borrower portfolios. The insights extracted from the dashboard allow for a nuanced understanding of the financial health of borrowers and the risks associated with different demographic segments.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25"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Key Insights and Metrics:</w:t>
      </w:r>
    </w:p>
    <w:p w:rsidR="008A0D57" w:rsidRPr="008A0D57" w:rsidRDefault="008A0D57" w:rsidP="008A0D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A0D57">
        <w:rPr>
          <w:rFonts w:ascii="Times New Roman" w:eastAsia="Times New Roman" w:hAnsi="Times New Roman" w:cs="Times New Roman"/>
          <w:b/>
          <w:bCs/>
          <w:sz w:val="24"/>
          <w:szCs w:val="24"/>
          <w:lang w:eastAsia="en-IN"/>
        </w:rPr>
        <w:t>1. Borrower APR and Default Rate:</w:t>
      </w:r>
    </w:p>
    <w:p w:rsidR="008A0D57" w:rsidRPr="008A0D57" w:rsidRDefault="008A0D57" w:rsidP="008A0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KPI:</w:t>
      </w:r>
      <w:r w:rsidRPr="008A0D57">
        <w:rPr>
          <w:rFonts w:ascii="Times New Roman" w:eastAsia="Times New Roman" w:hAnsi="Times New Roman" w:cs="Times New Roman"/>
          <w:sz w:val="24"/>
          <w:szCs w:val="24"/>
          <w:lang w:eastAsia="en-IN"/>
        </w:rPr>
        <w:t xml:space="preserve"> The average Borrower APR stands at </w:t>
      </w:r>
      <w:r w:rsidRPr="008A0D57">
        <w:rPr>
          <w:rFonts w:ascii="Times New Roman" w:eastAsia="Times New Roman" w:hAnsi="Times New Roman" w:cs="Times New Roman"/>
          <w:b/>
          <w:bCs/>
          <w:sz w:val="24"/>
          <w:szCs w:val="24"/>
          <w:lang w:eastAsia="en-IN"/>
        </w:rPr>
        <w:t>0.22</w:t>
      </w:r>
      <w:r w:rsidRPr="008A0D57">
        <w:rPr>
          <w:rFonts w:ascii="Times New Roman" w:eastAsia="Times New Roman" w:hAnsi="Times New Roman" w:cs="Times New Roman"/>
          <w:sz w:val="24"/>
          <w:szCs w:val="24"/>
          <w:lang w:eastAsia="en-IN"/>
        </w:rPr>
        <w:t xml:space="preserve">, and the overall default rate is </w:t>
      </w:r>
      <w:r w:rsidRPr="008A0D57">
        <w:rPr>
          <w:rFonts w:ascii="Times New Roman" w:eastAsia="Times New Roman" w:hAnsi="Times New Roman" w:cs="Times New Roman"/>
          <w:b/>
          <w:bCs/>
          <w:sz w:val="24"/>
          <w:szCs w:val="24"/>
          <w:lang w:eastAsia="en-IN"/>
        </w:rPr>
        <w:t>0.15</w:t>
      </w:r>
      <w:r w:rsidRPr="008A0D57">
        <w:rPr>
          <w:rFonts w:ascii="Times New Roman" w:eastAsia="Times New Roman" w:hAnsi="Times New Roman" w:cs="Times New Roman"/>
          <w:sz w:val="24"/>
          <w:szCs w:val="24"/>
          <w:lang w:eastAsia="en-IN"/>
        </w:rPr>
        <w:t>.</w:t>
      </w:r>
    </w:p>
    <w:p w:rsidR="008A0D57" w:rsidRPr="008A0D57" w:rsidRDefault="008A0D57" w:rsidP="008A0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These two KPIs provide a baseline understanding of the cost of borrowing and the general risk of default across the portfolio. Stakeholders can use this as a reference point to compare variations across different borrower segments.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26"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2. Default Rate by Employment Status:</w:t>
      </w:r>
    </w:p>
    <w:p w:rsidR="008A0D57" w:rsidRPr="008A0D57" w:rsidRDefault="008A0D57" w:rsidP="008A0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Employment status plays a critical role in determining borrower risk.</w:t>
      </w:r>
    </w:p>
    <w:p w:rsidR="008A0D57" w:rsidRPr="008A0D57" w:rsidRDefault="008A0D57" w:rsidP="008A0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Details:</w:t>
      </w:r>
    </w:p>
    <w:p w:rsidR="008A0D57" w:rsidRPr="008A0D57" w:rsidRDefault="008A0D57" w:rsidP="008A0D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Retired (0.29)</w:t>
      </w:r>
      <w:r w:rsidRPr="008A0D57">
        <w:rPr>
          <w:rFonts w:ascii="Times New Roman" w:eastAsia="Times New Roman" w:hAnsi="Times New Roman" w:cs="Times New Roman"/>
          <w:sz w:val="24"/>
          <w:szCs w:val="24"/>
          <w:lang w:eastAsia="en-IN"/>
        </w:rPr>
        <w:t xml:space="preserve"> and </w:t>
      </w:r>
      <w:r w:rsidRPr="008A0D57">
        <w:rPr>
          <w:rFonts w:ascii="Times New Roman" w:eastAsia="Times New Roman" w:hAnsi="Times New Roman" w:cs="Times New Roman"/>
          <w:b/>
          <w:bCs/>
          <w:sz w:val="24"/>
          <w:szCs w:val="24"/>
          <w:lang w:eastAsia="en-IN"/>
        </w:rPr>
        <w:t>Full-time (0.28)</w:t>
      </w:r>
      <w:r w:rsidRPr="008A0D57">
        <w:rPr>
          <w:rFonts w:ascii="Times New Roman" w:eastAsia="Times New Roman" w:hAnsi="Times New Roman" w:cs="Times New Roman"/>
          <w:sz w:val="24"/>
          <w:szCs w:val="24"/>
          <w:lang w:eastAsia="en-IN"/>
        </w:rPr>
        <w:t xml:space="preserve"> borrowers exhibit higher default rates compared to </w:t>
      </w:r>
      <w:r w:rsidRPr="008A0D57">
        <w:rPr>
          <w:rFonts w:ascii="Times New Roman" w:eastAsia="Times New Roman" w:hAnsi="Times New Roman" w:cs="Times New Roman"/>
          <w:b/>
          <w:bCs/>
          <w:sz w:val="24"/>
          <w:szCs w:val="24"/>
          <w:lang w:eastAsia="en-IN"/>
        </w:rPr>
        <w:t>Employed</w:t>
      </w:r>
      <w:r w:rsidRPr="008A0D57">
        <w:rPr>
          <w:rFonts w:ascii="Times New Roman" w:eastAsia="Times New Roman" w:hAnsi="Times New Roman" w:cs="Times New Roman"/>
          <w:sz w:val="24"/>
          <w:szCs w:val="24"/>
          <w:lang w:eastAsia="en-IN"/>
        </w:rPr>
        <w:t xml:space="preserve"> individuals, who have a much lower default rate of </w:t>
      </w:r>
      <w:r w:rsidRPr="008A0D57">
        <w:rPr>
          <w:rFonts w:ascii="Times New Roman" w:eastAsia="Times New Roman" w:hAnsi="Times New Roman" w:cs="Times New Roman"/>
          <w:b/>
          <w:bCs/>
          <w:sz w:val="24"/>
          <w:szCs w:val="24"/>
          <w:lang w:eastAsia="en-IN"/>
        </w:rPr>
        <w:t>0.06</w:t>
      </w:r>
      <w:r w:rsidRPr="008A0D57">
        <w:rPr>
          <w:rFonts w:ascii="Times New Roman" w:eastAsia="Times New Roman" w:hAnsi="Times New Roman" w:cs="Times New Roman"/>
          <w:sz w:val="24"/>
          <w:szCs w:val="24"/>
          <w:lang w:eastAsia="en-IN"/>
        </w:rPr>
        <w:t>.</w:t>
      </w:r>
    </w:p>
    <w:p w:rsidR="008A0D57" w:rsidRPr="008A0D57" w:rsidRDefault="008A0D57" w:rsidP="008A0D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Actionable Insight:</w:t>
      </w:r>
      <w:r w:rsidRPr="008A0D57">
        <w:rPr>
          <w:rFonts w:ascii="Times New Roman" w:eastAsia="Times New Roman" w:hAnsi="Times New Roman" w:cs="Times New Roman"/>
          <w:sz w:val="24"/>
          <w:szCs w:val="24"/>
          <w:lang w:eastAsia="en-IN"/>
        </w:rPr>
        <w:t xml:space="preserve"> Targeted interventions, such as offering more conservative loan products or providing additional financial support to riskier employment groups, could help mitigate potential defaults in these categories.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27"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3. Average Borrower APR by Income Range:</w:t>
      </w:r>
    </w:p>
    <w:p w:rsidR="008A0D57" w:rsidRPr="008A0D57" w:rsidRDefault="008A0D57" w:rsidP="008A0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There is a direct correlation between income range and APR, with lower-income borrowers facing higher APRs.</w:t>
      </w:r>
    </w:p>
    <w:p w:rsidR="008A0D57" w:rsidRPr="008A0D57" w:rsidRDefault="008A0D57" w:rsidP="008A0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Details:</w:t>
      </w:r>
      <w:r w:rsidRPr="008A0D57">
        <w:rPr>
          <w:rFonts w:ascii="Times New Roman" w:eastAsia="Times New Roman" w:hAnsi="Times New Roman" w:cs="Times New Roman"/>
          <w:sz w:val="24"/>
          <w:szCs w:val="24"/>
          <w:lang w:eastAsia="en-IN"/>
        </w:rPr>
        <w:t xml:space="preserve"> Borrowers earning between </w:t>
      </w:r>
      <w:r w:rsidRPr="008A0D57">
        <w:rPr>
          <w:rFonts w:ascii="Times New Roman" w:eastAsia="Times New Roman" w:hAnsi="Times New Roman" w:cs="Times New Roman"/>
          <w:b/>
          <w:bCs/>
          <w:sz w:val="24"/>
          <w:szCs w:val="24"/>
          <w:lang w:eastAsia="en-IN"/>
        </w:rPr>
        <w:t>$1-24,999</w:t>
      </w:r>
      <w:r w:rsidRPr="008A0D57">
        <w:rPr>
          <w:rFonts w:ascii="Times New Roman" w:eastAsia="Times New Roman" w:hAnsi="Times New Roman" w:cs="Times New Roman"/>
          <w:sz w:val="24"/>
          <w:szCs w:val="24"/>
          <w:lang w:eastAsia="en-IN"/>
        </w:rPr>
        <w:t xml:space="preserve"> face the highest average APR of </w:t>
      </w:r>
      <w:r w:rsidRPr="008A0D57">
        <w:rPr>
          <w:rFonts w:ascii="Times New Roman" w:eastAsia="Times New Roman" w:hAnsi="Times New Roman" w:cs="Times New Roman"/>
          <w:b/>
          <w:bCs/>
          <w:sz w:val="24"/>
          <w:szCs w:val="24"/>
          <w:lang w:eastAsia="en-IN"/>
        </w:rPr>
        <w:t>0.25</w:t>
      </w:r>
      <w:r w:rsidRPr="008A0D57">
        <w:rPr>
          <w:rFonts w:ascii="Times New Roman" w:eastAsia="Times New Roman" w:hAnsi="Times New Roman" w:cs="Times New Roman"/>
          <w:sz w:val="24"/>
          <w:szCs w:val="24"/>
          <w:lang w:eastAsia="en-IN"/>
        </w:rPr>
        <w:t xml:space="preserve">, while those earning </w:t>
      </w:r>
      <w:r w:rsidRPr="008A0D57">
        <w:rPr>
          <w:rFonts w:ascii="Times New Roman" w:eastAsia="Times New Roman" w:hAnsi="Times New Roman" w:cs="Times New Roman"/>
          <w:b/>
          <w:bCs/>
          <w:sz w:val="24"/>
          <w:szCs w:val="24"/>
          <w:lang w:eastAsia="en-IN"/>
        </w:rPr>
        <w:t>$100,000+</w:t>
      </w:r>
      <w:r w:rsidRPr="008A0D57">
        <w:rPr>
          <w:rFonts w:ascii="Times New Roman" w:eastAsia="Times New Roman" w:hAnsi="Times New Roman" w:cs="Times New Roman"/>
          <w:sz w:val="24"/>
          <w:szCs w:val="24"/>
          <w:lang w:eastAsia="en-IN"/>
        </w:rPr>
        <w:t xml:space="preserve"> have a lower APR of </w:t>
      </w:r>
      <w:r w:rsidRPr="008A0D57">
        <w:rPr>
          <w:rFonts w:ascii="Times New Roman" w:eastAsia="Times New Roman" w:hAnsi="Times New Roman" w:cs="Times New Roman"/>
          <w:b/>
          <w:bCs/>
          <w:sz w:val="24"/>
          <w:szCs w:val="24"/>
          <w:lang w:eastAsia="en-IN"/>
        </w:rPr>
        <w:t>0.20</w:t>
      </w:r>
      <w:r w:rsidRPr="008A0D57">
        <w:rPr>
          <w:rFonts w:ascii="Times New Roman" w:eastAsia="Times New Roman" w:hAnsi="Times New Roman" w:cs="Times New Roman"/>
          <w:sz w:val="24"/>
          <w:szCs w:val="24"/>
          <w:lang w:eastAsia="en-IN"/>
        </w:rPr>
        <w:t>.</w:t>
      </w:r>
    </w:p>
    <w:p w:rsidR="008A0D57" w:rsidRPr="008A0D57" w:rsidRDefault="008A0D57" w:rsidP="008A0D5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t>This insight suggests that lower-income borrowers are more exposed to higher borrowing costs, likely due to their higher perceived risk.</w:t>
      </w:r>
    </w:p>
    <w:p w:rsidR="008A0D57" w:rsidRPr="008A0D57" w:rsidRDefault="008A0D57" w:rsidP="008A0D5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Actionable Insight:</w:t>
      </w:r>
      <w:r w:rsidRPr="008A0D57">
        <w:rPr>
          <w:rFonts w:ascii="Times New Roman" w:eastAsia="Times New Roman" w:hAnsi="Times New Roman" w:cs="Times New Roman"/>
          <w:sz w:val="24"/>
          <w:szCs w:val="24"/>
          <w:lang w:eastAsia="en-IN"/>
        </w:rPr>
        <w:t xml:space="preserve"> Financial institutions could explore options to make loans more affordable for lower-income borrowers by offering lower APR alternatives for those who demonstrate consistent repayment </w:t>
      </w:r>
      <w:proofErr w:type="spellStart"/>
      <w:r w:rsidRPr="008A0D57">
        <w:rPr>
          <w:rFonts w:ascii="Times New Roman" w:eastAsia="Times New Roman" w:hAnsi="Times New Roman" w:cs="Times New Roman"/>
          <w:sz w:val="24"/>
          <w:szCs w:val="24"/>
          <w:lang w:eastAsia="en-IN"/>
        </w:rPr>
        <w:t>behavior</w:t>
      </w:r>
      <w:proofErr w:type="spellEnd"/>
      <w:r w:rsidRPr="008A0D57">
        <w:rPr>
          <w:rFonts w:ascii="Times New Roman" w:eastAsia="Times New Roman" w:hAnsi="Times New Roman" w:cs="Times New Roman"/>
          <w:sz w:val="24"/>
          <w:szCs w:val="24"/>
          <w:lang w:eastAsia="en-IN"/>
        </w:rPr>
        <w:t>.</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4. Default Rate by Prosper Rating (Alpha):</w:t>
      </w:r>
    </w:p>
    <w:p w:rsidR="008A0D57" w:rsidRPr="008A0D57" w:rsidRDefault="008A0D57" w:rsidP="008A0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The Prosper rating provides a reliable indication of a borrower’s risk of default.</w:t>
      </w:r>
    </w:p>
    <w:p w:rsidR="008A0D57" w:rsidRPr="008A0D57" w:rsidRDefault="008A0D57" w:rsidP="008A0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Details:</w:t>
      </w:r>
      <w:r w:rsidRPr="008A0D57">
        <w:rPr>
          <w:rFonts w:ascii="Times New Roman" w:eastAsia="Times New Roman" w:hAnsi="Times New Roman" w:cs="Times New Roman"/>
          <w:sz w:val="24"/>
          <w:szCs w:val="24"/>
          <w:lang w:eastAsia="en-IN"/>
        </w:rPr>
        <w:t xml:space="preserve"> Borrowers with a low Prosper rating, such as </w:t>
      </w:r>
      <w:r w:rsidRPr="008A0D57">
        <w:rPr>
          <w:rFonts w:ascii="Times New Roman" w:eastAsia="Times New Roman" w:hAnsi="Times New Roman" w:cs="Times New Roman"/>
          <w:b/>
          <w:bCs/>
          <w:sz w:val="24"/>
          <w:szCs w:val="24"/>
          <w:lang w:eastAsia="en-IN"/>
        </w:rPr>
        <w:t>HR</w:t>
      </w:r>
      <w:r w:rsidRPr="008A0D57">
        <w:rPr>
          <w:rFonts w:ascii="Times New Roman" w:eastAsia="Times New Roman" w:hAnsi="Times New Roman" w:cs="Times New Roman"/>
          <w:sz w:val="24"/>
          <w:szCs w:val="24"/>
          <w:lang w:eastAsia="en-IN"/>
        </w:rPr>
        <w:t xml:space="preserve">, have a significantly high default rate of </w:t>
      </w:r>
      <w:r w:rsidRPr="008A0D57">
        <w:rPr>
          <w:rFonts w:ascii="Times New Roman" w:eastAsia="Times New Roman" w:hAnsi="Times New Roman" w:cs="Times New Roman"/>
          <w:b/>
          <w:bCs/>
          <w:sz w:val="24"/>
          <w:szCs w:val="24"/>
          <w:lang w:eastAsia="en-IN"/>
        </w:rPr>
        <w:t>0.21</w:t>
      </w:r>
      <w:r w:rsidRPr="008A0D57">
        <w:rPr>
          <w:rFonts w:ascii="Times New Roman" w:eastAsia="Times New Roman" w:hAnsi="Times New Roman" w:cs="Times New Roman"/>
          <w:sz w:val="24"/>
          <w:szCs w:val="24"/>
          <w:lang w:eastAsia="en-IN"/>
        </w:rPr>
        <w:t xml:space="preserve">, whereas those with an </w:t>
      </w:r>
      <w:r w:rsidRPr="008A0D57">
        <w:rPr>
          <w:rFonts w:ascii="Times New Roman" w:eastAsia="Times New Roman" w:hAnsi="Times New Roman" w:cs="Times New Roman"/>
          <w:b/>
          <w:bCs/>
          <w:sz w:val="24"/>
          <w:szCs w:val="24"/>
          <w:lang w:eastAsia="en-IN"/>
        </w:rPr>
        <w:t>AA</w:t>
      </w:r>
      <w:r w:rsidRPr="008A0D57">
        <w:rPr>
          <w:rFonts w:ascii="Times New Roman" w:eastAsia="Times New Roman" w:hAnsi="Times New Roman" w:cs="Times New Roman"/>
          <w:sz w:val="24"/>
          <w:szCs w:val="24"/>
          <w:lang w:eastAsia="en-IN"/>
        </w:rPr>
        <w:t xml:space="preserve"> rating have a very low default rate of </w:t>
      </w:r>
      <w:r w:rsidRPr="008A0D57">
        <w:rPr>
          <w:rFonts w:ascii="Times New Roman" w:eastAsia="Times New Roman" w:hAnsi="Times New Roman" w:cs="Times New Roman"/>
          <w:b/>
          <w:bCs/>
          <w:sz w:val="24"/>
          <w:szCs w:val="24"/>
          <w:lang w:eastAsia="en-IN"/>
        </w:rPr>
        <w:t>0.02</w:t>
      </w:r>
      <w:r w:rsidRPr="008A0D57">
        <w:rPr>
          <w:rFonts w:ascii="Times New Roman" w:eastAsia="Times New Roman" w:hAnsi="Times New Roman" w:cs="Times New Roman"/>
          <w:sz w:val="24"/>
          <w:szCs w:val="24"/>
          <w:lang w:eastAsia="en-IN"/>
        </w:rPr>
        <w:t>.</w:t>
      </w:r>
    </w:p>
    <w:p w:rsidR="008A0D57" w:rsidRPr="008A0D57" w:rsidRDefault="008A0D57" w:rsidP="008A0D5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Actionable Insight:</w:t>
      </w:r>
      <w:r w:rsidRPr="008A0D57">
        <w:rPr>
          <w:rFonts w:ascii="Times New Roman" w:eastAsia="Times New Roman" w:hAnsi="Times New Roman" w:cs="Times New Roman"/>
          <w:sz w:val="24"/>
          <w:szCs w:val="24"/>
          <w:lang w:eastAsia="en-IN"/>
        </w:rPr>
        <w:t xml:space="preserve"> Lending strategies should </w:t>
      </w:r>
      <w:proofErr w:type="spellStart"/>
      <w:r w:rsidRPr="008A0D57">
        <w:rPr>
          <w:rFonts w:ascii="Times New Roman" w:eastAsia="Times New Roman" w:hAnsi="Times New Roman" w:cs="Times New Roman"/>
          <w:sz w:val="24"/>
          <w:szCs w:val="24"/>
          <w:lang w:eastAsia="en-IN"/>
        </w:rPr>
        <w:t>favor</w:t>
      </w:r>
      <w:proofErr w:type="spellEnd"/>
      <w:r w:rsidRPr="008A0D57">
        <w:rPr>
          <w:rFonts w:ascii="Times New Roman" w:eastAsia="Times New Roman" w:hAnsi="Times New Roman" w:cs="Times New Roman"/>
          <w:sz w:val="24"/>
          <w:szCs w:val="24"/>
          <w:lang w:eastAsia="en-IN"/>
        </w:rPr>
        <w:t xml:space="preserve"> borrowers with higher Prosper ratings, while borrowers with lower ratings may require enhanced risk assessments and additional support to reduce their default likelihood.</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29"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5. Default Rate by Debt-to-Income Ratio (DTI):</w:t>
      </w:r>
    </w:p>
    <w:p w:rsidR="008A0D57" w:rsidRPr="008A0D57" w:rsidRDefault="008A0D57" w:rsidP="008A0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Higher debt-to-income ratios (DTI) are closely associated with higher default rates, emphasizing the importance of manageable debt burdens.</w:t>
      </w:r>
    </w:p>
    <w:p w:rsidR="008A0D57" w:rsidRPr="008A0D57" w:rsidRDefault="008A0D57" w:rsidP="008A0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Details:</w:t>
      </w:r>
      <w:r w:rsidRPr="008A0D57">
        <w:rPr>
          <w:rFonts w:ascii="Times New Roman" w:eastAsia="Times New Roman" w:hAnsi="Times New Roman" w:cs="Times New Roman"/>
          <w:sz w:val="24"/>
          <w:szCs w:val="24"/>
          <w:lang w:eastAsia="en-IN"/>
        </w:rPr>
        <w:t xml:space="preserve"> As the debt-to-income ratio rises, so does the default rate, with the trend peaking as DTI nears </w:t>
      </w:r>
      <w:r w:rsidRPr="008A0D57">
        <w:rPr>
          <w:rFonts w:ascii="Times New Roman" w:eastAsia="Times New Roman" w:hAnsi="Times New Roman" w:cs="Times New Roman"/>
          <w:b/>
          <w:bCs/>
          <w:sz w:val="24"/>
          <w:szCs w:val="24"/>
          <w:lang w:eastAsia="en-IN"/>
        </w:rPr>
        <w:t>0.7</w:t>
      </w:r>
      <w:r w:rsidRPr="008A0D57">
        <w:rPr>
          <w:rFonts w:ascii="Times New Roman" w:eastAsia="Times New Roman" w:hAnsi="Times New Roman" w:cs="Times New Roman"/>
          <w:sz w:val="24"/>
          <w:szCs w:val="24"/>
          <w:lang w:eastAsia="en-IN"/>
        </w:rPr>
        <w:t xml:space="preserve">. Most default rates are below </w:t>
      </w:r>
      <w:r w:rsidRPr="008A0D57">
        <w:rPr>
          <w:rFonts w:ascii="Times New Roman" w:eastAsia="Times New Roman" w:hAnsi="Times New Roman" w:cs="Times New Roman"/>
          <w:b/>
          <w:bCs/>
          <w:sz w:val="24"/>
          <w:szCs w:val="24"/>
          <w:lang w:eastAsia="en-IN"/>
        </w:rPr>
        <w:t>0.5</w:t>
      </w:r>
      <w:r w:rsidRPr="008A0D57">
        <w:rPr>
          <w:rFonts w:ascii="Times New Roman" w:eastAsia="Times New Roman" w:hAnsi="Times New Roman" w:cs="Times New Roman"/>
          <w:sz w:val="24"/>
          <w:szCs w:val="24"/>
          <w:lang w:eastAsia="en-IN"/>
        </w:rPr>
        <w:t>, highlighting the strong correlation between higher DTI and increased risk of default.</w:t>
      </w:r>
    </w:p>
    <w:p w:rsidR="008A0D57" w:rsidRPr="008A0D57" w:rsidRDefault="008A0D57" w:rsidP="008A0D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Actionable Insight:</w:t>
      </w:r>
      <w:r w:rsidRPr="008A0D57">
        <w:rPr>
          <w:rFonts w:ascii="Times New Roman" w:eastAsia="Times New Roman" w:hAnsi="Times New Roman" w:cs="Times New Roman"/>
          <w:sz w:val="24"/>
          <w:szCs w:val="24"/>
          <w:lang w:eastAsia="en-IN"/>
        </w:rPr>
        <w:t xml:space="preserve"> Borrowers with high DTI ratios should receive careful evaluation before loan approval. Institutions could offer personalized debt management services to ensure borrowers can maintain manageable debt levels.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30" style="width:0;height:1.5pt" o:hralign="center" o:hrstd="t" o:hr="t" fillcolor="#a0a0a0" stroked="f"/>
        </w:pict>
      </w: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6. Sum of Borrower APR by Income Range:</w:t>
      </w:r>
    </w:p>
    <w:p w:rsidR="008A0D57" w:rsidRPr="008A0D57" w:rsidRDefault="008A0D57" w:rsidP="008A0D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Insight:</w:t>
      </w:r>
      <w:r w:rsidRPr="008A0D57">
        <w:rPr>
          <w:rFonts w:ascii="Times New Roman" w:eastAsia="Times New Roman" w:hAnsi="Times New Roman" w:cs="Times New Roman"/>
          <w:sz w:val="24"/>
          <w:szCs w:val="24"/>
          <w:lang w:eastAsia="en-IN"/>
        </w:rPr>
        <w:t xml:space="preserve"> The sum of APRs is significantly higher for lower-income borrowers, indicating a greater loan volume combined with higher interest rates for this group.</w:t>
      </w:r>
    </w:p>
    <w:p w:rsidR="008A0D57" w:rsidRPr="008A0D57" w:rsidRDefault="008A0D57" w:rsidP="008A0D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Details:</w:t>
      </w:r>
      <w:r w:rsidRPr="008A0D57">
        <w:rPr>
          <w:rFonts w:ascii="Times New Roman" w:eastAsia="Times New Roman" w:hAnsi="Times New Roman" w:cs="Times New Roman"/>
          <w:sz w:val="24"/>
          <w:szCs w:val="24"/>
          <w:lang w:eastAsia="en-IN"/>
        </w:rPr>
        <w:t xml:space="preserve"> The key statistics for the sum of APRs include:</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Mean:</w:t>
      </w:r>
      <w:r w:rsidRPr="008A0D57">
        <w:rPr>
          <w:rFonts w:ascii="Times New Roman" w:eastAsia="Times New Roman" w:hAnsi="Times New Roman" w:cs="Times New Roman"/>
          <w:sz w:val="24"/>
          <w:szCs w:val="24"/>
          <w:lang w:eastAsia="en-IN"/>
        </w:rPr>
        <w:t xml:space="preserve"> 3861.37</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Median:</w:t>
      </w:r>
      <w:r w:rsidRPr="008A0D57">
        <w:rPr>
          <w:rFonts w:ascii="Times New Roman" w:eastAsia="Times New Roman" w:hAnsi="Times New Roman" w:cs="Times New Roman"/>
          <w:sz w:val="24"/>
          <w:szCs w:val="24"/>
          <w:lang w:eastAsia="en-IN"/>
        </w:rPr>
        <w:t xml:space="preserve"> 3456.98</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Maximum:</w:t>
      </w:r>
      <w:r w:rsidRPr="008A0D57">
        <w:rPr>
          <w:rFonts w:ascii="Times New Roman" w:eastAsia="Times New Roman" w:hAnsi="Times New Roman" w:cs="Times New Roman"/>
          <w:sz w:val="24"/>
          <w:szCs w:val="24"/>
          <w:lang w:eastAsia="en-IN"/>
        </w:rPr>
        <w:t xml:space="preserve"> 7560.32</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Minimum:</w:t>
      </w:r>
      <w:r w:rsidRPr="008A0D57">
        <w:rPr>
          <w:rFonts w:ascii="Times New Roman" w:eastAsia="Times New Roman" w:hAnsi="Times New Roman" w:cs="Times New Roman"/>
          <w:sz w:val="24"/>
          <w:szCs w:val="24"/>
          <w:lang w:eastAsia="en-IN"/>
        </w:rPr>
        <w:t xml:space="preserve"> 130.86</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Quartile 1:</w:t>
      </w:r>
      <w:r w:rsidRPr="008A0D57">
        <w:rPr>
          <w:rFonts w:ascii="Times New Roman" w:eastAsia="Times New Roman" w:hAnsi="Times New Roman" w:cs="Times New Roman"/>
          <w:sz w:val="24"/>
          <w:szCs w:val="24"/>
          <w:lang w:eastAsia="en-IN"/>
        </w:rPr>
        <w:t xml:space="preserve"> 1802</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Quartile 3:</w:t>
      </w:r>
      <w:r w:rsidRPr="008A0D57">
        <w:rPr>
          <w:rFonts w:ascii="Times New Roman" w:eastAsia="Times New Roman" w:hAnsi="Times New Roman" w:cs="Times New Roman"/>
          <w:sz w:val="24"/>
          <w:szCs w:val="24"/>
          <w:lang w:eastAsia="en-IN"/>
        </w:rPr>
        <w:t xml:space="preserve"> 6760</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IQR:</w:t>
      </w:r>
      <w:r w:rsidRPr="008A0D57">
        <w:rPr>
          <w:rFonts w:ascii="Times New Roman" w:eastAsia="Times New Roman" w:hAnsi="Times New Roman" w:cs="Times New Roman"/>
          <w:sz w:val="24"/>
          <w:szCs w:val="24"/>
          <w:lang w:eastAsia="en-IN"/>
        </w:rPr>
        <w:t xml:space="preserve"> 4150</w:t>
      </w:r>
    </w:p>
    <w:p w:rsidR="008A0D57" w:rsidRPr="008A0D57" w:rsidRDefault="008A0D57" w:rsidP="008A0D5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Actionable Insight:</w:t>
      </w:r>
      <w:r w:rsidRPr="008A0D57">
        <w:rPr>
          <w:rFonts w:ascii="Times New Roman" w:eastAsia="Times New Roman" w:hAnsi="Times New Roman" w:cs="Times New Roman"/>
          <w:sz w:val="24"/>
          <w:szCs w:val="24"/>
          <w:lang w:eastAsia="en-IN"/>
        </w:rPr>
        <w:t xml:space="preserve"> This analysis confirms that lower-income borrowers are carrying a larger burden of interest payments. Financial institutions can use this insight to rethink their loan pricing strategies and ensure fairer access to credit for lower-income segments.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31" style="width:0;height:1.5pt" o:hralign="center" o:hrstd="t" o:hr="t" fillcolor="#a0a0a0" stroked="f"/>
        </w:pict>
      </w:r>
    </w:p>
    <w:p w:rsid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A0D57" w:rsidRPr="008A0D57" w:rsidRDefault="008A0D57" w:rsidP="008A0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0D57">
        <w:rPr>
          <w:rFonts w:ascii="Times New Roman" w:eastAsia="Times New Roman" w:hAnsi="Times New Roman" w:cs="Times New Roman"/>
          <w:b/>
          <w:bCs/>
          <w:sz w:val="27"/>
          <w:szCs w:val="27"/>
          <w:lang w:eastAsia="en-IN"/>
        </w:rPr>
        <w:t>Interpretation and Strategic Recommendations:</w:t>
      </w:r>
    </w:p>
    <w:p w:rsidR="008A0D57" w:rsidRPr="008A0D57" w:rsidRDefault="008A0D57" w:rsidP="008A0D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Employment Status Focus:</w:t>
      </w:r>
      <w:r w:rsidRPr="008A0D57">
        <w:rPr>
          <w:rFonts w:ascii="Times New Roman" w:eastAsia="Times New Roman" w:hAnsi="Times New Roman" w:cs="Times New Roman"/>
          <w:sz w:val="24"/>
          <w:szCs w:val="24"/>
          <w:lang w:eastAsia="en-IN"/>
        </w:rPr>
        <w:t xml:space="preserve"> Borrowers with unclear or riskier employment statuses, such as retired or unemployed individuals, are more likely to default. Proactively managing these groups with tailored loan products or additional financial </w:t>
      </w:r>
      <w:proofErr w:type="spellStart"/>
      <w:r w:rsidRPr="008A0D57">
        <w:rPr>
          <w:rFonts w:ascii="Times New Roman" w:eastAsia="Times New Roman" w:hAnsi="Times New Roman" w:cs="Times New Roman"/>
          <w:sz w:val="24"/>
          <w:szCs w:val="24"/>
          <w:lang w:eastAsia="en-IN"/>
        </w:rPr>
        <w:t>counseling</w:t>
      </w:r>
      <w:proofErr w:type="spellEnd"/>
      <w:r w:rsidRPr="008A0D57">
        <w:rPr>
          <w:rFonts w:ascii="Times New Roman" w:eastAsia="Times New Roman" w:hAnsi="Times New Roman" w:cs="Times New Roman"/>
          <w:sz w:val="24"/>
          <w:szCs w:val="24"/>
          <w:lang w:eastAsia="en-IN"/>
        </w:rPr>
        <w:t xml:space="preserve"> could reduce the likelihood of default and improve portfolio performance.</w:t>
      </w:r>
    </w:p>
    <w:p w:rsidR="008A0D57" w:rsidRPr="008A0D57" w:rsidRDefault="008A0D57" w:rsidP="008A0D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Income-Based Loan Adjustments:</w:t>
      </w:r>
      <w:r w:rsidRPr="008A0D57">
        <w:rPr>
          <w:rFonts w:ascii="Times New Roman" w:eastAsia="Times New Roman" w:hAnsi="Times New Roman" w:cs="Times New Roman"/>
          <w:sz w:val="24"/>
          <w:szCs w:val="24"/>
          <w:lang w:eastAsia="en-IN"/>
        </w:rPr>
        <w:t xml:space="preserve"> Borrowers in lower income brackets face higher APRs and greater risk of default. Lowering interest rates for this group or offering support programs to boost financial literacy could enhance their ability to repay loans.</w:t>
      </w:r>
    </w:p>
    <w:p w:rsidR="008A0D57" w:rsidRPr="008A0D57" w:rsidRDefault="008A0D57" w:rsidP="008A0D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Prosper Rating as a Key Risk Indicator:</w:t>
      </w:r>
      <w:r w:rsidRPr="008A0D57">
        <w:rPr>
          <w:rFonts w:ascii="Times New Roman" w:eastAsia="Times New Roman" w:hAnsi="Times New Roman" w:cs="Times New Roman"/>
          <w:sz w:val="24"/>
          <w:szCs w:val="24"/>
          <w:lang w:eastAsia="en-IN"/>
        </w:rPr>
        <w:t xml:space="preserve"> Since Prosper ratings strongly predict default rates, focusing lending efforts on borrowers with higher Prosper ratings can improve loan outcomes. For lower-rated borrowers, stricter lending criteria and risk assessments should be applied.</w:t>
      </w:r>
    </w:p>
    <w:p w:rsidR="008A0D57" w:rsidRPr="008A0D57" w:rsidRDefault="008A0D57" w:rsidP="008A0D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DTI Management:</w:t>
      </w:r>
      <w:r w:rsidRPr="008A0D57">
        <w:rPr>
          <w:rFonts w:ascii="Times New Roman" w:eastAsia="Times New Roman" w:hAnsi="Times New Roman" w:cs="Times New Roman"/>
          <w:sz w:val="24"/>
          <w:szCs w:val="24"/>
          <w:lang w:eastAsia="en-IN"/>
        </w:rPr>
        <w:t xml:space="preserve"> As borrowers with higher DTI ratios are more prone to default, institutions should prioritize offering debt management services to these individuals. Encouraging lower DTI ratios can enhance loan performance and reduce default rates.</w:t>
      </w:r>
    </w:p>
    <w:p w:rsidR="008A0D57" w:rsidRPr="008A0D57" w:rsidRDefault="008A0D57" w:rsidP="008A0D57">
      <w:pPr>
        <w:spacing w:after="0"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sz w:val="24"/>
          <w:szCs w:val="24"/>
          <w:lang w:eastAsia="en-IN"/>
        </w:rPr>
        <w:pict>
          <v:rect id="_x0000_i1032" style="width:0;height:1.5pt" o:hralign="center" o:hrstd="t" o:hr="t" fillcolor="#a0a0a0" stroked="f"/>
        </w:pict>
      </w:r>
    </w:p>
    <w:p w:rsidR="008A0D57" w:rsidRPr="008A0D57" w:rsidRDefault="008A0D57" w:rsidP="008A0D57">
      <w:pPr>
        <w:spacing w:before="100" w:beforeAutospacing="1" w:after="100" w:afterAutospacing="1" w:line="240" w:lineRule="auto"/>
        <w:rPr>
          <w:rFonts w:ascii="Times New Roman" w:eastAsia="Times New Roman" w:hAnsi="Times New Roman" w:cs="Times New Roman"/>
          <w:sz w:val="24"/>
          <w:szCs w:val="24"/>
          <w:lang w:eastAsia="en-IN"/>
        </w:rPr>
      </w:pPr>
      <w:r w:rsidRPr="008A0D57">
        <w:rPr>
          <w:rFonts w:ascii="Times New Roman" w:eastAsia="Times New Roman" w:hAnsi="Times New Roman" w:cs="Times New Roman"/>
          <w:b/>
          <w:bCs/>
          <w:sz w:val="24"/>
          <w:szCs w:val="24"/>
          <w:lang w:eastAsia="en-IN"/>
        </w:rPr>
        <w:t>Conclusion:</w:t>
      </w:r>
      <w:r w:rsidRPr="008A0D57">
        <w:rPr>
          <w:rFonts w:ascii="Times New Roman" w:eastAsia="Times New Roman" w:hAnsi="Times New Roman" w:cs="Times New Roman"/>
          <w:sz w:val="24"/>
          <w:szCs w:val="24"/>
          <w:lang w:eastAsia="en-IN"/>
        </w:rPr>
        <w:t xml:space="preserve"> The Borrower Risk Analysis dashboard provides valuable insights into the various factors that impact borrower default rates and APRs. Employment status, income range, Prosper ratings, and DTI ratios all contribute significantly to understanding borrower risk. By leveraging these insights, financial institutions can better manage their loan portfolios, reduce default risks, and offer more tailored support to different borrower segments. Through proactive intervention and strategic adjustments, stakeholders can ensure a balanced approach to risk and reward in their lending practices.</w:t>
      </w:r>
    </w:p>
    <w:p w:rsidR="008A0D57" w:rsidRPr="008A0D57" w:rsidRDefault="008A0D57" w:rsidP="008A0D57">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8A0D57">
        <w:rPr>
          <w:rFonts w:ascii="Arial" w:eastAsia="Times New Roman" w:hAnsi="Arial" w:cs="Arial"/>
          <w:vanish/>
          <w:sz w:val="16"/>
          <w:szCs w:val="16"/>
          <w:lang w:eastAsia="en-IN"/>
        </w:rPr>
        <w:t>Top of Form</w:t>
      </w:r>
    </w:p>
    <w:p w:rsidR="008A0D57" w:rsidRPr="008A0D57" w:rsidRDefault="008A0D57" w:rsidP="008A0D57">
      <w:pPr>
        <w:pBdr>
          <w:top w:val="single" w:sz="6" w:space="1" w:color="auto"/>
        </w:pBdr>
        <w:spacing w:after="0" w:line="240" w:lineRule="auto"/>
        <w:jc w:val="center"/>
        <w:rPr>
          <w:rFonts w:ascii="Arial" w:eastAsia="Times New Roman" w:hAnsi="Arial" w:cs="Arial"/>
          <w:vanish/>
          <w:sz w:val="16"/>
          <w:szCs w:val="16"/>
          <w:lang w:eastAsia="en-IN"/>
        </w:rPr>
      </w:pPr>
      <w:r w:rsidRPr="008A0D57">
        <w:rPr>
          <w:rFonts w:ascii="Arial" w:eastAsia="Times New Roman" w:hAnsi="Arial" w:cs="Arial"/>
          <w:vanish/>
          <w:sz w:val="16"/>
          <w:szCs w:val="16"/>
          <w:lang w:eastAsia="en-IN"/>
        </w:rPr>
        <w:t>Bottom of Form</w:t>
      </w:r>
    </w:p>
    <w:p w:rsidR="002E3658" w:rsidRPr="008A0D57" w:rsidRDefault="006627B5" w:rsidP="008A0D57"/>
    <w:sectPr w:rsidR="002E3658" w:rsidRPr="008A0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900"/>
    <w:multiLevelType w:val="multilevel"/>
    <w:tmpl w:val="F2822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86421"/>
    <w:multiLevelType w:val="multilevel"/>
    <w:tmpl w:val="169A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B5132"/>
    <w:multiLevelType w:val="multilevel"/>
    <w:tmpl w:val="676E6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B0104"/>
    <w:multiLevelType w:val="multilevel"/>
    <w:tmpl w:val="6AA01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F03C6"/>
    <w:multiLevelType w:val="multilevel"/>
    <w:tmpl w:val="E19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37504"/>
    <w:multiLevelType w:val="multilevel"/>
    <w:tmpl w:val="C1AE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1609D"/>
    <w:multiLevelType w:val="multilevel"/>
    <w:tmpl w:val="571C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B34EA"/>
    <w:multiLevelType w:val="multilevel"/>
    <w:tmpl w:val="8C86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D50F4"/>
    <w:multiLevelType w:val="multilevel"/>
    <w:tmpl w:val="AB68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3F"/>
    <w:rsid w:val="00201F3F"/>
    <w:rsid w:val="0053407A"/>
    <w:rsid w:val="006627B5"/>
    <w:rsid w:val="007B5B20"/>
    <w:rsid w:val="007E08CB"/>
    <w:rsid w:val="008A0D57"/>
    <w:rsid w:val="0097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D84894-DAE5-4939-A8DB-D174A6F7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1F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F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1F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01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1F3F"/>
    <w:rPr>
      <w:b/>
      <w:bCs/>
    </w:rPr>
  </w:style>
  <w:style w:type="character" w:customStyle="1" w:styleId="overflow-hidden">
    <w:name w:val="overflow-hidden"/>
    <w:basedOn w:val="DefaultParagraphFont"/>
    <w:rsid w:val="008A0D57"/>
  </w:style>
  <w:style w:type="paragraph" w:styleId="z-TopofForm">
    <w:name w:val="HTML Top of Form"/>
    <w:basedOn w:val="Normal"/>
    <w:next w:val="Normal"/>
    <w:link w:val="z-TopofFormChar"/>
    <w:hidden/>
    <w:uiPriority w:val="99"/>
    <w:semiHidden/>
    <w:unhideWhenUsed/>
    <w:rsid w:val="008A0D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A0D5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A0D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A0D5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14568">
      <w:bodyDiv w:val="1"/>
      <w:marLeft w:val="0"/>
      <w:marRight w:val="0"/>
      <w:marTop w:val="0"/>
      <w:marBottom w:val="0"/>
      <w:divBdr>
        <w:top w:val="none" w:sz="0" w:space="0" w:color="auto"/>
        <w:left w:val="none" w:sz="0" w:space="0" w:color="auto"/>
        <w:bottom w:val="none" w:sz="0" w:space="0" w:color="auto"/>
        <w:right w:val="none" w:sz="0" w:space="0" w:color="auto"/>
      </w:divBdr>
    </w:div>
    <w:div w:id="1582526896">
      <w:bodyDiv w:val="1"/>
      <w:marLeft w:val="0"/>
      <w:marRight w:val="0"/>
      <w:marTop w:val="0"/>
      <w:marBottom w:val="0"/>
      <w:divBdr>
        <w:top w:val="none" w:sz="0" w:space="0" w:color="auto"/>
        <w:left w:val="none" w:sz="0" w:space="0" w:color="auto"/>
        <w:bottom w:val="none" w:sz="0" w:space="0" w:color="auto"/>
        <w:right w:val="none" w:sz="0" w:space="0" w:color="auto"/>
      </w:divBdr>
      <w:divsChild>
        <w:div w:id="1414088215">
          <w:marLeft w:val="0"/>
          <w:marRight w:val="0"/>
          <w:marTop w:val="0"/>
          <w:marBottom w:val="0"/>
          <w:divBdr>
            <w:top w:val="none" w:sz="0" w:space="0" w:color="auto"/>
            <w:left w:val="none" w:sz="0" w:space="0" w:color="auto"/>
            <w:bottom w:val="none" w:sz="0" w:space="0" w:color="auto"/>
            <w:right w:val="none" w:sz="0" w:space="0" w:color="auto"/>
          </w:divBdr>
          <w:divsChild>
            <w:div w:id="2032023775">
              <w:marLeft w:val="0"/>
              <w:marRight w:val="0"/>
              <w:marTop w:val="0"/>
              <w:marBottom w:val="0"/>
              <w:divBdr>
                <w:top w:val="none" w:sz="0" w:space="0" w:color="auto"/>
                <w:left w:val="none" w:sz="0" w:space="0" w:color="auto"/>
                <w:bottom w:val="none" w:sz="0" w:space="0" w:color="auto"/>
                <w:right w:val="none" w:sz="0" w:space="0" w:color="auto"/>
              </w:divBdr>
              <w:divsChild>
                <w:div w:id="1183937701">
                  <w:marLeft w:val="0"/>
                  <w:marRight w:val="0"/>
                  <w:marTop w:val="0"/>
                  <w:marBottom w:val="0"/>
                  <w:divBdr>
                    <w:top w:val="none" w:sz="0" w:space="0" w:color="auto"/>
                    <w:left w:val="none" w:sz="0" w:space="0" w:color="auto"/>
                    <w:bottom w:val="none" w:sz="0" w:space="0" w:color="auto"/>
                    <w:right w:val="none" w:sz="0" w:space="0" w:color="auto"/>
                  </w:divBdr>
                  <w:divsChild>
                    <w:div w:id="1415325320">
                      <w:marLeft w:val="0"/>
                      <w:marRight w:val="0"/>
                      <w:marTop w:val="0"/>
                      <w:marBottom w:val="0"/>
                      <w:divBdr>
                        <w:top w:val="none" w:sz="0" w:space="0" w:color="auto"/>
                        <w:left w:val="none" w:sz="0" w:space="0" w:color="auto"/>
                        <w:bottom w:val="none" w:sz="0" w:space="0" w:color="auto"/>
                        <w:right w:val="none" w:sz="0" w:space="0" w:color="auto"/>
                      </w:divBdr>
                      <w:divsChild>
                        <w:div w:id="1701392643">
                          <w:marLeft w:val="0"/>
                          <w:marRight w:val="0"/>
                          <w:marTop w:val="0"/>
                          <w:marBottom w:val="0"/>
                          <w:divBdr>
                            <w:top w:val="none" w:sz="0" w:space="0" w:color="auto"/>
                            <w:left w:val="none" w:sz="0" w:space="0" w:color="auto"/>
                            <w:bottom w:val="none" w:sz="0" w:space="0" w:color="auto"/>
                            <w:right w:val="none" w:sz="0" w:space="0" w:color="auto"/>
                          </w:divBdr>
                          <w:divsChild>
                            <w:div w:id="764495849">
                              <w:marLeft w:val="0"/>
                              <w:marRight w:val="0"/>
                              <w:marTop w:val="0"/>
                              <w:marBottom w:val="0"/>
                              <w:divBdr>
                                <w:top w:val="none" w:sz="0" w:space="0" w:color="auto"/>
                                <w:left w:val="none" w:sz="0" w:space="0" w:color="auto"/>
                                <w:bottom w:val="none" w:sz="0" w:space="0" w:color="auto"/>
                                <w:right w:val="none" w:sz="0" w:space="0" w:color="auto"/>
                              </w:divBdr>
                              <w:divsChild>
                                <w:div w:id="1447964603">
                                  <w:marLeft w:val="0"/>
                                  <w:marRight w:val="0"/>
                                  <w:marTop w:val="0"/>
                                  <w:marBottom w:val="0"/>
                                  <w:divBdr>
                                    <w:top w:val="none" w:sz="0" w:space="0" w:color="auto"/>
                                    <w:left w:val="none" w:sz="0" w:space="0" w:color="auto"/>
                                    <w:bottom w:val="none" w:sz="0" w:space="0" w:color="auto"/>
                                    <w:right w:val="none" w:sz="0" w:space="0" w:color="auto"/>
                                  </w:divBdr>
                                  <w:divsChild>
                                    <w:div w:id="238754620">
                                      <w:marLeft w:val="0"/>
                                      <w:marRight w:val="0"/>
                                      <w:marTop w:val="0"/>
                                      <w:marBottom w:val="0"/>
                                      <w:divBdr>
                                        <w:top w:val="none" w:sz="0" w:space="0" w:color="auto"/>
                                        <w:left w:val="none" w:sz="0" w:space="0" w:color="auto"/>
                                        <w:bottom w:val="none" w:sz="0" w:space="0" w:color="auto"/>
                                        <w:right w:val="none" w:sz="0" w:space="0" w:color="auto"/>
                                      </w:divBdr>
                                      <w:divsChild>
                                        <w:div w:id="1181553942">
                                          <w:marLeft w:val="0"/>
                                          <w:marRight w:val="0"/>
                                          <w:marTop w:val="0"/>
                                          <w:marBottom w:val="0"/>
                                          <w:divBdr>
                                            <w:top w:val="none" w:sz="0" w:space="0" w:color="auto"/>
                                            <w:left w:val="none" w:sz="0" w:space="0" w:color="auto"/>
                                            <w:bottom w:val="none" w:sz="0" w:space="0" w:color="auto"/>
                                            <w:right w:val="none" w:sz="0" w:space="0" w:color="auto"/>
                                          </w:divBdr>
                                          <w:divsChild>
                                            <w:div w:id="2125923147">
                                              <w:marLeft w:val="0"/>
                                              <w:marRight w:val="0"/>
                                              <w:marTop w:val="0"/>
                                              <w:marBottom w:val="0"/>
                                              <w:divBdr>
                                                <w:top w:val="none" w:sz="0" w:space="0" w:color="auto"/>
                                                <w:left w:val="none" w:sz="0" w:space="0" w:color="auto"/>
                                                <w:bottom w:val="none" w:sz="0" w:space="0" w:color="auto"/>
                                                <w:right w:val="none" w:sz="0" w:space="0" w:color="auto"/>
                                              </w:divBdr>
                                              <w:divsChild>
                                                <w:div w:id="2064136199">
                                                  <w:marLeft w:val="0"/>
                                                  <w:marRight w:val="0"/>
                                                  <w:marTop w:val="0"/>
                                                  <w:marBottom w:val="0"/>
                                                  <w:divBdr>
                                                    <w:top w:val="none" w:sz="0" w:space="0" w:color="auto"/>
                                                    <w:left w:val="none" w:sz="0" w:space="0" w:color="auto"/>
                                                    <w:bottom w:val="none" w:sz="0" w:space="0" w:color="auto"/>
                                                    <w:right w:val="none" w:sz="0" w:space="0" w:color="auto"/>
                                                  </w:divBdr>
                                                  <w:divsChild>
                                                    <w:div w:id="616572267">
                                                      <w:marLeft w:val="0"/>
                                                      <w:marRight w:val="0"/>
                                                      <w:marTop w:val="0"/>
                                                      <w:marBottom w:val="0"/>
                                                      <w:divBdr>
                                                        <w:top w:val="none" w:sz="0" w:space="0" w:color="auto"/>
                                                        <w:left w:val="none" w:sz="0" w:space="0" w:color="auto"/>
                                                        <w:bottom w:val="none" w:sz="0" w:space="0" w:color="auto"/>
                                                        <w:right w:val="none" w:sz="0" w:space="0" w:color="auto"/>
                                                      </w:divBdr>
                                                      <w:divsChild>
                                                        <w:div w:id="1048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6128">
                                              <w:marLeft w:val="0"/>
                                              <w:marRight w:val="0"/>
                                              <w:marTop w:val="0"/>
                                              <w:marBottom w:val="0"/>
                                              <w:divBdr>
                                                <w:top w:val="none" w:sz="0" w:space="0" w:color="auto"/>
                                                <w:left w:val="none" w:sz="0" w:space="0" w:color="auto"/>
                                                <w:bottom w:val="none" w:sz="0" w:space="0" w:color="auto"/>
                                                <w:right w:val="none" w:sz="0" w:space="0" w:color="auto"/>
                                              </w:divBdr>
                                              <w:divsChild>
                                                <w:div w:id="1841457035">
                                                  <w:marLeft w:val="0"/>
                                                  <w:marRight w:val="0"/>
                                                  <w:marTop w:val="0"/>
                                                  <w:marBottom w:val="0"/>
                                                  <w:divBdr>
                                                    <w:top w:val="none" w:sz="0" w:space="0" w:color="auto"/>
                                                    <w:left w:val="none" w:sz="0" w:space="0" w:color="auto"/>
                                                    <w:bottom w:val="none" w:sz="0" w:space="0" w:color="auto"/>
                                                    <w:right w:val="none" w:sz="0" w:space="0" w:color="auto"/>
                                                  </w:divBdr>
                                                  <w:divsChild>
                                                    <w:div w:id="1957984708">
                                                      <w:marLeft w:val="0"/>
                                                      <w:marRight w:val="0"/>
                                                      <w:marTop w:val="0"/>
                                                      <w:marBottom w:val="0"/>
                                                      <w:divBdr>
                                                        <w:top w:val="none" w:sz="0" w:space="0" w:color="auto"/>
                                                        <w:left w:val="none" w:sz="0" w:space="0" w:color="auto"/>
                                                        <w:bottom w:val="none" w:sz="0" w:space="0" w:color="auto"/>
                                                        <w:right w:val="none" w:sz="0" w:space="0" w:color="auto"/>
                                                      </w:divBdr>
                                                      <w:divsChild>
                                                        <w:div w:id="1412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92663">
          <w:marLeft w:val="0"/>
          <w:marRight w:val="0"/>
          <w:marTop w:val="0"/>
          <w:marBottom w:val="0"/>
          <w:divBdr>
            <w:top w:val="none" w:sz="0" w:space="0" w:color="auto"/>
            <w:left w:val="none" w:sz="0" w:space="0" w:color="auto"/>
            <w:bottom w:val="none" w:sz="0" w:space="0" w:color="auto"/>
            <w:right w:val="none" w:sz="0" w:space="0" w:color="auto"/>
          </w:divBdr>
          <w:divsChild>
            <w:div w:id="718478665">
              <w:marLeft w:val="0"/>
              <w:marRight w:val="0"/>
              <w:marTop w:val="0"/>
              <w:marBottom w:val="0"/>
              <w:divBdr>
                <w:top w:val="none" w:sz="0" w:space="0" w:color="auto"/>
                <w:left w:val="none" w:sz="0" w:space="0" w:color="auto"/>
                <w:bottom w:val="none" w:sz="0" w:space="0" w:color="auto"/>
                <w:right w:val="none" w:sz="0" w:space="0" w:color="auto"/>
              </w:divBdr>
              <w:divsChild>
                <w:div w:id="1162741605">
                  <w:marLeft w:val="0"/>
                  <w:marRight w:val="0"/>
                  <w:marTop w:val="0"/>
                  <w:marBottom w:val="0"/>
                  <w:divBdr>
                    <w:top w:val="none" w:sz="0" w:space="0" w:color="auto"/>
                    <w:left w:val="none" w:sz="0" w:space="0" w:color="auto"/>
                    <w:bottom w:val="none" w:sz="0" w:space="0" w:color="auto"/>
                    <w:right w:val="none" w:sz="0" w:space="0" w:color="auto"/>
                  </w:divBdr>
                  <w:divsChild>
                    <w:div w:id="17976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5030</Characters>
  <Application>Microsoft Office Word</Application>
  <DocSecurity>0</DocSecurity>
  <Lines>114</Lines>
  <Paragraphs>39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Key Insights and Metrics:</vt:lpstr>
      <vt:lpstr>        2. Default Rate by Employment Status:</vt:lpstr>
      <vt:lpstr>        3. Average Borrower APR by Income Range:</vt:lpstr>
      <vt:lpstr>        4. Default Rate by Prosper Rating (Alpha):</vt:lpstr>
      <vt:lpstr>        5. Default Rate by Debt-to-Income Ratio (DTI):</vt:lpstr>
      <vt:lpstr>        6. Sum of Borrower APR by Income Range:</vt:lpstr>
      <vt:lpstr>        </vt:lpstr>
      <vt:lpstr>        Interpretation and Strategic Recommendations:</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2024-09-11T16:51:00Z</dcterms:created>
  <dcterms:modified xsi:type="dcterms:W3CDTF">2024-09-11T16:51:00Z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90eea081-67c8-4bdc-9fe7-beb6eb1a0f56</vt:lpwstr>
  </property>
</Properties>
</file>