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color w:val="0f1114"/>
          <w:sz w:val="24"/>
          <w:szCs w:val="24"/>
        </w:rPr>
      </w:pPr>
      <w:r w:rsidDel="00000000" w:rsidR="00000000" w:rsidRPr="00000000">
        <w:rPr>
          <w:color w:val="0f1114"/>
          <w:sz w:val="24"/>
          <w:szCs w:val="24"/>
          <w:rtl w:val="0"/>
        </w:rPr>
        <w:t xml:space="preserve">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rsidR="00000000" w:rsidDel="00000000" w:rsidP="00000000" w:rsidRDefault="00000000" w:rsidRPr="00000000" w14:paraId="00000002">
      <w:pPr>
        <w:shd w:fill="ffffff" w:val="clear"/>
        <w:jc w:val="both"/>
        <w:rPr>
          <w:color w:val="0f1114"/>
          <w:sz w:val="24"/>
          <w:szCs w:val="24"/>
        </w:rPr>
      </w:pPr>
      <w:r w:rsidDel="00000000" w:rsidR="00000000" w:rsidRPr="00000000">
        <w:rPr>
          <w:color w:val="0f1114"/>
          <w:sz w:val="24"/>
          <w:szCs w:val="24"/>
          <w:rtl w:val="0"/>
        </w:rPr>
        <w:t xml:space="preserve">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rsidR="00000000" w:rsidDel="00000000" w:rsidP="00000000" w:rsidRDefault="00000000" w:rsidRPr="00000000" w14:paraId="00000003">
      <w:pPr>
        <w:shd w:fill="ffffff" w:val="clear"/>
        <w:jc w:val="both"/>
        <w:rPr>
          <w:color w:val="0f1114"/>
          <w:sz w:val="24"/>
          <w:szCs w:val="24"/>
        </w:rPr>
      </w:pPr>
      <w:r w:rsidDel="00000000" w:rsidR="00000000" w:rsidRPr="00000000">
        <w:rPr>
          <w:color w:val="0f1114"/>
          <w:sz w:val="24"/>
          <w:szCs w:val="24"/>
          <w:rtl w:val="0"/>
        </w:rPr>
        <w:t xml:space="preserve">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rsidR="00000000" w:rsidDel="00000000" w:rsidP="00000000" w:rsidRDefault="00000000" w:rsidRPr="00000000" w14:paraId="00000004">
      <w:pPr>
        <w:shd w:fill="ffffff" w:val="clear"/>
        <w:jc w:val="both"/>
        <w:rPr>
          <w:color w:val="0f1114"/>
          <w:sz w:val="24"/>
          <w:szCs w:val="24"/>
        </w:rPr>
      </w:pPr>
      <w:r w:rsidDel="00000000" w:rsidR="00000000" w:rsidRPr="00000000">
        <w:rPr>
          <w:color w:val="0f1114"/>
          <w:sz w:val="24"/>
          <w:szCs w:val="24"/>
          <w:rtl w:val="0"/>
        </w:rPr>
        <w:t xml:space="preserve">Your task is to review the IT manager’s scope, goals, and risk assessment report. Then, perform an internal audit by completing a controls and compliance checklist. </w:t>
      </w:r>
    </w:p>
    <w:p w:rsidR="00000000" w:rsidDel="00000000" w:rsidP="00000000" w:rsidRDefault="00000000" w:rsidRPr="00000000" w14:paraId="00000005">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