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AI Verification &amp; Quality Audit Report</w:t>
      </w:r>
    </w:p>
    <w:p>
      <w:pPr>
        <w:pStyle w:val="Heading2"/>
      </w:pPr>
      <w:r>
        <w:t>Verification Summary</w:t>
      </w:r>
    </w:p>
    <w:p>
      <w:r>
        <w:t>All AI-generated outputs were cross-verified against IEEE 29148 rules.</w:t>
      </w:r>
    </w:p>
    <w:p>
      <w:pPr>
        <w:pStyle w:val="Heading2"/>
      </w:pPr>
      <w:r>
        <w:t>Hallucination Audit Results</w:t>
      </w:r>
    </w:p>
    <w:p>
      <w:r>
        <w:t>Zero unrequested features retained. All non-standard AI suggestions were tagged or removed.</w:t>
      </w:r>
    </w:p>
    <w:p>
      <w:pPr>
        <w:pStyle w:val="Heading2"/>
      </w:pPr>
      <w:r>
        <w:t>Compliance Check</w:t>
      </w:r>
    </w:p>
    <w:p>
      <w:r>
        <w:t>100% requirements use unambiguous 'shall' terminology and possess mapped test cases.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