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SRS Quality Checklist</w:t>
      </w:r>
    </w:p>
    <w:p>
      <w:pPr>
        <w:pStyle w:val="Heading2"/>
      </w:pPr>
      <w:r>
        <w:t>Checklist Items</w:t>
      </w:r>
    </w:p>
    <w:p>
      <w:r>
        <w:t>[X] Requirement IDs are unique.</w:t>
        <w:br/>
        <w:t>[X] IEEE 'shall' statements used.</w:t>
        <w:br/>
        <w:t>[X] Every requirement mapped to a Test Case ID.</w:t>
        <w:br/>
        <w:t>[X] Hallucinated features purged.</w:t>
        <w:br/>
        <w:t>[X] Stakeholder interview matched.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