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Requirements Engineering Quiz &amp; Answer Key</w:t>
      </w:r>
    </w:p>
    <w:p>
      <w:pPr>
        <w:pStyle w:val="Heading2"/>
      </w:pPr>
      <w:r>
        <w:t>Q1: Primary objective of IEEE 29148?</w:t>
      </w:r>
    </w:p>
    <w:p>
      <w:r>
        <w:t>Ans: Standard practices for software requirements specifications.</w:t>
      </w:r>
    </w:p>
    <w:p>
      <w:pPr>
        <w:pStyle w:val="Heading2"/>
      </w:pPr>
      <w:r>
        <w:t>Q2: What is an AI Hallucination in SRS?</w:t>
      </w:r>
    </w:p>
    <w:p>
      <w:r>
        <w:t>Ans: Unrequested or unfeasible features generated by AI.</w:t>
      </w:r>
    </w:p>
    <w:p>
      <w:pPr>
        <w:pStyle w:val="Heading2"/>
      </w:pPr>
      <w:r>
        <w:t>Q3: Purpose of RTM?</w:t>
      </w:r>
    </w:p>
    <w:p>
      <w:r>
        <w:t>Ans: To map functional requirements to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