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  <w:jc w:val="center"/>
      </w:pPr>
      <w:r>
        <w:rPr>
          <w:rFonts w:ascii="Sylfaen" w:cs="Sylfaen" w:eastAsia="Sylfaen" w:hAnsi="Sylfaen"/>
          <w:b/>
          <w:bCs/>
          <w:color w:val="1F3864"/>
          <w:sz w:val="36"/>
          <w:szCs w:val="36"/>
        </w:rPr>
        <w:t xml:space="preserve">ՆԱԽԱԳԻԾ — Կանոնակարգ 3/[__]</w:t>
      </w:r>
    </w:p>
    <w:p>
      <w:pPr>
        <w:pStyle w:val="Heading1"/>
        <w:spacing w:after="120" w:before="200"/>
        <w:jc w:val="center"/>
      </w:pPr>
      <w:r>
        <w:rPr>
          <w:rFonts w:ascii="Sylfaen" w:cs="Sylfaen" w:eastAsia="Sylfaen" w:hAnsi="Sylfaen"/>
          <w:b/>
          <w:bCs/>
          <w:color w:val="1F3864"/>
          <w:sz w:val="28"/>
          <w:szCs w:val="28"/>
        </w:rPr>
        <w:t xml:space="preserve">«Ապահովագրական ընկերությունների կողմից միջադեպերի մասին հաշվետվությունների ներկայացման կարգը»</w:t>
      </w:r>
    </w:p>
    <w:p>
      <w:pPr>
        <w:pBdr>
          <w:left w:val="single" w:color="B54708" w:sz="18" w:space="8"/>
        </w:pBdr>
        <w:shd w:fill="F2F4F7" w:val="clear"/>
        <w:spacing w:after="140"/>
      </w:pPr>
      <w:r>
        <w:rPr>
          <w:rFonts w:ascii="Sylfaen" w:cs="Sylfaen" w:eastAsia="Sylfaen" w:hAnsi="Sylfaen"/>
          <w:b/>
          <w:bCs/>
          <w:color w:val="475467"/>
          <w:sz w:val="19"/>
          <w:szCs w:val="19"/>
        </w:rPr>
        <w:t xml:space="preserve">Կազմողի ծանուցում (ոչ նորմատիվ).</w:t>
      </w:r>
      <w:r>
        <w:rPr>
          <w:rFonts w:ascii="Sylfaen" w:cs="Sylfaen" w:eastAsia="Sylfaen" w:hAnsi="Sylfaen"/>
          <w:color w:val="475467"/>
          <w:sz w:val="19"/>
          <w:szCs w:val="19"/>
        </w:rPr>
        <w:t xml:space="preserve"> Սա </w:t>
      </w:r>
      <w:r>
        <w:rPr>
          <w:rFonts w:ascii="Sylfaen" w:cs="Sylfaen" w:eastAsia="Sylfaen" w:hAnsi="Sylfaen"/>
          <w:b/>
          <w:bCs/>
          <w:color w:val="475467"/>
          <w:sz w:val="19"/>
          <w:szCs w:val="19"/>
        </w:rPr>
        <w:t xml:space="preserve">նախագիծ</w:t>
      </w:r>
      <w:r>
        <w:rPr>
          <w:rFonts w:ascii="Sylfaen" w:cs="Sylfaen" w:eastAsia="Sylfaen" w:hAnsi="Sylfaen"/>
          <w:color w:val="475467"/>
          <w:sz w:val="19"/>
          <w:szCs w:val="19"/>
        </w:rPr>
        <w:t xml:space="preserve"> է՝ քննարկման համար, և չի հանդիսանում ՀՀ Կենտրոնական բանկի ընդունած գործող իրավական ակտ։ Ձևն ու իրավական հիմքը հիմնված են </w:t>
      </w:r>
      <w:r>
        <w:rPr>
          <w:rFonts w:ascii="Sylfaen" w:cs="Sylfaen" w:eastAsia="Sylfaen" w:hAnsi="Sylfaen"/>
          <w:i/>
          <w:iCs/>
          <w:color w:val="B54708"/>
          <w:sz w:val="19"/>
          <w:szCs w:val="19"/>
        </w:rPr>
        <w:t xml:space="preserve">WRB-004</w:t>
      </w:r>
      <w:r>
        <w:rPr>
          <w:rFonts w:ascii="Sylfaen" w:cs="Sylfaen" w:eastAsia="Sylfaen" w:hAnsi="Sylfaen"/>
          <w:color w:val="475467"/>
          <w:sz w:val="19"/>
          <w:szCs w:val="19"/>
        </w:rPr>
        <w:t xml:space="preserve"> հետազոտության վրա, բովանդակությունը՝ </w:t>
      </w:r>
      <w:r>
        <w:rPr>
          <w:rFonts w:ascii="Sylfaen" w:cs="Sylfaen" w:eastAsia="Sylfaen" w:hAnsi="Sylfaen"/>
          <w:i/>
          <w:iCs/>
          <w:color w:val="B54708"/>
          <w:sz w:val="19"/>
          <w:szCs w:val="19"/>
        </w:rPr>
        <w:t xml:space="preserve">WRB-003</w:t>
      </w:r>
      <w:r>
        <w:rPr>
          <w:rFonts w:ascii="Sylfaen" w:cs="Sylfaen" w:eastAsia="Sylfaen" w:hAnsi="Sylfaen"/>
          <w:color w:val="475467"/>
          <w:sz w:val="19"/>
          <w:szCs w:val="19"/>
        </w:rPr>
        <w:t xml:space="preserve">-ի (միջազգային պրակտիկա՝ FSB FIRE, EU DORA, IAIS, NAIC, Մեծ Բրիտանիա)։ Բոլոր քառակուսի փակագծերում </w:t>
      </w:r>
      <w:r>
        <w:rPr>
          <w:rFonts w:ascii="Sylfaen" w:cs="Sylfaen" w:eastAsia="Sylfaen" w:hAnsi="Sylfaen"/>
          <w:i/>
          <w:iCs/>
          <w:color w:val="B54708"/>
          <w:sz w:val="19"/>
          <w:szCs w:val="19"/>
        </w:rPr>
        <w:t xml:space="preserve">[…]</w:t>
      </w:r>
      <w:r>
        <w:rPr>
          <w:rFonts w:ascii="Sylfaen" w:cs="Sylfaen" w:eastAsia="Sylfaen" w:hAnsi="Sylfaen"/>
          <w:color w:val="475467"/>
          <w:sz w:val="19"/>
          <w:szCs w:val="19"/>
        </w:rPr>
        <w:t xml:space="preserve"> ներկայացված արժեքները (հոդվածների համարներ, ժամկետներ, շեմեր, կանոնակարգի/որոշման համարներ) </w:t>
      </w:r>
      <w:r>
        <w:rPr>
          <w:rFonts w:ascii="Sylfaen" w:cs="Sylfaen" w:eastAsia="Sylfaen" w:hAnsi="Sylfaen"/>
          <w:b/>
          <w:bCs/>
          <w:color w:val="475467"/>
          <w:sz w:val="19"/>
          <w:szCs w:val="19"/>
        </w:rPr>
        <w:t xml:space="preserve">լրացման ենթակա տեղապահներ</w:t>
      </w:r>
      <w:r>
        <w:rPr>
          <w:rFonts w:ascii="Sylfaen" w:cs="Sylfaen" w:eastAsia="Sylfaen" w:hAnsi="Sylfaen"/>
          <w:color w:val="475467"/>
          <w:sz w:val="19"/>
          <w:szCs w:val="19"/>
        </w:rPr>
        <w:t xml:space="preserve"> են, որոնք պետք է ճշտվեն ՀՀ ԿԲ-ի/arlis.am-ի սկզբնաղբյուր տեքստի հիման վրա նախքան ցանկացած պաշտոնական օգտագործումը։ Ժամկետներն ու շեմերը վերցված են միջազգային լավագույն պրակտիկայից՝ որպես առաջարկվող մեծություններ։</w:t>
      </w:r>
    </w:p>
    <w:p>
      <w:pPr>
        <w:pStyle w:val="Heading1"/>
        <w:spacing w:after="120" w:before="200"/>
        <w:jc w:val="center"/>
      </w:pPr>
      <w:r>
        <w:rPr>
          <w:rFonts w:ascii="Sylfaen" w:cs="Sylfaen" w:eastAsia="Sylfaen" w:hAnsi="Sylfaen"/>
          <w:b/>
          <w:bCs/>
          <w:color w:val="1F3864"/>
          <w:sz w:val="28"/>
          <w:szCs w:val="28"/>
        </w:rPr>
        <w:t xml:space="preserve">ՀՀ ԿԵՆՏՐՈՆԱԿԱՆ ԲԱՆԿԻ ԽՈՐՀՐԴԻ ՈՐՈՇՈՒՄ [թիվ __-Ն]</w:t>
      </w:r>
    </w:p>
    <w:p>
      <w:pPr>
        <w:spacing w:after="80"/>
      </w:pPr>
      <w:r>
        <w:rPr>
          <w:rFonts w:ascii="Sylfaen" w:cs="Sylfaen" w:eastAsia="Sylfaen" w:hAnsi="Sylfaen"/>
          <w:b/>
          <w:bCs/>
          <w:sz w:val="22"/>
          <w:szCs w:val="22"/>
        </w:rPr>
        <w:t xml:space="preserve">«Ապահովագրական ընկերությունների կողմից միջադեպերի մասին հաշվետվությունների ներկայացման կարգը» կանոնակարգ 3/[__]-ը հաստատելու մասին</w:t>
      </w:r>
    </w:p>
    <w:p>
      <w:pPr>
        <w:spacing w:after="80"/>
      </w:pPr>
      <w:r>
        <w:rPr>
          <w:rFonts w:ascii="Sylfaen" w:cs="Sylfaen" w:eastAsia="Sylfaen" w:hAnsi="Sylfaen"/>
          <w:sz w:val="22"/>
          <w:szCs w:val="22"/>
        </w:rPr>
        <w:t xml:space="preserve">Հիմք ընդունելով «Ապահովագրության և ապահովագրական գործունեության մասին» ՀՀ օրենքի [հոդված __]-ը (որով Կենտրոնական բանկը լիազորված մարմին է՝ ապահովագրողներից սահմանված ձևերի հաշվետվություններ ստանալու և դրանց ներկայացման կարգ սահմանելու համար) և ղեկավարվելով «Հայաստանի Հանրապետության կենտրոնական բանկի մասին» ՀՀ օրենքի [հոդված __]-ով՝ Հայաստանի Հանրապետության կենտրոնական բանկի խորհուրդը </w:t>
      </w:r>
      <w:r>
        <w:rPr>
          <w:rFonts w:ascii="Sylfaen" w:cs="Sylfaen" w:eastAsia="Sylfaen" w:hAnsi="Sylfaen"/>
          <w:b/>
          <w:bCs/>
          <w:sz w:val="22"/>
          <w:szCs w:val="22"/>
        </w:rPr>
        <w:t xml:space="preserve">որոշում է.</w:t>
      </w:r>
    </w:p>
    <w:p>
      <w:pPr>
        <w:spacing w:after="80"/>
      </w:pPr>
      <w:r>
        <w:rPr>
          <w:rFonts w:ascii="Sylfaen" w:cs="Sylfaen" w:eastAsia="Sylfaen" w:hAnsi="Sylfaen"/>
          <w:sz w:val="22"/>
          <w:szCs w:val="22"/>
        </w:rPr>
        <w:t xml:space="preserve">1. Հաստատել «Ապահովագրական ընկերությունների կողմից միջադեպերի մասին հաշվետվությունների ներկայացման կարգը» կանոնակարգ 3/[__]-ը՝ համաձայն սույն որոշման հավելվածի։</w:t>
      </w:r>
    </w:p>
    <w:p>
      <w:pPr>
        <w:spacing w:after="80"/>
      </w:pPr>
      <w:r>
        <w:rPr>
          <w:rFonts w:ascii="Sylfaen" w:cs="Sylfaen" w:eastAsia="Sylfaen" w:hAnsi="Sylfaen"/>
          <w:sz w:val="22"/>
          <w:szCs w:val="22"/>
        </w:rPr>
        <w:t xml:space="preserve">2. Սույն որոշումն ուժի մեջ է մտնում պաշտոնական հրապարակման օրվան հաջորդող [տասներորդ] օրը </w:t>
      </w:r>
      <w:r>
        <w:rPr>
          <w:rFonts w:ascii="Sylfaen" w:cs="Sylfaen" w:eastAsia="Sylfaen" w:hAnsi="Sylfaen"/>
          <w:i/>
          <w:iCs/>
          <w:color w:val="B54708"/>
          <w:sz w:val="22"/>
          <w:szCs w:val="22"/>
        </w:rPr>
        <w:t xml:space="preserve">[նախագծային — ճշտել]</w:t>
      </w:r>
      <w:r>
        <w:rPr>
          <w:rFonts w:ascii="Sylfaen" w:cs="Sylfaen" w:eastAsia="Sylfaen" w:hAnsi="Sylfaen"/>
          <w:sz w:val="22"/>
          <w:szCs w:val="22"/>
        </w:rPr>
        <w:t xml:space="preserve">։</w:t>
      </w:r>
    </w:p>
    <w:p>
      <w:pPr>
        <w:spacing w:after="120" w:before="120"/>
        <w:jc w:val="center"/>
      </w:pPr>
      <w:r>
        <w:rPr>
          <w:rFonts w:ascii="Sylfaen" w:cs="Sylfaen" w:eastAsia="Sylfaen" w:hAnsi="Sylfaen"/>
          <w:b/>
          <w:bCs/>
          <w:color w:val="1F3864"/>
          <w:sz w:val="36"/>
          <w:szCs w:val="36"/>
        </w:rPr>
        <w:t xml:space="preserve">ՀԱՎԵԼՎԱԾ — Կանոնակարգ 3/[__]</w:t>
      </w:r>
    </w:p>
    <w:p>
      <w:pPr>
        <w:pStyle w:val="Heading1"/>
        <w:spacing w:after="120" w:before="200"/>
        <w:jc w:val="center"/>
      </w:pPr>
      <w:r>
        <w:rPr>
          <w:rFonts w:ascii="Sylfaen" w:cs="Sylfaen" w:eastAsia="Sylfaen" w:hAnsi="Sylfaen"/>
          <w:b/>
          <w:bCs/>
          <w:color w:val="1F3864"/>
          <w:sz w:val="28"/>
          <w:szCs w:val="28"/>
        </w:rPr>
        <w:t xml:space="preserve">Ապահովագրական ընկերությունների կողմից միջադեպերի մասին հաշվետվությունների ներկայացման կարգը</w:t>
      </w:r>
    </w:p>
    <w:p>
      <w:pPr>
        <w:pStyle w:val="Heading2"/>
        <w:spacing w:after="100" w:before="220"/>
      </w:pPr>
      <w:r>
        <w:rPr>
          <w:rFonts w:ascii="Sylfaen" w:cs="Sylfaen" w:eastAsia="Sylfaen" w:hAnsi="Sylfaen"/>
          <w:b/>
          <w:bCs/>
          <w:color w:val="2E5496"/>
          <w:sz w:val="25"/>
          <w:szCs w:val="25"/>
        </w:rPr>
        <w:t xml:space="preserve">Գլուխ 1. Ընդհանուր դրույթներ</w:t>
      </w:r>
    </w:p>
    <w:p>
      <w:pPr>
        <w:spacing w:after="80"/>
      </w:pPr>
      <w:r>
        <w:rPr>
          <w:rFonts w:ascii="Sylfaen" w:cs="Sylfaen" w:eastAsia="Sylfaen" w:hAnsi="Sylfaen"/>
          <w:sz w:val="22"/>
          <w:szCs w:val="22"/>
        </w:rPr>
        <w:t xml:space="preserve">1. Սույն կանոնակարգը սահմանում է Հայաստանի Հանրապետությունում գործող ապահովագրական և վերաապահովագրական ընկերությունների (այսուհետ՝ Ընկերություն) կողմից տեղեկատվական և հաղորդակցական տեխնոլոգիաների (այսուհետ՝ ՏՀՏ) հետ կապված, կիբեռ և գործառնական միջադեպերի մասին Հայաստանի Հանրապետության կենտրոնական բանկ (այսուհետ՝ Կենտրոնական բանկ) ներկայացվող հաշվետվությունների տեսակները, ձևերը, դրանցում ներառվող տվյալները, ներկայացնելու ընդհանուր պայմանները, կարգը և ժամկետները։</w:t>
      </w:r>
    </w:p>
    <w:p>
      <w:pPr>
        <w:spacing w:after="80"/>
      </w:pPr>
      <w:r>
        <w:rPr>
          <w:rFonts w:ascii="Sylfaen" w:cs="Sylfaen" w:eastAsia="Sylfaen" w:hAnsi="Sylfaen"/>
          <w:sz w:val="22"/>
          <w:szCs w:val="22"/>
        </w:rPr>
        <w:t xml:space="preserve">2. </w:t>
      </w:r>
      <w:r>
        <w:rPr>
          <w:rFonts w:ascii="Sylfaen" w:cs="Sylfaen" w:eastAsia="Sylfaen" w:hAnsi="Sylfaen"/>
          <w:b/>
          <w:bCs/>
          <w:sz w:val="22"/>
          <w:szCs w:val="22"/>
        </w:rPr>
        <w:t xml:space="preserve">Կանոնակարգի նպատակը</w:t>
      </w:r>
      <w:r>
        <w:rPr>
          <w:rFonts w:ascii="Sylfaen" w:cs="Sylfaen" w:eastAsia="Sylfaen" w:hAnsi="Sylfaen"/>
          <w:sz w:val="22"/>
          <w:szCs w:val="22"/>
        </w:rPr>
        <w:t xml:space="preserve"> ապահովագրական համակարգի գործառնական կայունության և տեղեկատվական անվտանգության վերահսկողության ապահովումն է՝ Կենտրոնական բանկին ապահովելով միջադեպերի ժամանակին, ամբողջական և համադրելի տեղեկատվություն՝ ապահովադիրների շահերի պաշտպանության և ֆինանսական համակարգի կայունության նպատակով։</w:t>
      </w:r>
    </w:p>
    <w:p>
      <w:pPr>
        <w:spacing w:after="80"/>
      </w:pPr>
      <w:r>
        <w:rPr>
          <w:rFonts w:ascii="Sylfaen" w:cs="Sylfaen" w:eastAsia="Sylfaen" w:hAnsi="Sylfaen"/>
          <w:sz w:val="22"/>
          <w:szCs w:val="22"/>
        </w:rPr>
        <w:t xml:space="preserve">3. Սույն կանոնակարգը կիրառվում է սույն կանոնակարգի 1-ին կետում նշված բոլոր Ընկերությունների նկատմամբ։ Սույն կանոնակարգով սահմանված պարտականությունները լրացնում են և չեն փոխարինում «Կիբեռանվտանգության մասին» ՀՀ օրենքով նախատեսված՝ լիազոր մարմնին ծանուցելու պարտականությանը. երկու պահանջների համընկնման դեպքում Ընկերությունը կատարում է երկուսն էլ։</w:t>
      </w:r>
    </w:p>
    <w:p>
      <w:pPr>
        <w:pStyle w:val="Heading2"/>
        <w:spacing w:after="100" w:before="220"/>
      </w:pPr>
      <w:r>
        <w:rPr>
          <w:rFonts w:ascii="Sylfaen" w:cs="Sylfaen" w:eastAsia="Sylfaen" w:hAnsi="Sylfaen"/>
          <w:b/>
          <w:bCs/>
          <w:color w:val="2E5496"/>
          <w:sz w:val="25"/>
          <w:szCs w:val="25"/>
        </w:rPr>
        <w:t xml:space="preserve">Գլուխ 2. Հիմնական հասկացությունները</w:t>
      </w:r>
    </w:p>
    <w:p>
      <w:pPr>
        <w:spacing w:after="80"/>
      </w:pPr>
      <w:r>
        <w:rPr>
          <w:rFonts w:ascii="Sylfaen" w:cs="Sylfaen" w:eastAsia="Sylfaen" w:hAnsi="Sylfaen"/>
          <w:sz w:val="22"/>
          <w:szCs w:val="22"/>
        </w:rPr>
        <w:t xml:space="preserve">4. Սույն կանոնակարգում օգտագործվող հասկացություններն ունեն հետևյալ նշանակությունը.</w:t>
      </w:r>
    </w:p>
    <w:p>
      <w:pPr>
        <w:spacing w:after="80"/>
        <w:ind w:left="520"/>
      </w:pPr>
      <w:r>
        <w:rPr>
          <w:rFonts w:ascii="Sylfaen" w:cs="Sylfaen" w:eastAsia="Sylfaen" w:hAnsi="Sylfaen"/>
          <w:sz w:val="22"/>
          <w:szCs w:val="22"/>
        </w:rPr>
        <w:t xml:space="preserve">1) </w:t>
      </w:r>
      <w:r>
        <w:rPr>
          <w:rFonts w:ascii="Sylfaen" w:cs="Sylfaen" w:eastAsia="Sylfaen" w:hAnsi="Sylfaen"/>
          <w:b/>
          <w:bCs/>
          <w:sz w:val="22"/>
          <w:szCs w:val="22"/>
        </w:rPr>
        <w:t xml:space="preserve">միջադեպ (incident)</w:t>
      </w:r>
      <w:r>
        <w:rPr>
          <w:rFonts w:ascii="Sylfaen" w:cs="Sylfaen" w:eastAsia="Sylfaen" w:hAnsi="Sylfaen"/>
          <w:sz w:val="22"/>
          <w:szCs w:val="22"/>
        </w:rPr>
        <w:t xml:space="preserve"> — Ընկերության ցանցային և տեղեկատվական համակարգերի, ծառայությունների կամ գործընթացների անվտանգությանը, առկայությանը, ամբողջականությանը կամ գաղտնիությանը վնաս պատճառող կամ սպառնացող առանձին կամ փոխկապակցված իրադարձություն(ներ).</w:t>
      </w:r>
    </w:p>
    <w:p>
      <w:pPr>
        <w:spacing w:after="80"/>
        <w:ind w:left="520"/>
      </w:pPr>
      <w:r>
        <w:rPr>
          <w:rFonts w:ascii="Sylfaen" w:cs="Sylfaen" w:eastAsia="Sylfaen" w:hAnsi="Sylfaen"/>
          <w:sz w:val="22"/>
          <w:szCs w:val="22"/>
        </w:rPr>
        <w:t xml:space="preserve">2) </w:t>
      </w:r>
      <w:r>
        <w:rPr>
          <w:rFonts w:ascii="Sylfaen" w:cs="Sylfaen" w:eastAsia="Sylfaen" w:hAnsi="Sylfaen"/>
          <w:b/>
          <w:bCs/>
          <w:sz w:val="22"/>
          <w:szCs w:val="22"/>
        </w:rPr>
        <w:t xml:space="preserve">ՏՀՏ-ի հետ կապված միջադեպ</w:t>
      </w:r>
      <w:r>
        <w:rPr>
          <w:rFonts w:ascii="Sylfaen" w:cs="Sylfaen" w:eastAsia="Sylfaen" w:hAnsi="Sylfaen"/>
          <w:sz w:val="22"/>
          <w:szCs w:val="22"/>
        </w:rPr>
        <w:t xml:space="preserve"> — Ընկերության տեղեկատվական և հաղորդակցական տեխնոլոգիաների գործառնությանն առնչվող միջադեպ.</w:t>
      </w:r>
    </w:p>
    <w:p>
      <w:pPr>
        <w:spacing w:after="80"/>
        <w:ind w:left="520"/>
      </w:pPr>
      <w:r>
        <w:rPr>
          <w:rFonts w:ascii="Sylfaen" w:cs="Sylfaen" w:eastAsia="Sylfaen" w:hAnsi="Sylfaen"/>
          <w:sz w:val="22"/>
          <w:szCs w:val="22"/>
        </w:rPr>
        <w:t xml:space="preserve">3) </w:t>
      </w:r>
      <w:r>
        <w:rPr>
          <w:rFonts w:ascii="Sylfaen" w:cs="Sylfaen" w:eastAsia="Sylfaen" w:hAnsi="Sylfaen"/>
          <w:b/>
          <w:bCs/>
          <w:sz w:val="22"/>
          <w:szCs w:val="22"/>
        </w:rPr>
        <w:t xml:space="preserve">կիբեռմիջադեպ (cyber incident)</w:t>
      </w:r>
      <w:r>
        <w:rPr>
          <w:rFonts w:ascii="Sylfaen" w:cs="Sylfaen" w:eastAsia="Sylfaen" w:hAnsi="Sylfaen"/>
          <w:sz w:val="22"/>
          <w:szCs w:val="22"/>
        </w:rPr>
        <w:t xml:space="preserve"> — չարամիտ գործողությամբ պայմանավորված միջադեպ.</w:t>
      </w:r>
    </w:p>
    <w:p>
      <w:pPr>
        <w:spacing w:after="80"/>
        <w:ind w:left="520"/>
      </w:pPr>
      <w:r>
        <w:rPr>
          <w:rFonts w:ascii="Sylfaen" w:cs="Sylfaen" w:eastAsia="Sylfaen" w:hAnsi="Sylfaen"/>
          <w:sz w:val="22"/>
          <w:szCs w:val="22"/>
        </w:rPr>
        <w:t xml:space="preserve">4) </w:t>
      </w:r>
      <w:r>
        <w:rPr>
          <w:rFonts w:ascii="Sylfaen" w:cs="Sylfaen" w:eastAsia="Sylfaen" w:hAnsi="Sylfaen"/>
          <w:b/>
          <w:bCs/>
          <w:sz w:val="22"/>
          <w:szCs w:val="22"/>
        </w:rPr>
        <w:t xml:space="preserve">էական միջադեպ (major incident)</w:t>
      </w:r>
      <w:r>
        <w:rPr>
          <w:rFonts w:ascii="Sylfaen" w:cs="Sylfaen" w:eastAsia="Sylfaen" w:hAnsi="Sylfaen"/>
          <w:sz w:val="22"/>
          <w:szCs w:val="22"/>
        </w:rPr>
        <w:t xml:space="preserve"> — սույն կանոնակարգի 9-րդ կետով սահմանված չափանիշներին համապատասխանող միջադեպ, որը ենթակա է պարտադիր հաշվետվության.</w:t>
      </w:r>
    </w:p>
    <w:p>
      <w:pPr>
        <w:spacing w:after="80"/>
        <w:ind w:left="520"/>
      </w:pPr>
      <w:r>
        <w:rPr>
          <w:rFonts w:ascii="Sylfaen" w:cs="Sylfaen" w:eastAsia="Sylfaen" w:hAnsi="Sylfaen"/>
          <w:sz w:val="22"/>
          <w:szCs w:val="22"/>
        </w:rPr>
        <w:t xml:space="preserve">5) </w:t>
      </w:r>
      <w:r>
        <w:rPr>
          <w:rFonts w:ascii="Sylfaen" w:cs="Sylfaen" w:eastAsia="Sylfaen" w:hAnsi="Sylfaen"/>
          <w:b/>
          <w:bCs/>
          <w:sz w:val="22"/>
          <w:szCs w:val="22"/>
        </w:rPr>
        <w:t xml:space="preserve">գործառնական կայունություն</w:t>
      </w:r>
      <w:r>
        <w:rPr>
          <w:rFonts w:ascii="Sylfaen" w:cs="Sylfaen" w:eastAsia="Sylfaen" w:hAnsi="Sylfaen"/>
          <w:sz w:val="22"/>
          <w:szCs w:val="22"/>
        </w:rPr>
        <w:t xml:space="preserve"> — Ընկերության՝ միջադեպերի պայմաններում իր կրիտիկական գործառույթները շարունակելու կարողություն.</w:t>
      </w:r>
    </w:p>
    <w:p>
      <w:pPr>
        <w:spacing w:after="80"/>
        <w:ind w:left="520"/>
      </w:pPr>
      <w:r>
        <w:rPr>
          <w:rFonts w:ascii="Sylfaen" w:cs="Sylfaen" w:eastAsia="Sylfaen" w:hAnsi="Sylfaen"/>
          <w:sz w:val="22"/>
          <w:szCs w:val="22"/>
        </w:rPr>
        <w:t xml:space="preserve">6) </w:t>
      </w:r>
      <w:r>
        <w:rPr>
          <w:rFonts w:ascii="Sylfaen" w:cs="Sylfaen" w:eastAsia="Sylfaen" w:hAnsi="Sylfaen"/>
          <w:b/>
          <w:bCs/>
          <w:sz w:val="22"/>
          <w:szCs w:val="22"/>
        </w:rPr>
        <w:t xml:space="preserve">իրազեկման պահ</w:t>
      </w:r>
      <w:r>
        <w:rPr>
          <w:rFonts w:ascii="Sylfaen" w:cs="Sylfaen" w:eastAsia="Sylfaen" w:hAnsi="Sylfaen"/>
          <w:sz w:val="22"/>
          <w:szCs w:val="22"/>
        </w:rPr>
        <w:t xml:space="preserve"> — այն պահը, երբ Ընկերությունը իմացել կամ ողջամտորեն պետք է իմանար միջադեպի տեղի ունենալու մասին.</w:t>
      </w:r>
    </w:p>
    <w:p>
      <w:pPr>
        <w:spacing w:after="80"/>
        <w:ind w:left="520"/>
      </w:pPr>
      <w:r>
        <w:rPr>
          <w:rFonts w:ascii="Sylfaen" w:cs="Sylfaen" w:eastAsia="Sylfaen" w:hAnsi="Sylfaen"/>
          <w:sz w:val="22"/>
          <w:szCs w:val="22"/>
        </w:rPr>
        <w:t xml:space="preserve">7) </w:t>
      </w:r>
      <w:r>
        <w:rPr>
          <w:rFonts w:ascii="Sylfaen" w:cs="Sylfaen" w:eastAsia="Sylfaen" w:hAnsi="Sylfaen"/>
          <w:b/>
          <w:bCs/>
          <w:sz w:val="22"/>
          <w:szCs w:val="22"/>
        </w:rPr>
        <w:t xml:space="preserve">կրիտիկական գործառույթ</w:t>
      </w:r>
      <w:r>
        <w:rPr>
          <w:rFonts w:ascii="Sylfaen" w:cs="Sylfaen" w:eastAsia="Sylfaen" w:hAnsi="Sylfaen"/>
          <w:sz w:val="22"/>
          <w:szCs w:val="22"/>
        </w:rPr>
        <w:t xml:space="preserve"> — գործառույթ, որի ընդհատումը էականորեն վնասում է Ընկերության ֆինանսական վիճակը, ապահովադիրների սպասարկումը կամ ֆինանսական համակարգի կայունությունը։</w:t>
      </w:r>
    </w:p>
    <w:p>
      <w:pPr>
        <w:spacing w:after="80"/>
      </w:pPr>
      <w:r>
        <w:rPr>
          <w:rFonts w:ascii="Sylfaen" w:cs="Sylfaen" w:eastAsia="Sylfaen" w:hAnsi="Sylfaen"/>
          <w:i/>
          <w:iCs/>
          <w:sz w:val="22"/>
          <w:szCs w:val="22"/>
        </w:rPr>
        <w:t xml:space="preserve">(Ցանկը լրացման ենթակա է. հասկացությունների սահմանումները անհրաժեշտության դեպքում համաձայնեցվում են «Կիբեռանվտանգության մասին» ՀՀ օրենքի հասկացությունների հետ `[նախագծային — ճշտել]`։)</w:t>
      </w:r>
    </w:p>
    <w:p>
      <w:pPr>
        <w:pStyle w:val="Heading2"/>
        <w:spacing w:after="100" w:before="220"/>
      </w:pPr>
      <w:r>
        <w:rPr>
          <w:rFonts w:ascii="Sylfaen" w:cs="Sylfaen" w:eastAsia="Sylfaen" w:hAnsi="Sylfaen"/>
          <w:b/>
          <w:bCs/>
          <w:color w:val="2E5496"/>
          <w:sz w:val="25"/>
          <w:szCs w:val="25"/>
        </w:rPr>
        <w:t xml:space="preserve">Գլուխ 3. Հաշվետվությունների ներկայացման ընդհանուր պայմանները</w:t>
      </w:r>
    </w:p>
    <w:p>
      <w:pPr>
        <w:spacing w:after="80"/>
      </w:pPr>
      <w:r>
        <w:rPr>
          <w:rFonts w:ascii="Sylfaen" w:cs="Sylfaen" w:eastAsia="Sylfaen" w:hAnsi="Sylfaen"/>
          <w:sz w:val="22"/>
          <w:szCs w:val="22"/>
        </w:rPr>
        <w:t xml:space="preserve">5. Ընկերությունը սույն կանոնակարգով սահմանված հաշվետվությունները ներկայացնում է Կենտրոնական բանկ՝ էլեկտրոնային եղանակով, Կենտրոնական բանկի սահմանած [հաշվետվությունների ընդունման էլեկտրոնային համակարգի/ալիքի] միջոցով </w:t>
      </w:r>
      <w:r>
        <w:rPr>
          <w:rFonts w:ascii="Sylfaen" w:cs="Sylfaen" w:eastAsia="Sylfaen" w:hAnsi="Sylfaen"/>
          <w:i/>
          <w:iCs/>
          <w:color w:val="B54708"/>
          <w:sz w:val="22"/>
          <w:szCs w:val="22"/>
        </w:rPr>
        <w:t xml:space="preserve">[նախագծային — ճշտել]</w:t>
      </w:r>
      <w:r>
        <w:rPr>
          <w:rFonts w:ascii="Sylfaen" w:cs="Sylfaen" w:eastAsia="Sylfaen" w:hAnsi="Sylfaen"/>
          <w:sz w:val="22"/>
          <w:szCs w:val="22"/>
        </w:rPr>
        <w:t xml:space="preserve">։</w:t>
      </w:r>
    </w:p>
    <w:p>
      <w:pPr>
        <w:spacing w:after="80"/>
      </w:pPr>
      <w:r>
        <w:rPr>
          <w:rFonts w:ascii="Sylfaen" w:cs="Sylfaen" w:eastAsia="Sylfaen" w:hAnsi="Sylfaen"/>
          <w:sz w:val="22"/>
          <w:szCs w:val="22"/>
        </w:rPr>
        <w:t xml:space="preserve">6. Հաշվետվությունները ներկայացվում են հայերեն։ Հաշվետվության մեջ ներառված յուրաքանչյուր տվյալ պետք է լինի ստույգ, ամբողջական և հիմնավորված. արգելվում է չհաստատված կամ գնահատված տվյալը ներկայացնել որպես փաստացի (անհայտ տվյալը նշվում է որպես այդպիսին)։</w:t>
      </w:r>
    </w:p>
    <w:p>
      <w:pPr>
        <w:spacing w:after="80"/>
      </w:pPr>
      <w:r>
        <w:rPr>
          <w:rFonts w:ascii="Sylfaen" w:cs="Sylfaen" w:eastAsia="Sylfaen" w:hAnsi="Sylfaen"/>
          <w:sz w:val="22"/>
          <w:szCs w:val="22"/>
        </w:rPr>
        <w:t xml:space="preserve">7. Հաշվետվությունը ստորագրվում (հաստատվում) է Ընկերության՝ դրա համար պատասխանատու անձի կողմից։ Ընկերությունը պարտավոր է նշանակել միջադեպերի հաշվետվության համար պատասխանատու անձ և տեղեկացնել Կենտրոնական բանկին։</w:t>
      </w:r>
    </w:p>
    <w:p>
      <w:pPr>
        <w:spacing w:after="80"/>
      </w:pPr>
      <w:r>
        <w:rPr>
          <w:rFonts w:ascii="Sylfaen" w:cs="Sylfaen" w:eastAsia="Sylfaen" w:hAnsi="Sylfaen"/>
          <w:sz w:val="22"/>
          <w:szCs w:val="22"/>
        </w:rPr>
        <w:t xml:space="preserve">8. Ընկերությունը պահպանում է յուրաքանչյուր միջադեպի վերաբերյալ ներքին գրառումը և հաշվետվության հիմքում ընկած տվյալները ոչ պակաս, քան [5] տարի </w:t>
      </w:r>
      <w:r>
        <w:rPr>
          <w:rFonts w:ascii="Sylfaen" w:cs="Sylfaen" w:eastAsia="Sylfaen" w:hAnsi="Sylfaen"/>
          <w:i/>
          <w:iCs/>
          <w:color w:val="B54708"/>
          <w:sz w:val="22"/>
          <w:szCs w:val="22"/>
        </w:rPr>
        <w:t xml:space="preserve">[նախագծային — ճշտել]</w:t>
      </w:r>
      <w:r>
        <w:rPr>
          <w:rFonts w:ascii="Sylfaen" w:cs="Sylfaen" w:eastAsia="Sylfaen" w:hAnsi="Sylfaen"/>
          <w:sz w:val="22"/>
          <w:szCs w:val="22"/>
        </w:rPr>
        <w:t xml:space="preserve">՝ Կենտրոնական բանկի կողմից ստուգման հնարավորության համար։</w:t>
      </w:r>
    </w:p>
    <w:p>
      <w:pPr>
        <w:spacing w:after="80"/>
      </w:pPr>
      <w:r>
        <w:rPr>
          <w:rFonts w:ascii="Sylfaen" w:cs="Sylfaen" w:eastAsia="Sylfaen" w:hAnsi="Sylfaen"/>
          <w:sz w:val="22"/>
          <w:szCs w:val="22"/>
        </w:rPr>
        <w:t xml:space="preserve">9. </w:t>
      </w:r>
      <w:r>
        <w:rPr>
          <w:rFonts w:ascii="Sylfaen" w:cs="Sylfaen" w:eastAsia="Sylfaen" w:hAnsi="Sylfaen"/>
          <w:b/>
          <w:bCs/>
          <w:sz w:val="22"/>
          <w:szCs w:val="22"/>
        </w:rPr>
        <w:t xml:space="preserve">Միջադեպի էականության դասակարգում.</w:t>
      </w:r>
      <w:r>
        <w:rPr>
          <w:rFonts w:ascii="Sylfaen" w:cs="Sylfaen" w:eastAsia="Sylfaen" w:hAnsi="Sylfaen"/>
          <w:sz w:val="22"/>
          <w:szCs w:val="22"/>
        </w:rPr>
        <w:t xml:space="preserve"> Միջադեպը համարվում է էական, եթե ազդում է կրիտիկական գործառույթ ապահովող ծառայության վրա և բավարարվում է հետևյալ չափանիշներից առնվազն [երկուսը] </w:t>
      </w:r>
      <w:r>
        <w:rPr>
          <w:rFonts w:ascii="Sylfaen" w:cs="Sylfaen" w:eastAsia="Sylfaen" w:hAnsi="Sylfaen"/>
          <w:i/>
          <w:iCs/>
          <w:color w:val="B54708"/>
          <w:sz w:val="22"/>
          <w:szCs w:val="22"/>
        </w:rPr>
        <w:t xml:space="preserve">[նախագծային — ճշտել]</w:t>
      </w:r>
      <w:r>
        <w:rPr>
          <w:rFonts w:ascii="Sylfaen" w:cs="Sylfaen" w:eastAsia="Sylfaen" w:hAnsi="Sylfaen"/>
          <w:sz w:val="22"/>
          <w:szCs w:val="22"/>
        </w:rPr>
        <w:t xml:space="preserve">.</w:t>
      </w:r>
    </w:p>
    <w:p>
      <w:pPr>
        <w:spacing w:after="80"/>
        <w:ind w:left="520"/>
      </w:pPr>
      <w:r>
        <w:rPr>
          <w:rFonts w:ascii="Sylfaen" w:cs="Sylfaen" w:eastAsia="Sylfaen" w:hAnsi="Sylfaen"/>
          <w:sz w:val="22"/>
          <w:szCs w:val="22"/>
        </w:rPr>
        <w:t xml:space="preserve">1) ազդված ապահովադիրների, հաճախորդների կամ գործարքների թիվը/տեսակարար կշիռը՝ ավելի քան [__]% </w:t>
      </w:r>
      <w:r>
        <w:rPr>
          <w:rFonts w:ascii="Sylfaen" w:cs="Sylfaen" w:eastAsia="Sylfaen" w:hAnsi="Sylfaen"/>
          <w:i/>
          <w:iCs/>
          <w:color w:val="B54708"/>
          <w:sz w:val="22"/>
          <w:szCs w:val="22"/>
        </w:rPr>
        <w:t xml:space="preserve">[տեղապահ]</w:t>
      </w:r>
      <w:r>
        <w:rPr>
          <w:rFonts w:ascii="Sylfaen" w:cs="Sylfaen" w:eastAsia="Sylfaen" w:hAnsi="Sylfaen"/>
          <w:sz w:val="22"/>
          <w:szCs w:val="22"/>
        </w:rPr>
        <w:t xml:space="preserve">.</w:t>
      </w:r>
    </w:p>
    <w:p>
      <w:pPr>
        <w:spacing w:after="80"/>
        <w:ind w:left="520"/>
      </w:pPr>
      <w:r>
        <w:rPr>
          <w:rFonts w:ascii="Sylfaen" w:cs="Sylfaen" w:eastAsia="Sylfaen" w:hAnsi="Sylfaen"/>
          <w:sz w:val="22"/>
          <w:szCs w:val="22"/>
        </w:rPr>
        <w:t xml:space="preserve">2) ծառայության ընդհատման տևողությունը՝ ավելի քան [__] ժամ </w:t>
      </w:r>
      <w:r>
        <w:rPr>
          <w:rFonts w:ascii="Sylfaen" w:cs="Sylfaen" w:eastAsia="Sylfaen" w:hAnsi="Sylfaen"/>
          <w:i/>
          <w:iCs/>
          <w:color w:val="B54708"/>
          <w:sz w:val="22"/>
          <w:szCs w:val="22"/>
        </w:rPr>
        <w:t xml:space="preserve">[տեղապահ]</w:t>
      </w:r>
      <w:r>
        <w:rPr>
          <w:rFonts w:ascii="Sylfaen" w:cs="Sylfaen" w:eastAsia="Sylfaen" w:hAnsi="Sylfaen"/>
          <w:sz w:val="22"/>
          <w:szCs w:val="22"/>
        </w:rPr>
        <w:t xml:space="preserve">.</w:t>
      </w:r>
    </w:p>
    <w:p>
      <w:pPr>
        <w:spacing w:after="80"/>
        <w:ind w:left="520"/>
      </w:pPr>
      <w:r>
        <w:rPr>
          <w:rFonts w:ascii="Sylfaen" w:cs="Sylfaen" w:eastAsia="Sylfaen" w:hAnsi="Sylfaen"/>
          <w:sz w:val="22"/>
          <w:szCs w:val="22"/>
        </w:rPr>
        <w:t xml:space="preserve">3) տվյալների կորուստ (առկայության, ամբողջականության, իսկության կամ գաղտնիության).</w:t>
      </w:r>
    </w:p>
    <w:p>
      <w:pPr>
        <w:spacing w:after="80"/>
        <w:ind w:left="520"/>
      </w:pPr>
      <w:r>
        <w:rPr>
          <w:rFonts w:ascii="Sylfaen" w:cs="Sylfaen" w:eastAsia="Sylfaen" w:hAnsi="Sylfaen"/>
          <w:sz w:val="22"/>
          <w:szCs w:val="22"/>
        </w:rPr>
        <w:t xml:space="preserve">4) աշխարհագրական տարածվածությունը՝ այլ երկրների վրա ազդեցություն.</w:t>
      </w:r>
    </w:p>
    <w:p>
      <w:pPr>
        <w:spacing w:after="80"/>
        <w:ind w:left="520"/>
      </w:pPr>
      <w:r>
        <w:rPr>
          <w:rFonts w:ascii="Sylfaen" w:cs="Sylfaen" w:eastAsia="Sylfaen" w:hAnsi="Sylfaen"/>
          <w:sz w:val="22"/>
          <w:szCs w:val="22"/>
        </w:rPr>
        <w:t xml:space="preserve">5) տնտեսական վնասը՝ ավելի քան [__] դրամ </w:t>
      </w:r>
      <w:r>
        <w:rPr>
          <w:rFonts w:ascii="Sylfaen" w:cs="Sylfaen" w:eastAsia="Sylfaen" w:hAnsi="Sylfaen"/>
          <w:i/>
          <w:iCs/>
          <w:color w:val="B54708"/>
          <w:sz w:val="22"/>
          <w:szCs w:val="22"/>
        </w:rPr>
        <w:t xml:space="preserve">[տեղապահ]</w:t>
      </w:r>
      <w:r>
        <w:rPr>
          <w:rFonts w:ascii="Sylfaen" w:cs="Sylfaen" w:eastAsia="Sylfaen" w:hAnsi="Sylfaen"/>
          <w:sz w:val="22"/>
          <w:szCs w:val="22"/>
        </w:rPr>
        <w:t xml:space="preserve">.</w:t>
      </w:r>
    </w:p>
    <w:p>
      <w:pPr>
        <w:spacing w:after="80"/>
        <w:ind w:left="520"/>
      </w:pPr>
      <w:r>
        <w:rPr>
          <w:rFonts w:ascii="Sylfaen" w:cs="Sylfaen" w:eastAsia="Sylfaen" w:hAnsi="Sylfaen"/>
          <w:sz w:val="22"/>
          <w:szCs w:val="22"/>
        </w:rPr>
        <w:t xml:space="preserve">6) հեղինակության վրա ազդեցությունը.</w:t>
      </w:r>
    </w:p>
    <w:p>
      <w:pPr>
        <w:spacing w:after="80"/>
        <w:ind w:left="520"/>
      </w:pPr>
      <w:r>
        <w:rPr>
          <w:rFonts w:ascii="Sylfaen" w:cs="Sylfaen" w:eastAsia="Sylfaen" w:hAnsi="Sylfaen"/>
          <w:sz w:val="22"/>
          <w:szCs w:val="22"/>
        </w:rPr>
        <w:t xml:space="preserve">7) չարամիտ չարտոնված մուտք համակարգեր։</w:t>
      </w:r>
    </w:p>
    <w:p>
      <w:pPr>
        <w:spacing w:after="80"/>
      </w:pPr>
      <w:r>
        <w:rPr>
          <w:rFonts w:ascii="Sylfaen" w:cs="Sylfaen" w:eastAsia="Sylfaen" w:hAnsi="Sylfaen"/>
          <w:i/>
          <w:iCs/>
          <w:sz w:val="22"/>
          <w:szCs w:val="22"/>
        </w:rPr>
        <w:t xml:space="preserve">(Չափանիշներն ու շեմերը մոդելավորված են միջազգային պրակտիկայի հիման վրա (WRB-003. EU DORA, հոդ. 18 և RTS 2024/1772). ստույգ թվային արժեքները ենթակա են ճշտման Կենտրոնական բանկի կողմից։)</w:t>
      </w:r>
    </w:p>
    <w:p>
      <w:pPr>
        <w:pStyle w:val="Heading2"/>
        <w:spacing w:after="100" w:before="220"/>
      </w:pPr>
      <w:r>
        <w:rPr>
          <w:rFonts w:ascii="Sylfaen" w:cs="Sylfaen" w:eastAsia="Sylfaen" w:hAnsi="Sylfaen"/>
          <w:b/>
          <w:bCs/>
          <w:color w:val="2E5496"/>
          <w:sz w:val="25"/>
          <w:szCs w:val="25"/>
        </w:rPr>
        <w:t xml:space="preserve">Գլուխ 4. Հաշվետվությունների տեսակները և ներկայացման ժամկետները</w:t>
      </w:r>
    </w:p>
    <w:p>
      <w:pPr>
        <w:spacing w:after="80"/>
      </w:pPr>
      <w:r>
        <w:rPr>
          <w:rFonts w:ascii="Sylfaen" w:cs="Sylfaen" w:eastAsia="Sylfaen" w:hAnsi="Sylfaen"/>
          <w:sz w:val="22"/>
          <w:szCs w:val="22"/>
        </w:rPr>
        <w:t xml:space="preserve">10. Էական միջադեպի վերաբերյալ Ընկերությունը ներկայացնում է հաշվետվության հետևյալ </w:t>
      </w:r>
      <w:r>
        <w:rPr>
          <w:rFonts w:ascii="Sylfaen" w:cs="Sylfaen" w:eastAsia="Sylfaen" w:hAnsi="Sylfaen"/>
          <w:b/>
          <w:bCs/>
          <w:sz w:val="22"/>
          <w:szCs w:val="22"/>
        </w:rPr>
        <w:t xml:space="preserve">երեք տեսակ</w:t>
      </w:r>
      <w:r>
        <w:rPr>
          <w:rFonts w:ascii="Sylfaen" w:cs="Sylfaen" w:eastAsia="Sylfaen" w:hAnsi="Sylfaen"/>
          <w:sz w:val="22"/>
          <w:szCs w:val="22"/>
        </w:rPr>
        <w:t xml:space="preserve">.</w:t>
      </w:r>
    </w:p>
    <w:p>
      <w:pPr>
        <w:spacing w:after="80"/>
        <w:ind w:left="520"/>
      </w:pPr>
      <w:r>
        <w:rPr>
          <w:rFonts w:ascii="Sylfaen" w:cs="Sylfaen" w:eastAsia="Sylfaen" w:hAnsi="Sylfaen"/>
          <w:sz w:val="22"/>
          <w:szCs w:val="22"/>
        </w:rPr>
        <w:t xml:space="preserve">1) </w:t>
      </w:r>
      <w:r>
        <w:rPr>
          <w:rFonts w:ascii="Sylfaen" w:cs="Sylfaen" w:eastAsia="Sylfaen" w:hAnsi="Sylfaen"/>
          <w:b/>
          <w:bCs/>
          <w:sz w:val="22"/>
          <w:szCs w:val="22"/>
        </w:rPr>
        <w:t xml:space="preserve">նախնական հաշվետվություն (initial)</w:t>
      </w:r>
      <w:r>
        <w:rPr>
          <w:rFonts w:ascii="Sylfaen" w:cs="Sylfaen" w:eastAsia="Sylfaen" w:hAnsi="Sylfaen"/>
          <w:sz w:val="22"/>
          <w:szCs w:val="22"/>
        </w:rPr>
        <w:t xml:space="preserve"> — միջադեպը էական դասակարգելուց հետո, բայց ոչ ուշ, քան իրազեկման պահից [24] ժամվա ընթացքում </w:t>
      </w:r>
      <w:r>
        <w:rPr>
          <w:rFonts w:ascii="Sylfaen" w:cs="Sylfaen" w:eastAsia="Sylfaen" w:hAnsi="Sylfaen"/>
          <w:i/>
          <w:iCs/>
          <w:color w:val="B54708"/>
          <w:sz w:val="22"/>
          <w:szCs w:val="22"/>
        </w:rPr>
        <w:t xml:space="preserve">[նախագծային — ճշտել]</w:t>
      </w:r>
      <w:r>
        <w:rPr>
          <w:rFonts w:ascii="Sylfaen" w:cs="Sylfaen" w:eastAsia="Sylfaen" w:hAnsi="Sylfaen"/>
          <w:sz w:val="22"/>
          <w:szCs w:val="22"/>
        </w:rPr>
        <w:t xml:space="preserve">.</w:t>
      </w:r>
    </w:p>
    <w:p>
      <w:pPr>
        <w:spacing w:after="80"/>
        <w:ind w:left="520"/>
      </w:pPr>
      <w:r>
        <w:rPr>
          <w:rFonts w:ascii="Sylfaen" w:cs="Sylfaen" w:eastAsia="Sylfaen" w:hAnsi="Sylfaen"/>
          <w:sz w:val="22"/>
          <w:szCs w:val="22"/>
        </w:rPr>
        <w:t xml:space="preserve">2) </w:t>
      </w:r>
      <w:r>
        <w:rPr>
          <w:rFonts w:ascii="Sylfaen" w:cs="Sylfaen" w:eastAsia="Sylfaen" w:hAnsi="Sylfaen"/>
          <w:b/>
          <w:bCs/>
          <w:sz w:val="22"/>
          <w:szCs w:val="22"/>
        </w:rPr>
        <w:t xml:space="preserve">միջանկյալ հաշվետվություն (intermediate)</w:t>
      </w:r>
      <w:r>
        <w:rPr>
          <w:rFonts w:ascii="Sylfaen" w:cs="Sylfaen" w:eastAsia="Sylfaen" w:hAnsi="Sylfaen"/>
          <w:sz w:val="22"/>
          <w:szCs w:val="22"/>
        </w:rPr>
        <w:t xml:space="preserve"> — նախնական հաշվետվության ներկայացումից հետո ոչ ուշ, քան [72] ժամվա ընթացքում, ինչպես նաև՝ վիճակի էական փոփոխության դեպքում </w:t>
      </w:r>
      <w:r>
        <w:rPr>
          <w:rFonts w:ascii="Sylfaen" w:cs="Sylfaen" w:eastAsia="Sylfaen" w:hAnsi="Sylfaen"/>
          <w:i/>
          <w:iCs/>
          <w:color w:val="B54708"/>
          <w:sz w:val="22"/>
          <w:szCs w:val="22"/>
        </w:rPr>
        <w:t xml:space="preserve">[նախագծային — ճշտել]</w:t>
      </w:r>
      <w:r>
        <w:rPr>
          <w:rFonts w:ascii="Sylfaen" w:cs="Sylfaen" w:eastAsia="Sylfaen" w:hAnsi="Sylfaen"/>
          <w:sz w:val="22"/>
          <w:szCs w:val="22"/>
        </w:rPr>
        <w:t xml:space="preserve">.</w:t>
      </w:r>
    </w:p>
    <w:p>
      <w:pPr>
        <w:spacing w:after="80"/>
        <w:ind w:left="520"/>
      </w:pPr>
      <w:r>
        <w:rPr>
          <w:rFonts w:ascii="Sylfaen" w:cs="Sylfaen" w:eastAsia="Sylfaen" w:hAnsi="Sylfaen"/>
          <w:sz w:val="22"/>
          <w:szCs w:val="22"/>
        </w:rPr>
        <w:t xml:space="preserve">3) </w:t>
      </w:r>
      <w:r>
        <w:rPr>
          <w:rFonts w:ascii="Sylfaen" w:cs="Sylfaen" w:eastAsia="Sylfaen" w:hAnsi="Sylfaen"/>
          <w:b/>
          <w:bCs/>
          <w:sz w:val="22"/>
          <w:szCs w:val="22"/>
        </w:rPr>
        <w:t xml:space="preserve">վերջնական հաշվետվություն (final)</w:t>
      </w:r>
      <w:r>
        <w:rPr>
          <w:rFonts w:ascii="Sylfaen" w:cs="Sylfaen" w:eastAsia="Sylfaen" w:hAnsi="Sylfaen"/>
          <w:sz w:val="22"/>
          <w:szCs w:val="22"/>
        </w:rPr>
        <w:t xml:space="preserve"> — միջադեպի պատճառների վերջնական վերլուծությունից հետո, բայց ոչ ուշ, քան [1 ամսվա] ընթացքում </w:t>
      </w:r>
      <w:r>
        <w:rPr>
          <w:rFonts w:ascii="Sylfaen" w:cs="Sylfaen" w:eastAsia="Sylfaen" w:hAnsi="Sylfaen"/>
          <w:i/>
          <w:iCs/>
          <w:color w:val="B54708"/>
          <w:sz w:val="22"/>
          <w:szCs w:val="22"/>
        </w:rPr>
        <w:t xml:space="preserve">[նախագծային — ճշտել]</w:t>
      </w:r>
      <w:r>
        <w:rPr>
          <w:rFonts w:ascii="Sylfaen" w:cs="Sylfaen" w:eastAsia="Sylfaen" w:hAnsi="Sylfaen"/>
          <w:sz w:val="22"/>
          <w:szCs w:val="22"/>
        </w:rPr>
        <w:t xml:space="preserve">։</w:t>
      </w:r>
    </w:p>
    <w:p>
      <w:pPr>
        <w:spacing w:after="80"/>
      </w:pPr>
      <w:r>
        <w:rPr>
          <w:rFonts w:ascii="Sylfaen" w:cs="Sylfaen" w:eastAsia="Sylfaen" w:hAnsi="Sylfaen"/>
          <w:sz w:val="22"/>
          <w:szCs w:val="22"/>
        </w:rPr>
        <w:t xml:space="preserve">11. Եթե սույն կանոնակարգի 10-րդ կետի ժամկետի ավարտին հաշվետվության որևէ տվյալ դեռ հասանելի չէ, Ընկերությունը ներկայացնում է առկա տվյալները և պակասող տվյալները լրացնում հաջորդ հաշվետվությամբ։</w:t>
      </w:r>
    </w:p>
    <w:p>
      <w:pPr>
        <w:spacing w:after="80"/>
      </w:pPr>
      <w:r>
        <w:rPr>
          <w:rFonts w:ascii="Sylfaen" w:cs="Sylfaen" w:eastAsia="Sylfaen" w:hAnsi="Sylfaen"/>
          <w:sz w:val="22"/>
          <w:szCs w:val="22"/>
        </w:rPr>
        <w:t xml:space="preserve">12. Ժամկետները հաշվարկվում են աշխատանքային/օրացուցային [__] </w:t>
      </w:r>
      <w:r>
        <w:rPr>
          <w:rFonts w:ascii="Sylfaen" w:cs="Sylfaen" w:eastAsia="Sylfaen" w:hAnsi="Sylfaen"/>
          <w:i/>
          <w:iCs/>
          <w:color w:val="B54708"/>
          <w:sz w:val="22"/>
          <w:szCs w:val="22"/>
        </w:rPr>
        <w:t xml:space="preserve">[նախագծային — ճշտել]</w:t>
      </w:r>
      <w:r>
        <w:rPr>
          <w:rFonts w:ascii="Sylfaen" w:cs="Sylfaen" w:eastAsia="Sylfaen" w:hAnsi="Sylfaen"/>
          <w:sz w:val="22"/>
          <w:szCs w:val="22"/>
        </w:rPr>
        <w:t xml:space="preserve"> սկզբունքով. ժամկետի վերջին օրվա՝ ոչ աշխատանքային օր լինելու դեպքում ժամկետը լրանում է հաջորդ աշխատանքային օրը։</w:t>
      </w:r>
    </w:p>
    <w:p>
      <w:pPr>
        <w:spacing w:after="80"/>
      </w:pPr>
      <w:r>
        <w:rPr>
          <w:rFonts w:ascii="Sylfaen" w:cs="Sylfaen" w:eastAsia="Sylfaen" w:hAnsi="Sylfaen"/>
          <w:sz w:val="22"/>
          <w:szCs w:val="22"/>
        </w:rPr>
        <w:t xml:space="preserve">13. Կրկնվող՝ առանձին-առանձին ոչ էական միջադեպերը, որոնք ունեն ընդհանուր պատճառ, գնահատվում են համակցված և հաշվետվության ենթակա են, եթե համակցությամբ բավարարում են 9-րդ կետի չափանիշներին։</w:t>
      </w:r>
    </w:p>
    <w:p>
      <w:pPr>
        <w:pStyle w:val="Heading2"/>
        <w:spacing w:after="100" w:before="220"/>
      </w:pPr>
      <w:r>
        <w:rPr>
          <w:rFonts w:ascii="Sylfaen" w:cs="Sylfaen" w:eastAsia="Sylfaen" w:hAnsi="Sylfaen"/>
          <w:b/>
          <w:bCs/>
          <w:color w:val="2E5496"/>
          <w:sz w:val="25"/>
          <w:szCs w:val="25"/>
        </w:rPr>
        <w:t xml:space="preserve">Գլուխ 5. Հաշվետվության լրացման տվյալները և կանոնները</w:t>
      </w:r>
    </w:p>
    <w:p>
      <w:pPr>
        <w:spacing w:after="80"/>
      </w:pPr>
      <w:r>
        <w:rPr>
          <w:rFonts w:ascii="Sylfaen" w:cs="Sylfaen" w:eastAsia="Sylfaen" w:hAnsi="Sylfaen"/>
          <w:sz w:val="22"/>
          <w:szCs w:val="22"/>
        </w:rPr>
        <w:t xml:space="preserve">14. Յուրաքանչյուր հաշվետվություն ներկայացվում է սույն կանոնակարգի </w:t>
      </w:r>
      <w:r>
        <w:rPr>
          <w:rFonts w:ascii="Sylfaen" w:cs="Sylfaen" w:eastAsia="Sylfaen" w:hAnsi="Sylfaen"/>
          <w:b/>
          <w:bCs/>
          <w:sz w:val="22"/>
          <w:szCs w:val="22"/>
        </w:rPr>
        <w:t xml:space="preserve">Հավելված 1</w:t>
      </w:r>
      <w:r>
        <w:rPr>
          <w:rFonts w:ascii="Sylfaen" w:cs="Sylfaen" w:eastAsia="Sylfaen" w:hAnsi="Sylfaen"/>
          <w:sz w:val="22"/>
          <w:szCs w:val="22"/>
        </w:rPr>
        <w:t xml:space="preserve">-ով սահմանված ձևով և ներառում է առնվազն հետևյալ տվյալները.</w:t>
      </w:r>
    </w:p>
    <w:p>
      <w:pPr>
        <w:spacing w:after="80"/>
        <w:ind w:left="520"/>
      </w:pPr>
      <w:r>
        <w:rPr>
          <w:rFonts w:ascii="Sylfaen" w:cs="Sylfaen" w:eastAsia="Sylfaen" w:hAnsi="Sylfaen"/>
          <w:sz w:val="22"/>
          <w:szCs w:val="22"/>
        </w:rPr>
        <w:t xml:space="preserve">1) Ընկերության անվանումը և նույնականացման տվյալները.</w:t>
      </w:r>
    </w:p>
    <w:p>
      <w:pPr>
        <w:spacing w:after="80"/>
        <w:ind w:left="520"/>
      </w:pPr>
      <w:r>
        <w:rPr>
          <w:rFonts w:ascii="Sylfaen" w:cs="Sylfaen" w:eastAsia="Sylfaen" w:hAnsi="Sylfaen"/>
          <w:sz w:val="22"/>
          <w:szCs w:val="22"/>
        </w:rPr>
        <w:t xml:space="preserve">2) հաշվետվության տեսակը (նախնական/միջանկյալ/վերջնական) և հերթական համարը.</w:t>
      </w:r>
    </w:p>
    <w:p>
      <w:pPr>
        <w:spacing w:after="80"/>
        <w:ind w:left="520"/>
      </w:pPr>
      <w:r>
        <w:rPr>
          <w:rFonts w:ascii="Sylfaen" w:cs="Sylfaen" w:eastAsia="Sylfaen" w:hAnsi="Sylfaen"/>
          <w:sz w:val="22"/>
          <w:szCs w:val="22"/>
        </w:rPr>
        <w:t xml:space="preserve">3) միջադեպի հայտնաբերման ամսաթիվը, ժամը և իրազեկման պահը.</w:t>
      </w:r>
    </w:p>
    <w:p>
      <w:pPr>
        <w:spacing w:after="80"/>
        <w:ind w:left="520"/>
      </w:pPr>
      <w:r>
        <w:rPr>
          <w:rFonts w:ascii="Sylfaen" w:cs="Sylfaen" w:eastAsia="Sylfaen" w:hAnsi="Sylfaen"/>
          <w:sz w:val="22"/>
          <w:szCs w:val="22"/>
        </w:rPr>
        <w:t xml:space="preserve">4) միջադեպի նկարագրությունը և տեսակը (ՏՀՏ/կիբեռ/գործառնական).</w:t>
      </w:r>
    </w:p>
    <w:p>
      <w:pPr>
        <w:spacing w:after="80"/>
        <w:ind w:left="520"/>
      </w:pPr>
      <w:r>
        <w:rPr>
          <w:rFonts w:ascii="Sylfaen" w:cs="Sylfaen" w:eastAsia="Sylfaen" w:hAnsi="Sylfaen"/>
          <w:sz w:val="22"/>
          <w:szCs w:val="22"/>
        </w:rPr>
        <w:t xml:space="preserve">5) էական դասակարգման հիմքը՝ 9-րդ կետի բավարարված չափանիշներով.</w:t>
      </w:r>
    </w:p>
    <w:p>
      <w:pPr>
        <w:spacing w:after="80"/>
        <w:ind w:left="520"/>
      </w:pPr>
      <w:r>
        <w:rPr>
          <w:rFonts w:ascii="Sylfaen" w:cs="Sylfaen" w:eastAsia="Sylfaen" w:hAnsi="Sylfaen"/>
          <w:sz w:val="22"/>
          <w:szCs w:val="22"/>
        </w:rPr>
        <w:t xml:space="preserve">6) ազդված ծառայությունները, գործառույթները և համակարգերը.</w:t>
      </w:r>
    </w:p>
    <w:p>
      <w:pPr>
        <w:spacing w:after="80"/>
        <w:ind w:left="520"/>
      </w:pPr>
      <w:r>
        <w:rPr>
          <w:rFonts w:ascii="Sylfaen" w:cs="Sylfaen" w:eastAsia="Sylfaen" w:hAnsi="Sylfaen"/>
          <w:sz w:val="22"/>
          <w:szCs w:val="22"/>
        </w:rPr>
        <w:t xml:space="preserve">7) ազդված ապահովադիրների/հաճախորդների գնահատված թիվը և ընդհատման տևողությունը.</w:t>
      </w:r>
    </w:p>
    <w:p>
      <w:pPr>
        <w:spacing w:after="80"/>
        <w:ind w:left="520"/>
      </w:pPr>
      <w:r>
        <w:rPr>
          <w:rFonts w:ascii="Sylfaen" w:cs="Sylfaen" w:eastAsia="Sylfaen" w:hAnsi="Sylfaen"/>
          <w:sz w:val="22"/>
          <w:szCs w:val="22"/>
        </w:rPr>
        <w:t xml:space="preserve">8) գնահատված ազդեցությունը (ֆինանսական, գործառնական, տվյալների).</w:t>
      </w:r>
    </w:p>
    <w:p>
      <w:pPr>
        <w:spacing w:after="80"/>
        <w:ind w:left="520"/>
      </w:pPr>
      <w:r>
        <w:rPr>
          <w:rFonts w:ascii="Sylfaen" w:cs="Sylfaen" w:eastAsia="Sylfaen" w:hAnsi="Sylfaen"/>
          <w:sz w:val="22"/>
          <w:szCs w:val="22"/>
        </w:rPr>
        <w:t xml:space="preserve">9) ձեռնարկված և պլանավորվող միջոցները.</w:t>
      </w:r>
    </w:p>
    <w:p>
      <w:pPr>
        <w:spacing w:after="80"/>
        <w:ind w:left="520"/>
      </w:pPr>
      <w:r>
        <w:rPr>
          <w:rFonts w:ascii="Sylfaen" w:cs="Sylfaen" w:eastAsia="Sylfaen" w:hAnsi="Sylfaen"/>
          <w:sz w:val="22"/>
          <w:szCs w:val="22"/>
        </w:rPr>
        <w:t xml:space="preserve">10) պատասխանատու անձի տվյալները և կապի միջոցները։</w:t>
      </w:r>
    </w:p>
    <w:p>
      <w:pPr>
        <w:spacing w:after="80"/>
      </w:pPr>
      <w:r>
        <w:rPr>
          <w:rFonts w:ascii="Sylfaen" w:cs="Sylfaen" w:eastAsia="Sylfaen" w:hAnsi="Sylfaen"/>
          <w:sz w:val="22"/>
          <w:szCs w:val="22"/>
        </w:rPr>
        <w:t xml:space="preserve">15. </w:t>
      </w:r>
      <w:r>
        <w:rPr>
          <w:rFonts w:ascii="Sylfaen" w:cs="Sylfaen" w:eastAsia="Sylfaen" w:hAnsi="Sylfaen"/>
          <w:b/>
          <w:bCs/>
          <w:sz w:val="22"/>
          <w:szCs w:val="22"/>
        </w:rPr>
        <w:t xml:space="preserve">Լրացման կանոնները.</w:t>
      </w:r>
    </w:p>
    <w:p>
      <w:pPr>
        <w:spacing w:after="80"/>
        <w:ind w:left="520"/>
      </w:pPr>
      <w:r>
        <w:rPr>
          <w:rFonts w:ascii="Sylfaen" w:cs="Sylfaen" w:eastAsia="Sylfaen" w:hAnsi="Sylfaen"/>
          <w:sz w:val="22"/>
          <w:szCs w:val="22"/>
        </w:rPr>
        <w:t xml:space="preserve">1) Բոլոր դաշտերը լրացվում են. անհայտ կամ դեռ չգնահատված տվյալի դեպքում նշվում է «տվյալ չկա/գնահատման փուլում»՝ դատարկ չթողնելով դաշտը.</w:t>
      </w:r>
    </w:p>
    <w:p>
      <w:pPr>
        <w:spacing w:after="80"/>
        <w:ind w:left="520"/>
      </w:pPr>
      <w:r>
        <w:rPr>
          <w:rFonts w:ascii="Sylfaen" w:cs="Sylfaen" w:eastAsia="Sylfaen" w:hAnsi="Sylfaen"/>
          <w:sz w:val="22"/>
          <w:szCs w:val="22"/>
        </w:rPr>
        <w:t xml:space="preserve">2) ամսաթվերը լրացվում են ՕՕՕՕ-ԱԱ-ՕՕ, ժամերը՝ 24-ժամյա ձևաչափով (ԺԺ:ՐՐ), ժամային գոտին՝ Երևանի.</w:t>
      </w:r>
    </w:p>
    <w:p>
      <w:pPr>
        <w:spacing w:after="80"/>
        <w:ind w:left="520"/>
      </w:pPr>
      <w:r>
        <w:rPr>
          <w:rFonts w:ascii="Sylfaen" w:cs="Sylfaen" w:eastAsia="Sylfaen" w:hAnsi="Sylfaen"/>
          <w:sz w:val="22"/>
          <w:szCs w:val="22"/>
        </w:rPr>
        <w:t xml:space="preserve">3) դրամական մեծությունները նշվում են ՀՀ դրամով.</w:t>
      </w:r>
    </w:p>
    <w:p>
      <w:pPr>
        <w:spacing w:after="80"/>
        <w:ind w:left="520"/>
      </w:pPr>
      <w:r>
        <w:rPr>
          <w:rFonts w:ascii="Sylfaen" w:cs="Sylfaen" w:eastAsia="Sylfaen" w:hAnsi="Sylfaen"/>
          <w:sz w:val="22"/>
          <w:szCs w:val="22"/>
        </w:rPr>
        <w:t xml:space="preserve">4) յուրաքանչյուր հաջորդ հաշվետվություն հղում է կատարում նույն միջադեպի նախորդ հաշվետվությանը (միջադեպի եզակի համարով).</w:t>
      </w:r>
    </w:p>
    <w:p>
      <w:pPr>
        <w:spacing w:after="80"/>
        <w:ind w:left="520"/>
      </w:pPr>
      <w:r>
        <w:rPr>
          <w:rFonts w:ascii="Sylfaen" w:cs="Sylfaen" w:eastAsia="Sylfaen" w:hAnsi="Sylfaen"/>
          <w:sz w:val="22"/>
          <w:szCs w:val="22"/>
        </w:rPr>
        <w:t xml:space="preserve">5) տվյալի ուղղման դեպքում ներկայացվում է շտկված հաշվետվություն՝ ուղղման նշումով։</w:t>
      </w:r>
    </w:p>
    <w:p>
      <w:pPr>
        <w:spacing w:after="80"/>
      </w:pPr>
      <w:r>
        <w:rPr>
          <w:rFonts w:ascii="Sylfaen" w:cs="Sylfaen" w:eastAsia="Sylfaen" w:hAnsi="Sylfaen"/>
          <w:sz w:val="22"/>
          <w:szCs w:val="22"/>
        </w:rPr>
        <w:t xml:space="preserve">16. Ընկերությունը պատասխանատու է ներկայացված տվյալների ստույգության համար. Կենտրոնական բանկը կարող է պահանջել լրացուցիչ տվյալ կամ պարզաբանում՝ սահմանելով ողջամիտ ժամկետ։</w:t>
      </w:r>
    </w:p>
    <w:p>
      <w:pPr>
        <w:pStyle w:val="Heading2"/>
        <w:spacing w:after="100" w:before="220"/>
      </w:pPr>
      <w:r>
        <w:rPr>
          <w:rFonts w:ascii="Sylfaen" w:cs="Sylfaen" w:eastAsia="Sylfaen" w:hAnsi="Sylfaen"/>
          <w:b/>
          <w:bCs/>
          <w:color w:val="2E5496"/>
          <w:sz w:val="25"/>
          <w:szCs w:val="25"/>
        </w:rPr>
        <w:t xml:space="preserve">Գլուխ 6. Անցումային և եզրափակիչ դրույթներ</w:t>
      </w:r>
    </w:p>
    <w:p>
      <w:pPr>
        <w:spacing w:after="80"/>
      </w:pPr>
      <w:r>
        <w:rPr>
          <w:rFonts w:ascii="Sylfaen" w:cs="Sylfaen" w:eastAsia="Sylfaen" w:hAnsi="Sylfaen"/>
          <w:sz w:val="22"/>
          <w:szCs w:val="22"/>
        </w:rPr>
        <w:t xml:space="preserve">17. Սույն կանոնակարգն ուժի մեջ մտնելուց հետո առաջին [__] ամսվա ընթացքում Ընկերությունները համապատասխանեցնում են իրենց ներքին ընթացակարգերը սույն կանոնակարգին </w:t>
      </w:r>
      <w:r>
        <w:rPr>
          <w:rFonts w:ascii="Sylfaen" w:cs="Sylfaen" w:eastAsia="Sylfaen" w:hAnsi="Sylfaen"/>
          <w:i/>
          <w:iCs/>
          <w:color w:val="B54708"/>
          <w:sz w:val="22"/>
          <w:szCs w:val="22"/>
        </w:rPr>
        <w:t xml:space="preserve">[նախագծային — ճշտել]</w:t>
      </w:r>
      <w:r>
        <w:rPr>
          <w:rFonts w:ascii="Sylfaen" w:cs="Sylfaen" w:eastAsia="Sylfaen" w:hAnsi="Sylfaen"/>
          <w:sz w:val="22"/>
          <w:szCs w:val="22"/>
        </w:rPr>
        <w:t xml:space="preserve">։</w:t>
      </w:r>
    </w:p>
    <w:p>
      <w:pPr>
        <w:spacing w:after="80"/>
      </w:pPr>
      <w:r>
        <w:rPr>
          <w:rFonts w:ascii="Sylfaen" w:cs="Sylfaen" w:eastAsia="Sylfaen" w:hAnsi="Sylfaen"/>
          <w:sz w:val="22"/>
          <w:szCs w:val="22"/>
        </w:rPr>
        <w:t xml:space="preserve">18. Սույն կանոնակարգի Հավելված 1-ով սահմանված ձևը կիրառվում է ուժի մեջ մտնելու օրվանից հետո հայտնաբերված միջադեպերի նկատմամբ։</w:t>
      </w:r>
    </w:p>
    <w:p>
      <w:pPr>
        <w:pStyle w:val="Heading1"/>
        <w:spacing w:after="120" w:before="200"/>
        <w:jc w:val="center"/>
      </w:pPr>
      <w:r>
        <w:rPr>
          <w:rFonts w:ascii="Sylfaen" w:cs="Sylfaen" w:eastAsia="Sylfaen" w:hAnsi="Sylfaen"/>
          <w:b/>
          <w:bCs/>
          <w:color w:val="1F3864"/>
          <w:sz w:val="28"/>
          <w:szCs w:val="28"/>
        </w:rPr>
        <w:t xml:space="preserve">Հավելված 1 — Միջադեպի մասին հաշվետվության ձև (տվյալների դաշտեր)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Դաշտ</w:t>
            </w:r>
          </w:p>
        </w:tc>
        <w:tc>
          <w:tcPr>
            <w:tcW w:type="dxa" w:w="3008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Բովանդակություն</w:t>
            </w:r>
          </w:p>
        </w:tc>
        <w:tc>
          <w:tcPr>
            <w:tcW w:type="dxa" w:w="301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Պարտադիր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8"/>
                <w:szCs w:val="18"/>
              </w:rPr>
              <w:t xml:space="preserve">1. Ընկերություն</w:t>
            </w:r>
          </w:p>
        </w:tc>
        <w:tc>
          <w:tcPr>
            <w:tcW w:type="dxa" w:w="300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8"/>
                <w:szCs w:val="18"/>
              </w:rPr>
              <w:t xml:space="preserve">անվանում, նույնականացման համար</w:t>
            </w:r>
          </w:p>
        </w:tc>
        <w:tc>
          <w:tcPr>
            <w:tcW w:type="dxa" w:w="30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8"/>
                <w:szCs w:val="18"/>
              </w:rPr>
              <w:t xml:space="preserve">Այո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8"/>
                <w:szCs w:val="18"/>
              </w:rPr>
              <w:t xml:space="preserve">2. Հաշվետվության տեսակ</w:t>
            </w:r>
          </w:p>
        </w:tc>
        <w:tc>
          <w:tcPr>
            <w:tcW w:type="dxa" w:w="300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8"/>
                <w:szCs w:val="18"/>
              </w:rPr>
              <w:t xml:space="preserve">նախնական / միջանկյալ / վերջնական</w:t>
            </w:r>
          </w:p>
        </w:tc>
        <w:tc>
          <w:tcPr>
            <w:tcW w:type="dxa" w:w="30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8"/>
                <w:szCs w:val="18"/>
              </w:rPr>
              <w:t xml:space="preserve">Այո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8"/>
                <w:szCs w:val="18"/>
              </w:rPr>
              <w:t xml:space="preserve">3. Միջադեպի եզակի համար</w:t>
            </w:r>
          </w:p>
        </w:tc>
        <w:tc>
          <w:tcPr>
            <w:tcW w:type="dxa" w:w="300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8"/>
                <w:szCs w:val="18"/>
              </w:rPr>
              <w:t xml:space="preserve">Ընկերության կողմից տրված</w:t>
            </w:r>
          </w:p>
        </w:tc>
        <w:tc>
          <w:tcPr>
            <w:tcW w:type="dxa" w:w="30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8"/>
                <w:szCs w:val="18"/>
              </w:rPr>
              <w:t xml:space="preserve">Այո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8"/>
                <w:szCs w:val="18"/>
              </w:rPr>
              <w:t xml:space="preserve">4. Հայտնաբերման ամսաթիվ/ժամ</w:t>
            </w:r>
          </w:p>
        </w:tc>
        <w:tc>
          <w:tcPr>
            <w:tcW w:type="dxa" w:w="300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8"/>
                <w:szCs w:val="18"/>
              </w:rPr>
              <w:t xml:space="preserve">ՕՕՕՕ-ԱԱ-ՕՕ, ԺԺ:ՐՐ</w:t>
            </w:r>
          </w:p>
        </w:tc>
        <w:tc>
          <w:tcPr>
            <w:tcW w:type="dxa" w:w="30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8"/>
                <w:szCs w:val="18"/>
              </w:rPr>
              <w:t xml:space="preserve">Այո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8"/>
                <w:szCs w:val="18"/>
              </w:rPr>
              <w:t xml:space="preserve">5. Իրազեկման պահ</w:t>
            </w:r>
          </w:p>
        </w:tc>
        <w:tc>
          <w:tcPr>
            <w:tcW w:type="dxa" w:w="300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8"/>
                <w:szCs w:val="18"/>
              </w:rPr>
              <w:t xml:space="preserve">ՕՕՕՕ-ԱԱ-ՕՕ, ԺԺ:ՐՐ</w:t>
            </w:r>
          </w:p>
        </w:tc>
        <w:tc>
          <w:tcPr>
            <w:tcW w:type="dxa" w:w="30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8"/>
                <w:szCs w:val="18"/>
              </w:rPr>
              <w:t xml:space="preserve">Այո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8"/>
                <w:szCs w:val="18"/>
              </w:rPr>
              <w:t xml:space="preserve">6. Միջադեպի տեսակ</w:t>
            </w:r>
          </w:p>
        </w:tc>
        <w:tc>
          <w:tcPr>
            <w:tcW w:type="dxa" w:w="300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8"/>
                <w:szCs w:val="18"/>
              </w:rPr>
              <w:t xml:space="preserve">ՏՀՏ / կիբեռ / գործառնական</w:t>
            </w:r>
          </w:p>
        </w:tc>
        <w:tc>
          <w:tcPr>
            <w:tcW w:type="dxa" w:w="30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8"/>
                <w:szCs w:val="18"/>
              </w:rPr>
              <w:t xml:space="preserve">Այո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8"/>
                <w:szCs w:val="18"/>
              </w:rPr>
              <w:t xml:space="preserve">7. Նկարագրություն</w:t>
            </w:r>
          </w:p>
        </w:tc>
        <w:tc>
          <w:tcPr>
            <w:tcW w:type="dxa" w:w="300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8"/>
                <w:szCs w:val="18"/>
              </w:rPr>
              <w:t xml:space="preserve">համառոտ դեպքի նկարագիր</w:t>
            </w:r>
          </w:p>
        </w:tc>
        <w:tc>
          <w:tcPr>
            <w:tcW w:type="dxa" w:w="30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8"/>
                <w:szCs w:val="18"/>
              </w:rPr>
              <w:t xml:space="preserve">Այո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8"/>
                <w:szCs w:val="18"/>
              </w:rPr>
              <w:t xml:space="preserve">8. Էականության չափանիշներ</w:t>
            </w:r>
          </w:p>
        </w:tc>
        <w:tc>
          <w:tcPr>
            <w:tcW w:type="dxa" w:w="300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8"/>
                <w:szCs w:val="18"/>
              </w:rPr>
              <w:t xml:space="preserve">9-րդ կետի բավարարված ենթակետեր</w:t>
            </w:r>
          </w:p>
        </w:tc>
        <w:tc>
          <w:tcPr>
            <w:tcW w:type="dxa" w:w="30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8"/>
                <w:szCs w:val="18"/>
              </w:rPr>
              <w:t xml:space="preserve">Այո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8"/>
                <w:szCs w:val="18"/>
              </w:rPr>
              <w:t xml:space="preserve">9. Ազդված ծառայություններ/համակարգեր</w:t>
            </w:r>
          </w:p>
        </w:tc>
        <w:tc>
          <w:tcPr>
            <w:tcW w:type="dxa" w:w="300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8"/>
                <w:szCs w:val="18"/>
              </w:rPr>
              <w:t xml:space="preserve">ցանկ</w:t>
            </w:r>
          </w:p>
        </w:tc>
        <w:tc>
          <w:tcPr>
            <w:tcW w:type="dxa" w:w="30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8"/>
                <w:szCs w:val="18"/>
              </w:rPr>
              <w:t xml:space="preserve">Այո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8"/>
                <w:szCs w:val="18"/>
              </w:rPr>
              <w:t xml:space="preserve">10. Ազդված ապահովադիրներ/հաճախորդներ</w:t>
            </w:r>
          </w:p>
        </w:tc>
        <w:tc>
          <w:tcPr>
            <w:tcW w:type="dxa" w:w="300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8"/>
                <w:szCs w:val="18"/>
              </w:rPr>
              <w:t xml:space="preserve">թիվ/տեսակարար կշիռ</w:t>
            </w:r>
          </w:p>
        </w:tc>
        <w:tc>
          <w:tcPr>
            <w:tcW w:type="dxa" w:w="30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8"/>
                <w:szCs w:val="18"/>
              </w:rPr>
              <w:t xml:space="preserve">Այո (գնահատական)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8"/>
                <w:szCs w:val="18"/>
              </w:rPr>
              <w:t xml:space="preserve">11. Ընդհատման տևողություն</w:t>
            </w:r>
          </w:p>
        </w:tc>
        <w:tc>
          <w:tcPr>
            <w:tcW w:type="dxa" w:w="300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8"/>
                <w:szCs w:val="18"/>
              </w:rPr>
              <w:t xml:space="preserve">ժամ</w:t>
            </w:r>
          </w:p>
        </w:tc>
        <w:tc>
          <w:tcPr>
            <w:tcW w:type="dxa" w:w="30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8"/>
                <w:szCs w:val="18"/>
              </w:rPr>
              <w:t xml:space="preserve">Այո (գնահատական)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8"/>
                <w:szCs w:val="18"/>
              </w:rPr>
              <w:t xml:space="preserve">12. Ազդեցություն</w:t>
            </w:r>
          </w:p>
        </w:tc>
        <w:tc>
          <w:tcPr>
            <w:tcW w:type="dxa" w:w="300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8"/>
                <w:szCs w:val="18"/>
              </w:rPr>
              <w:t xml:space="preserve">ֆինանսական/գործառնական/տվյալների</w:t>
            </w:r>
          </w:p>
        </w:tc>
        <w:tc>
          <w:tcPr>
            <w:tcW w:type="dxa" w:w="30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8"/>
                <w:szCs w:val="18"/>
              </w:rPr>
              <w:t xml:space="preserve">Այո (գնահատական)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8"/>
                <w:szCs w:val="18"/>
              </w:rPr>
              <w:t xml:space="preserve">13. Ձեռնարկված միջոցներ</w:t>
            </w:r>
          </w:p>
        </w:tc>
        <w:tc>
          <w:tcPr>
            <w:tcW w:type="dxa" w:w="300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8"/>
                <w:szCs w:val="18"/>
              </w:rPr>
              <w:t xml:space="preserve">ցանկ</w:t>
            </w:r>
          </w:p>
        </w:tc>
        <w:tc>
          <w:tcPr>
            <w:tcW w:type="dxa" w:w="30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8"/>
                <w:szCs w:val="18"/>
              </w:rPr>
              <w:t xml:space="preserve">Այո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8"/>
                <w:szCs w:val="18"/>
              </w:rPr>
              <w:t xml:space="preserve">14. Պատասխանատու անձ</w:t>
            </w:r>
          </w:p>
        </w:tc>
        <w:tc>
          <w:tcPr>
            <w:tcW w:type="dxa" w:w="300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8"/>
                <w:szCs w:val="18"/>
              </w:rPr>
              <w:t xml:space="preserve">անուն, պաշտոն, կապ</w:t>
            </w:r>
          </w:p>
        </w:tc>
        <w:tc>
          <w:tcPr>
            <w:tcW w:type="dxa" w:w="30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8"/>
                <w:szCs w:val="18"/>
              </w:rPr>
              <w:t xml:space="preserve">Այո</w:t>
            </w:r>
          </w:p>
        </w:tc>
      </w:tr>
    </w:tbl>
    <w:p>
      <w:pPr>
        <w:spacing w:after="120"/>
      </w:pPr>
    </w:p>
    <w:p>
      <w:pPr>
        <w:pStyle w:val="Heading1"/>
        <w:spacing w:after="120" w:before="200"/>
        <w:jc w:val="center"/>
      </w:pPr>
      <w:r>
        <w:rPr>
          <w:rFonts w:ascii="Sylfaen" w:cs="Sylfaen" w:eastAsia="Sylfaen" w:hAnsi="Sylfaen"/>
          <w:b/>
          <w:bCs/>
          <w:color w:val="1F3864"/>
          <w:sz w:val="28"/>
          <w:szCs w:val="28"/>
        </w:rPr>
        <w:t xml:space="preserve">Հիմնավորում և աղբյուրներ (ոչ նորմատիվ)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ylfaen" w:cs="Sylfaen" w:eastAsia="Sylfaen" w:hAnsi="Sylfaen"/>
          <w:b/>
          <w:bCs/>
          <w:sz w:val="22"/>
          <w:szCs w:val="22"/>
        </w:rPr>
        <w:t xml:space="preserve">Ձև և իրավական հիմք.</w:t>
      </w:r>
      <w:r>
        <w:rPr>
          <w:rFonts w:ascii="Sylfaen" w:cs="Sylfaen" w:eastAsia="Sylfaen" w:hAnsi="Sylfaen"/>
          <w:sz w:val="22"/>
          <w:szCs w:val="22"/>
        </w:rPr>
        <w:t xml:space="preserve"> </w:t>
      </w:r>
      <w:r>
        <w:rPr>
          <w:rFonts w:ascii="Sylfaen" w:cs="Sylfaen" w:eastAsia="Sylfaen" w:hAnsi="Sylfaen"/>
          <w:i/>
          <w:iCs/>
          <w:color w:val="B54708"/>
          <w:sz w:val="22"/>
          <w:szCs w:val="22"/>
        </w:rPr>
        <w:t xml:space="preserve">WRB-004</w:t>
      </w:r>
      <w:r>
        <w:rPr>
          <w:rFonts w:ascii="Sylfaen" w:cs="Sylfaen" w:eastAsia="Sylfaen" w:hAnsi="Sylfaen"/>
          <w:sz w:val="22"/>
          <w:szCs w:val="22"/>
        </w:rPr>
        <w:t xml:space="preserve"> — CBA «Կանոնակարգ»-ի կառուցվածքը, 3/xx շարքը, 3/04 հաշվետվական օրինաչափությունը, «Նորմատիվ իրավական ակտերի մասին» ՀՀ օրենքի ձևաչափը (WRS-036, WRS-040, WRS-043, WRS-044, WRS-045, WRS-049)։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ylfaen" w:cs="Sylfaen" w:eastAsia="Sylfaen" w:hAnsi="Sylfaen"/>
          <w:b/>
          <w:bCs/>
          <w:sz w:val="22"/>
          <w:szCs w:val="22"/>
        </w:rPr>
        <w:t xml:space="preserve">Բովանդակություն.</w:t>
      </w:r>
      <w:r>
        <w:rPr>
          <w:rFonts w:ascii="Sylfaen" w:cs="Sylfaen" w:eastAsia="Sylfaen" w:hAnsi="Sylfaen"/>
          <w:sz w:val="22"/>
          <w:szCs w:val="22"/>
        </w:rPr>
        <w:t xml:space="preserve"> </w:t>
      </w:r>
      <w:r>
        <w:rPr>
          <w:rFonts w:ascii="Sylfaen" w:cs="Sylfaen" w:eastAsia="Sylfaen" w:hAnsi="Sylfaen"/>
          <w:i/>
          <w:iCs/>
          <w:color w:val="B54708"/>
          <w:sz w:val="22"/>
          <w:szCs w:val="22"/>
        </w:rPr>
        <w:t xml:space="preserve">WRB-003</w:t>
      </w:r>
      <w:r>
        <w:rPr>
          <w:rFonts w:ascii="Sylfaen" w:cs="Sylfaen" w:eastAsia="Sylfaen" w:hAnsi="Sylfaen"/>
          <w:sz w:val="22"/>
          <w:szCs w:val="22"/>
        </w:rPr>
        <w:t xml:space="preserve"> — միջադեպերի հաշվետվության միջազգային պրակտիկա. EU DORA (հոդ. 18, RTS 2024/1772. դասակարգման չափանիշներ, 4ժ/24ժ→72ժ→1 ամիս ժամկետներ), FSB FIRE, NAIC (72ժ), «Կիբեռանվտանգության մասին» ՀՀ օրենք (72ժ) (WRS-021, WRS-023, WRS-024, WRS-030, WRS-034)։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ylfaen" w:cs="Sylfaen" w:eastAsia="Sylfaen" w:hAnsi="Sylfaen"/>
          <w:b/>
          <w:bCs/>
          <w:sz w:val="22"/>
          <w:szCs w:val="22"/>
        </w:rPr>
        <w:t xml:space="preserve">Հաստատված բացեր (տեղապահներ ճշտելու համար).</w:t>
      </w:r>
      <w:r>
        <w:rPr>
          <w:rFonts w:ascii="Sylfaen" w:cs="Sylfaen" w:eastAsia="Sylfaen" w:hAnsi="Sylfaen"/>
          <w:sz w:val="22"/>
          <w:szCs w:val="22"/>
        </w:rPr>
        <w:t xml:space="preserve"> ապահովագրական ոլորտին հատուկ ԿԲ միջադեպերի կանոնակարգ չի հայտնաբերվել (WRB-003, WRB-004). ճշտման ենթակա են՝ լիազորող հոդվածի համարը, 3/04 ժամկետներն ու էլեկտրոնային ալիքը, դասակարգման ստույգ շեմերը։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ylfaen" w:cs="Sylfaen" w:eastAsia="Sylfaen" w:hAnsi="Sylfaen"/>
          <w:b/>
          <w:bCs/>
          <w:sz w:val="22"/>
          <w:szCs w:val="22"/>
        </w:rPr>
        <w:t xml:space="preserve">Կարգավիճակ.</w:t>
      </w:r>
      <w:r>
        <w:rPr>
          <w:rFonts w:ascii="Sylfaen" w:cs="Sylfaen" w:eastAsia="Sylfaen" w:hAnsi="Sylfaen"/>
          <w:sz w:val="22"/>
          <w:szCs w:val="22"/>
        </w:rPr>
        <w:t xml:space="preserve"> Նախագիծ՝ քննարկման համար. ոչ պաշտոնական, ոչ ընդունված ակտ։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ylfaen" w:cs="Sylfaen" w:eastAsia="Sylfaen" w:hAnsi="Sylfae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CBA insurance incident-reporting regulation (Armenian)</dc:title>
  <dc:creator>Central-Bank Rate Analysis Kit</dc:creator>
  <cp:lastModifiedBy>Un-named</cp:lastModifiedBy>
  <cp:revision>1</cp:revision>
  <dcterms:created xsi:type="dcterms:W3CDTF">2026-07-24T12:23:09.546Z</dcterms:created>
  <dcterms:modified xsi:type="dcterms:W3CDTF">2026-07-24T12:23:09.561Z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