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Sylfaen" w:cs="Sylfaen" w:eastAsia="Sylfaen" w:hAnsi="Sylfaen"/>
          <w:b/>
          <w:bCs/>
          <w:color w:val="1F3864"/>
          <w:sz w:val="40"/>
          <w:szCs w:val="40"/>
        </w:rPr>
        <w:t xml:space="preserve">Միջադեպերի մասին հաշվետվողականության կարգավորումը ապահովագրական ընկերությունների համար</w:t>
      </w:r>
    </w:p>
    <w:p>
      <w:pPr>
        <w:spacing w:after="400"/>
        <w:jc w:val="center"/>
      </w:pPr>
      <w:r>
        <w:rPr>
          <w:rFonts w:ascii="Sylfaen" w:cs="Sylfaen" w:eastAsia="Sylfaen" w:hAnsi="Sylfaen"/>
          <w:color w:val="2E5496"/>
          <w:sz w:val="26"/>
          <w:szCs w:val="26"/>
        </w:rPr>
        <w:t xml:space="preserve">Կարգավորող հետազոտություն. FSB FIRE, EU DORA, IAIS, EIOPA և ազգային ռեժիմներ</w:t>
      </w:r>
    </w:p>
    <w:p>
      <w:pPr>
        <w:spacing w:after="80"/>
        <w:jc w:val="center"/>
      </w:pPr>
      <w:r>
        <w:rPr>
          <w:rFonts w:ascii="Sylfaen" w:cs="Sylfaen" w:eastAsia="Sylfaen" w:hAnsi="Sylfaen"/>
          <w:sz w:val="22"/>
          <w:szCs w:val="22"/>
        </w:rPr>
        <w:t xml:space="preserve">Պատրաստվել է՝ 2026 թ. հուլիսի 24 · Աղբյուրների հասանելիության ամսաթիվ՝ 2026 թ. հուլիսի 21</w:t>
      </w:r>
    </w:p>
    <w:p>
      <w:pPr>
        <w:spacing w:after="80"/>
        <w:jc w:val="center"/>
      </w:pPr>
      <w:r>
        <w:rPr>
          <w:rFonts w:ascii="Sylfaen" w:cs="Sylfaen" w:eastAsia="Sylfaen" w:hAnsi="Sylfaen"/>
          <w:i/>
          <w:iCs/>
          <w:color w:val="667085"/>
          <w:sz w:val="22"/>
          <w:szCs w:val="22"/>
        </w:rPr>
        <w:t xml:space="preserve">Հիմնված է WRB-003 հետազոտական ամփոփագրի վրա (18 աղբյուր՝ WRS-018 – WRS-035)</w:t>
      </w:r>
    </w:p>
    <w:p>
      <w:pPr>
        <w:jc w:val="center"/>
      </w:pPr>
      <w:r>
        <w:rPr>
          <w:rFonts w:ascii="Sylfaen" w:cs="Sylfaen" w:eastAsia="Sylfaen" w:hAnsi="Sylfaen"/>
          <w:i/>
          <w:iCs/>
          <w:color w:val="667085"/>
          <w:sz w:val="18"/>
          <w:szCs w:val="18"/>
        </w:rPr>
        <w:t xml:space="preserve">Ընդհանուր վստահելիություն՝ Աշխատունակ (Workable) — տե՛ս «Վերապահումներ» բաժինը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1. Համառոտ ամփոփում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Ապահովագրական ընկերությունների միջադեպերի հաշվետվողականությունը կարգավորող մեկ միասնական համաշխարհային նորմ գոյություն չունի. (վեր)ապահովագրական կազմակերպությունը բախվում է կարգավորող ռեժիմների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բազմաշերտ համակարգի</w:t>
      </w:r>
      <w:r>
        <w:rPr>
          <w:rFonts w:ascii="Sylfaen" w:cs="Sylfaen" w:eastAsia="Sylfaen" w:hAnsi="Sylfaen"/>
          <w:sz w:val="22"/>
          <w:szCs w:val="22"/>
        </w:rPr>
        <w:t xml:space="preserve">։ Հիմնական եզրակացությունները՝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ԵՄ (վեր)ապահովագրողների համար միակ իրավաբանորեն պարտադիր, մանրամասն ռեժիմը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EU DORA</w:t>
      </w:r>
      <w:r>
        <w:rPr>
          <w:rFonts w:ascii="Sylfaen" w:cs="Sylfaen" w:eastAsia="Sylfaen" w:hAnsi="Sylfaen"/>
          <w:sz w:val="22"/>
          <w:szCs w:val="22"/>
        </w:rPr>
        <w:t xml:space="preserve">-ն է (Regulation (EU) 2022/2554, կիրառելի 2025 թ. հունվարի 17-ից). էական ՏՀՏ-միջադեպը հաղորդվում է իրավասու մարմնին երեք փուլով՝ նախնական՝ դասակարգումից ≤4 ժ (և ≤24 ժ՝ իրազեկվելուց), միջանկյալ՝ ≤72 ժ, վերջնական՝ ≤1 ամիս, պարտադիր ձևանմուշներով (WRS-021, WRS-022, WRS-023, WRS-024, WRS-025)։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FSB FIRE</w:t>
      </w:r>
      <w:r>
        <w:rPr>
          <w:rFonts w:ascii="Sylfaen" w:cs="Sylfaen" w:eastAsia="Sylfaen" w:hAnsi="Sylfaen"/>
          <w:sz w:val="22"/>
          <w:szCs w:val="22"/>
        </w:rPr>
        <w:t xml:space="preserve">-ը (վերջնական՝ 2025 թ. ապրիլի 15) պարտականություն չէ, այլ կամավոր ընդհանուր ձևաչափ՝ 87 տվյալ, որից 39-ը կամընտիր (WRS-018, WRS-019, WRS-020)։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IAIS</w:t>
      </w:r>
      <w:r>
        <w:rPr>
          <w:rFonts w:ascii="Sylfaen" w:cs="Sylfaen" w:eastAsia="Sylfaen" w:hAnsi="Sylfaen"/>
          <w:sz w:val="22"/>
          <w:szCs w:val="22"/>
        </w:rPr>
        <w:t xml:space="preserve">-ի ICP-ները և 2026 թ. գործառնական կայունության Կիրառական փաստաթուղթը սկզբունքային ուղեցույց են, ոչ պարտադիր ժամկետներ (WRS-028, WRS-029)։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ԱՄՆ-ում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NAIC</w:t>
      </w:r>
      <w:r>
        <w:rPr>
          <w:rFonts w:ascii="Sylfaen" w:cs="Sylfaen" w:eastAsia="Sylfaen" w:hAnsi="Sylfaen"/>
          <w:sz w:val="22"/>
          <w:szCs w:val="22"/>
        </w:rPr>
        <w:t xml:space="preserve">-ի մոդելային օրենքը պահանջում է ծանուցում նահանգի ապահովագրության կոմիսարին՝ դեպքի հաստատումից ≤72 ժ (WRS-030, WRS-031)։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Մեծ Բրիտանիա</w:t>
      </w:r>
      <w:r>
        <w:rPr>
          <w:rFonts w:ascii="Sylfaen" w:cs="Sylfaen" w:eastAsia="Sylfaen" w:hAnsi="Sylfaen"/>
          <w:sz w:val="22"/>
          <w:szCs w:val="22"/>
        </w:rPr>
        <w:t xml:space="preserve">-ում միասնական ռեժիմը (FCA PS26/2, PRA PS7/26) ուժի մեջ է մտնում 2027 թ. մարտի 18-ին և ուղղակիորեն ընդգրկում է Solvency II ապահովագրողներին ու Lloyd's-ը (WRS-032, WRS-035, WRS-033)։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Հայաստան</w:t>
      </w:r>
      <w:r>
        <w:rPr>
          <w:rFonts w:ascii="Sylfaen" w:cs="Sylfaen" w:eastAsia="Sylfaen" w:hAnsi="Sylfaen"/>
          <w:sz w:val="22"/>
          <w:szCs w:val="22"/>
        </w:rPr>
        <w:t xml:space="preserve">-ում «Կիբեռանվտանգության մասին» օրենքը (ուժի մեջ՝ 2026 թ. հունվարի 4) սահմանում է 72-ժամյա հաղորդում լիազոր մարմնին, իսկ ԿԲ-ն վերահսկում է ֆինանսական կազմակերպությունների համար. ապահովագրության ոլորտին հատուկ ձևանմուշ չի հայտնաբերվել (WRS-034)։</w:t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2. Ներածություն և մեթոդաբանություն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Սույն փաստաթուղթը ներկայացնում է, թե ինչպես պետք է ապահովագրական և վերապահովագրական կազմակերպությունները հաղորդեն գործառնական, ՏՀՏ-ի հետ կապված, կիբեռ և գործառնական կայունության էական միջադեպերը վերահսկող մարմիններին՝ </w:t>
      </w:r>
      <w:r>
        <w:rPr>
          <w:rFonts w:ascii="Sylfaen" w:cs="Sylfaen" w:eastAsia="Sylfaen" w:hAnsi="Sylfaen"/>
          <w:sz w:val="22"/>
          <w:szCs w:val="22"/>
        </w:rPr>
        <w:t xml:space="preserve">«ինչ (</w:t>
      </w:r>
      <w:r>
        <w:rPr>
          <w:rFonts w:ascii="Sylfaen" w:cs="Sylfaen" w:eastAsia="Sylfaen" w:hAnsi="Sylfaen"/>
          <w:i/>
          <w:iCs/>
          <w:sz w:val="22"/>
          <w:szCs w:val="22"/>
        </w:rPr>
        <w:t xml:space="preserve">what</w:t>
      </w:r>
      <w:r>
        <w:rPr>
          <w:rFonts w:ascii="Sylfaen" w:cs="Sylfaen" w:eastAsia="Sylfaen" w:hAnsi="Sylfaen"/>
          <w:sz w:val="22"/>
          <w:szCs w:val="22"/>
        </w:rPr>
        <w:t xml:space="preserve">)»</w:t>
      </w:r>
      <w:r>
        <w:rPr>
          <w:rFonts w:ascii="Sylfaen" w:cs="Sylfaen" w:eastAsia="Sylfaen" w:hAnsi="Sylfaen"/>
          <w:sz w:val="22"/>
          <w:szCs w:val="22"/>
        </w:rPr>
        <w:t xml:space="preserve">, ով, ում, երբ (ժամկետներ), ինչ ձևաչափով և ինչ էականության շեմերի հիման վրա։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Հիմնական աղբյուրներն են՝ FSB FIRE, EU DORA (և դրա երկրորդ մակարդակի RTS/ITS ակտերը), IAIS-ի հրապարակումները, EIOPA-ի հրապարակումները, ինչպես նաև ԱՄՆ-ի (NAIC), Մեծ Բրիտանիայի (FCA/PRA/BoE) և Հայաստանի պաշտոնական կարգավորող աղբյուրները։ Յուրաքանչյուր փաստ ուղեկցվում է աղբյուրի հղումով (WRS-NNN)։</w:t>
      </w:r>
    </w:p>
    <w:p>
      <w:pPr>
        <w:spacing w:after="12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Մեթոդի վերաբերյալ ազնիվ նշում</w:t>
      </w:r>
      <w:r>
        <w:rPr>
          <w:rFonts w:ascii="Sylfaen" w:cs="Sylfaen" w:eastAsia="Sylfaen" w:hAnsi="Sylfaen"/>
          <w:sz w:val="22"/>
          <w:szCs w:val="22"/>
        </w:rPr>
        <w:t xml:space="preserve">. Բոլոր պաշտոնական կայքերը (fsb.org, eur-lex, eiopa, iais, naic, fca, bankofengland) ավտոմատ բեռնման դեպքում վերադարձրին HTTP 403. հետևաբար պաշտոնական տեքստը կարդացվել է որոնման արդյունքների այն հատվածներից, որոնք մեջբերում են սկզբնաղբյուրը, և կրող պնդումների համար հաստատվել է երկրորդ անկախ աղբյուրով (հաստատված մեթոդ)։ Աղբյուրների մակարդակները (P0–P4) արտացոլում են աղբյուրի բնույթը, ոչ թե ստացման եղանակը։ Ընդհանուր վստահելիությունը՝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Աշխատունակ (Workable)</w:t>
      </w:r>
      <w:r>
        <w:rPr>
          <w:rFonts w:ascii="Sylfaen" w:cs="Sylfaen" w:eastAsia="Sylfaen" w:hAnsi="Sylfaen"/>
          <w:sz w:val="22"/>
          <w:szCs w:val="22"/>
        </w:rPr>
        <w:t xml:space="preserve">։</w:t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3. Կարգավորող դաշտը ըստ ռեժիմների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3.1. FSB — Format for Incident Reporting Exchange (FIRE)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FSB-ի FIRE-ը (վերջնական հրապարակում՝ 2025 թ. ապրիլի 15) ոչ թե պարտականություն է, այլ միջադեպերի հաղորդման </w:t>
      </w:r>
      <w:r>
        <w:rPr>
          <w:rFonts w:ascii="Sylfaen" w:cs="Sylfaen" w:eastAsia="Sylfaen" w:hAnsi="Sylfaen"/>
          <w:sz w:val="22"/>
          <w:szCs w:val="22"/>
        </w:rPr>
        <w:t xml:space="preserve">«ընդհանուր ձևաչափ (</w:t>
      </w:r>
      <w:r>
        <w:rPr>
          <w:rFonts w:ascii="Sylfaen" w:cs="Sylfaen" w:eastAsia="Sylfaen" w:hAnsi="Sylfaen"/>
          <w:i/>
          <w:iCs/>
          <w:sz w:val="22"/>
          <w:szCs w:val="22"/>
        </w:rPr>
        <w:t xml:space="preserve">common format</w:t>
      </w:r>
      <w:r>
        <w:rPr>
          <w:rFonts w:ascii="Sylfaen" w:cs="Sylfaen" w:eastAsia="Sylfaen" w:hAnsi="Sylfaen"/>
          <w:sz w:val="22"/>
          <w:szCs w:val="22"/>
        </w:rPr>
        <w:t xml:space="preserve">)»</w:t>
      </w:r>
      <w:r>
        <w:rPr>
          <w:rFonts w:ascii="Sylfaen" w:cs="Sylfaen" w:eastAsia="Sylfaen" w:hAnsi="Sylfaen"/>
          <w:sz w:val="22"/>
          <w:szCs w:val="22"/>
        </w:rPr>
        <w:t xml:space="preserve">՝ 87 տեղեկատվական տարր, որից 39-ը կամընտիր (2024 թ. հոկտեմբերի նախագծում կար 99 տարր)։ Ուղեկցվում է տաքսոնոմիայի փաթեթով՝ հիմնված Data Point Model-ի (DPM) վրա՝ ապահովելով մեքենաընթեռնելի ձևաչափեր (XBRL) և վավերացման կանոններ (WRS-018, WRS-019)։ Նպատակը միջսահմանային կրկնվող հաշվետվողականությունը նվազեցնելն է. մարմինները կարող են իրենց ռեժիմները քարտեզագրել ընդհանուր դաշտերի վրա։ Հիմնված է FSB-ի 2023 թ. կիբեռմիջադեպերի հաղորդման մերձեցման հանձնարարականների և Cyber Lexicon-ի վրա (WRS-020)։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3.2. EU DORA — Regulation (EU) 2022/2554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DORA-ն տարբերակում է ՏՀՏ-միջադեպը (հոդ. 17),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էական ՏՀՏ-միջադեպը</w:t>
      </w:r>
      <w:r>
        <w:rPr>
          <w:rFonts w:ascii="Sylfaen" w:cs="Sylfaen" w:eastAsia="Sylfaen" w:hAnsi="Sylfaen"/>
          <w:sz w:val="22"/>
          <w:szCs w:val="22"/>
        </w:rPr>
        <w:t xml:space="preserve"> (հաղորդվում է հոդ. 19-ով) և նշանակալի կիբեռսպառնալիքը (կամավոր ծանուցում) (WRS-021)։ Հոդ. 18-ը սահմանում է դասակարգման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յոթ չափանիշ</w:t>
      </w:r>
      <w:r>
        <w:rPr>
          <w:rFonts w:ascii="Sylfaen" w:cs="Sylfaen" w:eastAsia="Sylfaen" w:hAnsi="Sylfaen"/>
          <w:sz w:val="22"/>
          <w:szCs w:val="22"/>
        </w:rPr>
        <w:t xml:space="preserve">՝ ազդված հաճախորդներ/գործարքներ, հեղինակության ազդեցություն, տևողություն և ընդհատում, աշխարհագրական տարածում, տվյալի կորուստ, ազդված ծառայությունների կրիտիկականություն, տնտեսական ազդեցություն (WRS-021)։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RTS 2024/1772-ը կոդավորում է շեմերը. միջադեպը էական է, եթե ազդում է կրիտիկական ծառայությունների վրա </w:t>
      </w:r>
      <w:r>
        <w:rPr>
          <w:rFonts w:ascii="Sylfaen" w:cs="Sylfaen" w:eastAsia="Sylfaen" w:hAnsi="Sylfaen"/>
          <w:i/>
          <w:iCs/>
          <w:sz w:val="22"/>
          <w:szCs w:val="22"/>
        </w:rPr>
        <w:t xml:space="preserve">և</w:t>
      </w:r>
      <w:r>
        <w:rPr>
          <w:rFonts w:ascii="Sylfaen" w:cs="Sylfaen" w:eastAsia="Sylfaen" w:hAnsi="Sylfaen"/>
          <w:sz w:val="22"/>
          <w:szCs w:val="22"/>
        </w:rPr>
        <w:t xml:space="preserve"> առկա է կա՛մ չարամիտ չարտոնված մուտք տվյալի հնարավոր կորստով, կա՛մ բավարարվում են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երկու կամ ավելի</w:t>
      </w:r>
      <w:r>
        <w:rPr>
          <w:rFonts w:ascii="Sylfaen" w:cs="Sylfaen" w:eastAsia="Sylfaen" w:hAnsi="Sylfaen"/>
          <w:sz w:val="22"/>
          <w:szCs w:val="22"/>
        </w:rPr>
        <w:t xml:space="preserve"> էականության շեմ (WRS-023, WRS-024)։ Ավստրիայի FMA-ի և ամփոփ աղբյուրների նշած առանձին շեմերն են՝ ազդված հաճախորդներ &gt;10%, տնտեսական ազդեցություն &gt;100 000 եվրո, ընդհատում &gt;2 ժ (WRS-024, WRS-023)։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Ուշադրություն</w:t>
      </w:r>
      <w:r>
        <w:rPr>
          <w:rFonts w:ascii="Sylfaen" w:cs="Sylfaen" w:eastAsia="Sylfaen" w:hAnsi="Sylfaen"/>
          <w:sz w:val="22"/>
          <w:szCs w:val="22"/>
        </w:rPr>
        <w:t xml:space="preserve">՝ այս ստույգ թվային արժեքները հիմնված են P1/P2 աղբյուրների վրա, ոչ թե 2024/1772-ի ուղղակի ընթերցման. պարտադիր փաստաթղթում օգտագործելուց առաջ պետք է ստուգել սկզբնաղբյուրով։</w:t>
      </w:r>
    </w:p>
    <w:p>
      <w:pPr>
        <w:spacing w:after="12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Ժամկետներ</w:t>
      </w:r>
      <w:r>
        <w:rPr>
          <w:rFonts w:ascii="Sylfaen" w:cs="Sylfaen" w:eastAsia="Sylfaen" w:hAnsi="Sylfaen"/>
          <w:sz w:val="22"/>
          <w:szCs w:val="22"/>
        </w:rPr>
        <w:t xml:space="preserve">՝ նախնական՝ դասակարգումից ≤4 ժ (և ոչ ուշ, քան իրազեկումից 24 ժ); միջանկյալ՝ ≤72 ժ; վերջնական՝ ≤1 ամիս (WRS-022, WRS-024, WRS-025)։ Բովանդակությունն ու ձևանմուշները սահմանված են ITS 2025/302-ով և RTS 2025/301-ով (WRS-022, WRS-025)։ Կազմակերպությունը հաղորդում է ազգային իրավասու մարմնին, որն էլ տվյալները փոխանցում է ESAs-ին, ECB-ին և ENISA-ին (հոդ. 19(6)) (WRS-021, WRS-024)։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3.3. IAIS — Insurance Core Principles և գործառնական կայունություն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IAIS-ի ICP 8-ը (ռիսկերի կառավարում և ներքին վերահսկողություն) և ICP 16-ը (ERM) պահանջում են ռիսկերի բացահայտում, գնահատում, մոնիթորինգ և հաղորդում, բայց սկզբունքահեն են, ոչ թե միջադեպի կոնկրետ գործարկիչ (WRS-028)։ 2026 թ. փետրվարին վերջնականացված Կիրառական փաստաթուղթը սահմանում է գործառնական կայունության նպատակներ և վերահսկողական գործիքակազմ՝ ICP-ներին աջակցելու, ոչ դրանք փոխարինելու համար (WRS-029)։ Կոշտ ժամկետ կամ ձևանմուշ չկա։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3.4. EIOPA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EIOPA-ն DORA-ն կիրառում է ԵՄ ապահովագրողների նկատմամբ. DORA-ի առաջին տեխնիկական ստանդարտները հրապարակվել են 2024 թ. հունվարի 17-ին (WRS-026), իսկ 2020 թ. ՏՀՏ անվտանգության և կառավարման ուղեցույցները հետ են կանչվել 2024 թ. դեկտեմբերի 19-ին՝ DORA-ի հետ կրկնությունից խուսափելու համար, այնպես որ DORA-ն դառնում է միակ lex specialis-ը (WRS-027, WRS-026)։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3.5. ԱՄՆ — NAIC Insurance Data Security Model Law (Model #668)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«Կիբեռանվտանգության դեպքը» սահմանված է §3-ում. §6-ի ծանուցումը գործարկվում է, երբ լիցենզավորված անձը </w:t>
      </w:r>
      <w:r>
        <w:rPr>
          <w:rFonts w:ascii="Sylfaen" w:cs="Sylfaen" w:eastAsia="Sylfaen" w:hAnsi="Sylfaen"/>
          <w:i/>
          <w:iCs/>
          <w:sz w:val="22"/>
          <w:szCs w:val="22"/>
        </w:rPr>
        <w:t xml:space="preserve">որոշում է</w:t>
      </w:r>
      <w:r>
        <w:rPr>
          <w:rFonts w:ascii="Sylfaen" w:cs="Sylfaen" w:eastAsia="Sylfaen" w:hAnsi="Sylfaen"/>
          <w:sz w:val="22"/>
          <w:szCs w:val="22"/>
        </w:rPr>
        <w:t xml:space="preserve">, որ այդպիսի դեպք տեղի է ունեցել, և բավարարվում են չափանիշները (օր.՝ մեկ այլ նահանգում 250+ սպառող ազդված, կամ սպառողին/գործունեությանը էական վնասի ողջամիտ հավանականություն) (WRS-030, WRS-031)։ Ժամկետը՝ «հնարավորինս արագ, բայց ոչ ուշ, քան 72 ժ» որոշման պահից. ստացողը՝ նահանգի ապահովագրության կոմիսարը (WRS-030, WRS-031)։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3.6. Մեծ Բրիտանիա — FCA / PRA / BoE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2026 թ. մարտի 18-ին վերջնականացվեց գործառնական միջադեպերի և երրորդ կողմերի հաշվետվողականության միասնական ռեժիմը (FCA PS26/2; PRA PS7/26՝ ներառյալ նոր SS1/26; BoE-ի FMI PS), որն ուժի մեջ է մտնում 2027 թ. մարտի 18-ին (WRS-032, WRS-035, WRS-033)։ PS7/26-ն ուղղակիորեն ընդգրկում է Մեծ Բրիտանիայի Solvency II ապահովագրողներին և Lloyd's-ը։ PRA-ն պահանջում է հաղորդում, երբ միջադեպը ռիսկ է ստեղծում ֆինանսական կայունության, ընկերության անվտանգության կամ ապահովադիրների պաշտպանության համար (WRS-032)։ </w:t>
      </w:r>
      <w:r>
        <w:rPr>
          <w:rFonts w:ascii="Sylfaen" w:cs="Sylfaen" w:eastAsia="Sylfaen" w:hAnsi="Sylfaen"/>
          <w:i/>
          <w:iCs/>
          <w:sz w:val="22"/>
          <w:szCs w:val="22"/>
        </w:rPr>
        <w:t xml:space="preserve">Ստույգ ժամային ժամկետները և դաշտային ձևանմուշները պաշտոնական տեքստից չեն հաստատվել</w:t>
      </w:r>
      <w:r>
        <w:rPr>
          <w:rFonts w:ascii="Sylfaen" w:cs="Sylfaen" w:eastAsia="Sylfaen" w:hAnsi="Sylfaen"/>
          <w:sz w:val="22"/>
          <w:szCs w:val="22"/>
        </w:rPr>
        <w:t xml:space="preserve"> (տե՛ս «Բացեր»)։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3.7. Հայաստան — «Կիբեռանվտանգության մասին» օրենք և ԿԲ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«Կիբեռանվտանգության մասին» օրենքը (ուժի մեջ՝ 2026 թ. հունվարի 4) սահմանում է կիբեռմիջադեպի մասին թարմ տեղեկատվության հաղորդում լիազոր մարմնին՝ իրազեկումից 72 ժ-ի ընթացքում. կիբեռմիջադեպը «լուրջ» է, եթե սպառնում է կյանքին/առողջությանը, ազգային անվտանգությանը կամ տնտեսությանը, կամ խաթարում է կրիտիկական ենթակառուցվածքը (WRS-034)։ ԿԲ-ն վերահսկում է ֆինանսական կազմակերպությունների գործառնական կայունությունը ստուգումների միջոցով (WRS-034)։ </w:t>
      </w:r>
      <w:r>
        <w:rPr>
          <w:rFonts w:ascii="Sylfaen" w:cs="Sylfaen" w:eastAsia="Sylfaen" w:hAnsi="Sylfaen"/>
          <w:b/>
          <w:bCs/>
          <w:sz w:val="22"/>
          <w:szCs w:val="22"/>
        </w:rPr>
        <w:t xml:space="preserve">Կարևոր վերապահում</w:t>
      </w:r>
      <w:r>
        <w:rPr>
          <w:rFonts w:ascii="Sylfaen" w:cs="Sylfaen" w:eastAsia="Sylfaen" w:hAnsi="Sylfaen"/>
          <w:sz w:val="22"/>
          <w:szCs w:val="22"/>
        </w:rPr>
        <w:t xml:space="preserve">՝ ապահովագրության ոլորտին հատուկ միջադեպերի հաղորդման կանոն (առանձին ձևանմուշ, ժամկետ, շեմ) չի հայտնաբերվել, և այս տեղեկությունը հիմնված է մեկ P3 (իրավաբանական ընկերության ուղեցույց) աղբյուրի վրա. այն չպետք է ներկայացվի որպես ԿԲ-ի ապահովագրական նորմ։</w:t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4. Համեմատական աղյուսակ</w:t>
      </w:r>
    </w:p>
    <w:p>
      <w:pPr>
        <w:spacing w:after="120"/>
      </w:pPr>
      <w:r>
        <w:rPr>
          <w:rFonts w:ascii="Sylfaen" w:cs="Sylfaen" w:eastAsia="Sylfaen" w:hAnsi="Sylfaen"/>
          <w:i/>
          <w:iCs/>
          <w:color w:val="667085"/>
          <w:sz w:val="22"/>
          <w:szCs w:val="22"/>
        </w:rPr>
        <w:t xml:space="preserve">Ռեժիմ ըստ ռեժիմի՝ հաշվետու միջադեպ/շեմ, ժամկետներ, ձևաչափ, ստացող և կարգավիճակ։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900"/>
        <w:gridCol w:w="1500"/>
        <w:gridCol w:w="1200"/>
        <w:gridCol w:w="1026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Ռեժիմ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Հաշվետու միջադեպ / շեմ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Ժամկետներ (նախնական / միջանկյալ / վերջնական)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Ձևաչափ / ձևանմուշ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Ստացող</w:t>
            </w:r>
          </w:p>
        </w:tc>
        <w:tc>
          <w:tcPr>
            <w:tcW w:type="dxa" w:w="1026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Կարգավիճակ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FSB FIRE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Գործառնական միջադեպեր, ներառյալ կիբեռ; պարտադիր շեմ չկա (սահմանում է ընդունող մարմինը)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Սեփական ժամկետներ չունի (միայն ձևաչափ է)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Ընդհանուր ձևաչափ՝ 87 տվյալ (39-ը՝ կամընտիր); DPM տաքսոնոմիա, XBRL-պատրաստ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Ձևաչափն ընդունող մարմիններ (ընկերություն→մարմին, մարմին→մարմին)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Վերջնական՝ 2025-04-15; կամավոր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EU DORA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«Էական ՏՀՏ-միջադեպ». հոդ. 18-ի 7 չափանիշ; էական է, եթե՝ կրիտիկական ծառայության վրա ազդեցություն + չարամիտ մուտք/տվյալի կորուստ ԿԱՄ ≥2 էականության շեմ (2024/1772)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Նախնական՝ ≤4 ժ դասակարգումից (≤24 ժ իրազեկումից) / միջանկյալ՝ ≤72 ժ / վերջնական՝ ≤1 ամիս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Պարտադիր ձևանմուշներ (ITS 2025/302) + բովանդակություն/ժամկետներ (RTS 2025/301)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Ազգային իրավասու մարմին; հետագա փոխանցում՝ ESAs, ECB, ENISA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Ուժի մեջ է, կիրառելի 2025-01-17-ից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IAIS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Սկզբունքահեն (ICP 8, ICP 16); գործառնական կայունության նպատակներ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Չի սահմանում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Չի սահմանում (գործիքակազմ/ուղեցույց)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Ապահովագրական վերահսկող մարմին (ICP-ների շրջանակում)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ICP-ներ՝ 2024-12; Կիրառական փաստաթուղթ՝ վերջնական 2026-02; ուղեցույց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EIOPA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Կիրառում է DORA-ն ԵՄ ապահովագրողների նկատմամբ; 2020 թ. ՏՀՏ ուղեցույցները հետ են կանչվել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Ըստ DORA-ի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Ըստ DORA ITS/RTS-ի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Ազգային ապահովագրական վերահսկիչներ / EIOPA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DORA STS՝ 2024-01-17-ից; հին ուղեցույցները չեղարկվել՝ 2024-12-19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ԱՄՆ — NAIC Model #668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«Կիբեռանվտանգության դեպք» (§3); շեմեր՝ 250+ սպառող / էական վնասի հավանականություն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≤72 ժ որոշման պահից (մեկ ժամկետ)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Սահմանված ծանուցման բովանդակություն; XBRL տաքսոնոմիա չկա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Նահանգի ապահովագրության կոմիսար (+ այլ նահանգներ, եթե 250+ բնակիչ)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Մոդելային օրենք; ուժի մեջ՝ ընդունող նահանգներում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Մեծ Բրիտանիա — PRA/FCA/BoE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Գործառնական միջադեպ, որը սպառնում է ֆին. կայունությանը / անվտանգությանը / ապահովադիրների պաշտպանությանը; PS7/26-ն ընդգրկում է Solvency II ապահովագրողներին և Lloyd's-ը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Փուլային հաշվետվություն (ստույգ ժամերը՝ չհաստատված)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Ստանդարտ հաշվետվություններ + էական երրորդ կողմերի ռեգիստր (PRA՝ SS1/26)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FCA / PRA (BoE՝ FMI-ների համար)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Վերջնական՝ 2026-03-18; ուժի մեջ՝ 2027-03-18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Հայաստան (Կիբեռանվտանգության օրենք; ԿԲ)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«Լուրջ» կիբեռմիջադեպ (կյանք/առողջություն, ազգ. անվտանգություն/տնտեսություն, կրիտիկական ենթակառուցվածք)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≤72 ժ լիազոր մարմնին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Չի հայտնաբերվել (ապահովագրությանը հատուկ)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Լիազոր մարմին; ԿԲ-ն վերահսկում է ֆին. կազմակերպությունների համար</w:t>
            </w:r>
          </w:p>
        </w:tc>
        <w:tc>
          <w:tcPr>
            <w:tcW w:type="dxa" w:w="1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Օրենքն ուժի մեջ՝ 2026-01-04; ապահովագրությանը հատուկ ձևանմուշ չի հայտնաբերվել</w:t>
            </w:r>
          </w:p>
        </w:tc>
      </w:tr>
    </w:tbl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5. Համընկնումներ, տարբերություններ և բացեր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Պարտադիր vs կամավոր</w:t>
      </w:r>
      <w:r>
        <w:rPr>
          <w:rFonts w:ascii="Sylfaen" w:cs="Sylfaen" w:eastAsia="Sylfaen" w:hAnsi="Sylfaen"/>
          <w:sz w:val="22"/>
          <w:szCs w:val="22"/>
        </w:rPr>
        <w:t xml:space="preserve">. DORA-ն, NAIC-ը (ընդունող նահանգում) և Մեծ Բրիտանիայի ռեժիմը պարտադիր են; FSB FIRE-ը և IAIS-ի ICP-ները ուղղակիորեն պարտադիր չեն (WRS-018, WRS-028, WRS-029 vs WRS-021, WRS-030, WRS-032)։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Տարբեր «ժամացույցներ»</w:t>
      </w:r>
      <w:r>
        <w:rPr>
          <w:rFonts w:ascii="Sylfaen" w:cs="Sylfaen" w:eastAsia="Sylfaen" w:hAnsi="Sylfaen"/>
          <w:sz w:val="22"/>
          <w:szCs w:val="22"/>
        </w:rPr>
        <w:t xml:space="preserve">. DORA-ի 4ժ/24ժ → 72ժ → 1 ամիս փուլային մոդելը հակադրվում է NAIC-ի և Հայաստանի մեկ 72-ժամյա ժամկետին (WRS-022/024 vs WRS-030 vs WRS-034)։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Ընդգրկույթ</w:t>
      </w:r>
      <w:r>
        <w:rPr>
          <w:rFonts w:ascii="Sylfaen" w:cs="Sylfaen" w:eastAsia="Sylfaen" w:hAnsi="Sylfaen"/>
          <w:sz w:val="22"/>
          <w:szCs w:val="22"/>
        </w:rPr>
        <w:t xml:space="preserve">. DORA-ն և Մեծ Բրիտանիայի ռեժիմն ընդգրկում են գործառնական միջադեպերը լայնորեն (ոչ միայն կիբեռ); NAIC-ը և Հայաստանի օրենքը կիբեռ/տվյալի անվտանգությանն են կենտրոնացած (WRS-021, WRS-032 vs WRS-030, WRS-034)։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Մերձեցման նպատակ</w:t>
      </w:r>
      <w:r>
        <w:rPr>
          <w:rFonts w:ascii="Sylfaen" w:cs="Sylfaen" w:eastAsia="Sylfaen" w:hAnsi="Sylfaen"/>
          <w:sz w:val="22"/>
          <w:szCs w:val="22"/>
        </w:rPr>
        <w:t xml:space="preserve">. FSB FIRE-ը գոյություն ունի հենց տարբեր ռեժիմների միջև մասնատվածությունը նվազեցնելու համար՝ ընդհանուր դաշտերի/տաքսոնոմիայի միջոցով (WRS-018, WRS-019, WRS-020)։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ԵՄ համախմբում</w:t>
      </w:r>
      <w:r>
        <w:rPr>
          <w:rFonts w:ascii="Sylfaen" w:cs="Sylfaen" w:eastAsia="Sylfaen" w:hAnsi="Sylfaen"/>
          <w:sz w:val="22"/>
          <w:szCs w:val="22"/>
        </w:rPr>
        <w:t xml:space="preserve">. EIOPA-ի 2020 թ. ուղեցույցների հետկանչը DORA-ն դարձնում է միակ lex specialis-ը՝ վերացնելով նախա-DORA համընկնումը (WRS-027, WRS-026)։</w:t>
      </w:r>
    </w:p>
    <w:p>
      <w:pPr>
        <w:pStyle w:val="Heading2"/>
        <w:spacing w:after="100" w:before="180"/>
      </w:pPr>
      <w:r>
        <w:rPr>
          <w:rFonts w:ascii="Sylfaen" w:cs="Sylfaen" w:eastAsia="Sylfaen" w:hAnsi="Sylfaen"/>
          <w:b/>
          <w:bCs/>
          <w:color w:val="2E5496"/>
          <w:sz w:val="25"/>
          <w:szCs w:val="25"/>
        </w:rPr>
        <w:t xml:space="preserve">Բացեր (հայտարարված «չհայտնաբերված»)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DORA-ի ստույգ թվային շեմերը (2024/1772) հիմնված են P1/P2-ի վրա, ոչ բեռնված սկզբնաղբյուրի. պարտադիր օգտագործումից առաջ ստուգել։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Մեծ Բրիտանիայի ստույգ ժամային ժամկետներն ու ձևանմուշային դաշտերը պաշտոնական տեքստից չեն հաստատվել։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ԿԲ-ի ապահովագրությանը հատուկ միջադեպերի հաղորդման պահանջ չի հայտնաբերվել (միայն հորիզոնական օրենք, P3 աղբյուր)։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ylfaen" w:cs="Sylfaen" w:eastAsia="Sylfaen" w:hAnsi="Sylfaen"/>
          <w:sz w:val="22"/>
          <w:szCs w:val="22"/>
        </w:rPr>
        <w:t xml:space="preserve">IAIS ICP 21-ի հաշվետվողականության մանրամասները առանձին չեն հաստատվել (ուղեցույցի մակարդակ)։</w:t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6. Եզրակացություններ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Միջսահմանային ապահովագրողի համար որոշիչ, պարտադիր ռեժիմը DORA-ն է՝ իր խիստ փուլային ժամկետներով և պարտադիր ձևանմուշներով։ NAIC-ը (ԱՄՆ) և Մեծ Բրիտանիայի նոր ռեժիմը (2027 թ.) ավելացնում են իրավասությանը հատուկ պարտավորություններ, մինչ FSB FIRE-ը և IAIS-ը սահմանում են ընդհանուր լեզու ու սկզբունքներ՝ առանց ուղղակի պարտադրանքի։ Կազմակերպությունները պետք է ներդնեն միջադեպերի դասակարգման և հաղորդման միասնական ընթացակարգ, որը բավարարի ամենախիստ ժամկետը (DORA-ի 4-ժամյա նախնական ծանուցումը) և հնարավորություն տա քարտեզագրվել FIRE-ի դաշտերին։ Ցանկացած պարտադիր փաստաթղթում ստույգ թվային շեմերը պետք է հաստատվեն սկզբնաղբյուրով (RTS 2024/1772)։</w:t>
      </w:r>
    </w:p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7. Աղբյուրների ցանկ</w:t>
      </w:r>
    </w:p>
    <w:p>
      <w:pPr>
        <w:spacing w:after="120"/>
      </w:pPr>
      <w:r>
        <w:rPr>
          <w:rFonts w:ascii="Sylfaen" w:cs="Sylfaen" w:eastAsia="Sylfaen" w:hAnsi="Sylfaen"/>
          <w:color w:val="667085"/>
          <w:sz w:val="22"/>
          <w:szCs w:val="22"/>
        </w:rPr>
        <w:t xml:space="preserve">Բոլոր աղբյուրները նաև գրանցված են </w:t>
      </w:r>
      <w:r>
        <w:rPr>
          <w:rFonts w:ascii="Sylfaen" w:cs="Sylfaen" w:eastAsia="Sylfaen" w:hAnsi="Sylfaen"/>
          <w:i/>
          <w:iCs/>
          <w:color w:val="667085"/>
          <w:sz w:val="22"/>
          <w:szCs w:val="22"/>
        </w:rPr>
        <w:t xml:space="preserve">web-research/sources/_index.md</w:t>
      </w:r>
      <w:r>
        <w:rPr>
          <w:rFonts w:ascii="Sylfaen" w:cs="Sylfaen" w:eastAsia="Sylfaen" w:hAnsi="Sylfaen"/>
          <w:color w:val="667085"/>
          <w:sz w:val="22"/>
          <w:szCs w:val="22"/>
        </w:rPr>
        <w:t xml:space="preserve"> ռեեստրում. հասանելիության ամսաթիվ՝ 2026-07-21։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700"/>
        <w:gridCol w:w="1826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54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Վերնագիր / հրապարակող</w:t>
            </w:r>
          </w:p>
        </w:tc>
        <w:tc>
          <w:tcPr>
            <w:tcW w:type="dxa" w:w="7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Մակ.</w:t>
            </w:r>
          </w:p>
        </w:tc>
        <w:tc>
          <w:tcPr>
            <w:tcW w:type="dxa" w:w="1826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URL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WRS-018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FSB — «FSB finalises the common Format for Incident Reporting Exchange (FIRE)» (2025-04-15)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https://www.fsb.org/2025/04/fsb-finalises-the-common-format-for-incident-reporting-exchange-fire/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WRS-019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FSB — «Format for Incident Reporting Exchange (FIRE): Final report» (2025-04-15)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https://www.fsb.org/uploads/P150425-1.pdf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WRS-020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FSB — «Recommendations to Achieve Greater Convergence in Cyber Incident Reporting: Final report» (2023-04-13)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https://www.fsb.org/2023/04/recommendations-to-achieve-greater-convergence-in-cyber-incident-reporting-final-report/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WRS-021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EUR-Lex — Regulation (EU) 2022/2554 (DORA), Arts 17–23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https://eur-lex.europa.eu/eli/reg/2022/2554/oj/eng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WRS-022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Springlex — DORA RTS on incident reporting, Art. 5 (reproducing Del. Reg (EU) 2025/301)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https://www.springlex.eu/en/packages/dora/rts-ir-regulation/article-5/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WRS-023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EUR-Lex — Commission Delegated Regulation (EU) 2024/1772 (RTS on classification)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https://eur-lex.europa.eu/eli/reg_del/2024/1772/oj/eng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WRS-024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FMA Österreich — «DORA – ICT-related incidents»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https://www.fma.gv.at/en/cross-sectoral-topics/dora/dora-ict-related-incidents/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WRS-025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EBA — «Joint Technical Standards on major incident reporting» under DORA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https://www.eba.europa.eu/activities/single-rulebook/regulatory-activities/operational-resilience/joint-technical-standards-major-incident-reporting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WRS-026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EIOPA — «ESAs publish first set of rules under DORA … incident classification» (2024-01-17)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https://www.eiopa.europa.eu/esas-publish-first-set-rules-under-dora-ict-and-third-party-risk-management-and-incident-2024-01-17_en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WRS-027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EIOPA — «EIOPA revokes previous guidelines to avoid duplications and overlaps with DORA» (2024-12-19)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https://www.eiopa.europa.eu/eiopa-revokes-previous-guidelines-avoid-duplications-and-overlaps-dora-2024-12-19_en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WRS-028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IAIS — «Insurance Core Principles and ComFrame» (2024-12; ICP 8, ICP 16)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https://www.iais.org/uploads/2025/06/IAIS-ICPs-and-ComFrame-December-2024.pdf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WRS-029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IAIS — «Application Paper on operational resilience objectives and toolkit» (final, 2026-02)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https://www.iais.org/2026/02/final-version-of-the-application-paper-on-operational-resilience-objectives-and-toolkit-published/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WRS-030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NAIC — «Insurance Data Security Model Law» (Model #668), §6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https://content.naic.org/sites/default/files/model-law-668.pdf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WRS-031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NAIC — «The NAIC Insurance Data Security Model Law» (government-affairs brief, 2025-08)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https://content.naic.org/sites/default/files/government-affairs-brief-data-security-model-law.pdf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WRS-032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FCA — «PS26/2: Operational incident and third party reporting» (2026-03-18)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https://www.fca.org.uk/publications/policy-statements/ps26-2-operational-incident-third-party-reporting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WRS-033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Bank of England — «Operational resilience … reporting for FMIs» (2026)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https://www.bankofengland.co.uk/paper/2026/ps/operational-resilience-operational-incident-and-outsourcing-and-third-party-reporting-for-fmis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WRS-034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Chambers and Partners — «Cybersecurity 2026 – Armenia» Global Practice Guide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https://practiceguides.chambers.com/practice-guides/cybersecurity-2026/armenia</w:t>
            </w:r>
          </w:p>
        </w:tc>
      </w:tr>
      <w:tr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WRS-035</w:t>
            </w:r>
          </w:p>
        </w:tc>
        <w:tc>
          <w:tcPr>
            <w:tcW w:type="dxa" w:w="5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Bank of England / PRA — «PS7/26: Operational resilience … reporting» (Solvency II insurers &amp; Lloyd's; incl. SS1/26)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P0</w:t>
            </w:r>
          </w:p>
        </w:tc>
        <w:tc>
          <w:tcPr>
            <w:tcW w:type="dxa" w:w="18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https://www.bankofengland.co.uk/prudential-regulation/publication/2026/march/operational-incident-and-third-party-reporting-policy-statement</w:t>
            </w:r>
          </w:p>
        </w:tc>
      </w:tr>
    </w:tbl>
    <w:p>
      <w:pPr>
        <w:pStyle w:val="Heading1"/>
        <w:spacing w:after="140" w:before="260"/>
      </w:pPr>
      <w:r>
        <w:rPr>
          <w:rFonts w:ascii="Sylfaen" w:cs="Sylfaen" w:eastAsia="Sylfaen" w:hAnsi="Sylfaen"/>
          <w:b/>
          <w:bCs/>
          <w:color w:val="1F3864"/>
          <w:sz w:val="30"/>
          <w:szCs w:val="30"/>
        </w:rPr>
        <w:t xml:space="preserve">8. Տերմինաբանական բառարան (English ⇄ Հայերեն)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Անգլերեն (English)</w:t>
            </w:r>
          </w:p>
        </w:tc>
        <w:tc>
          <w:tcPr>
            <w:tcW w:type="dxa" w:w="5426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Հայերեն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incident reporting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միջադեպերի մասին հաշվետվողականություն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(re)insurance undertaking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(վեր)ապահովագրական կազմակերպություն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ICT-related incident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ՏՀՏ-ի հետ կապված միջադեպ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major incident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էական միջադեպ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cyber incident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կիբեռմիջադեպ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operational resilience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գործառնական կայունություն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competent authority / supervisor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իրավասու մարմին / վերահսկող մարմին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materiality threshold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էականության շեմ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timeline / deadline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ժամկետ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template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ձևանմուշ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binding / voluntary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պարտադիր / կամավոր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guidance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ուղեցույց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policyholder protection</w:t>
            </w:r>
          </w:p>
        </w:tc>
        <w:tc>
          <w:tcPr>
            <w:tcW w:type="dxa" w:w="54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ylfaen" w:cs="Sylfaen" w:eastAsia="Sylfaen" w:hAnsi="Sylfaen"/>
                <w:b w:val="false"/>
                <w:bCs w:val="false"/>
                <w:color w:val="000000"/>
                <w:sz w:val="16"/>
                <w:szCs w:val="16"/>
              </w:rPr>
              <w:t xml:space="preserve">ապահովադիրների պաշտպանություն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reporting regulation for insurers (Armenian)</dc:title>
  <dc:creator>Central-Bank Rate Analysis Kit</dc:creator>
  <cp:lastModifiedBy>Un-named</cp:lastModifiedBy>
  <cp:revision>1</cp:revision>
  <dcterms:created xsi:type="dcterms:W3CDTF">2026-07-24T11:26:34.073Z</dcterms:created>
  <dcterms:modified xsi:type="dcterms:W3CDTF">2026-07-24T11:26:34.073Z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