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6"/>
        </w:rPr>
        <w:t>Measures to Ensure Final Customisation Cost</w:t>
      </w:r>
    </w:p>
    <w:p>
      <w:r>
        <w:t>PBVN has implemented the following controls to ensure the USD 447,600 represents the final customisation cost:</w:t>
      </w:r>
    </w:p>
    <w:p>
      <w:r>
        <w:rPr>
          <w:b/>
        </w:rPr>
        <w:t>a)</w:t>
        <w:tab/>
      </w:r>
      <w:r>
        <w:t>10-month Product Walkthrough (Feb-Dec 2025) covering all modules, formally signed off 6-1-2026 confirming all gaps identified.</w:t>
      </w:r>
    </w:p>
    <w:p>
      <w:r>
        <w:rPr>
          <w:b/>
        </w:rPr>
        <w:t>b)</w:t>
        <w:tab/>
      </w:r>
      <w:r>
        <w:t>All 75 BRDs documented with detailed specifications and broken into 222 deliverable items. Signed off by PBVN business departments.</w:t>
      </w:r>
    </w:p>
    <w:p>
      <w:r>
        <w:rPr>
          <w:b/>
        </w:rPr>
        <w:t>c)</w:t>
        <w:tab/>
      </w:r>
      <w:r>
        <w:t>Fixed-price contract locked 22-12-2025 at USD 1,075,450. Fixed rate USD 350/man-day, no variation clause. Oracle bears effort overrun risk.</w:t>
      </w:r>
    </w:p>
    <w:p>
      <w:r>
        <w:rPr>
          <w:b/>
        </w:rPr>
        <w:t>d)</w:t>
        <w:tab/>
      </w:r>
      <w:r>
        <w:t>Scope frozen 15-10-2024. Formal Change Request process requiring Steering Committee and ITSC approval for any additions.</w:t>
      </w:r>
    </w:p>
    <w:p>
      <w:r>
        <w:rPr>
          <w:b/>
        </w:rPr>
        <w:t>e)</w:t>
        <w:tab/>
      </w:r>
      <w:r>
        <w:t>All current SBV requirements covered through 19 regulatory BRDs (25%). Any post-Feb 2026 regulatory changes managed as separate CRs.</w:t>
      </w:r>
    </w:p>
    <w:p>
      <w:r>
        <w:rPr>
          <w:b/>
        </w:rPr>
        <w:t>f)</w:t>
        <w:tab/>
      </w:r>
      <w:r>
        <w:t>All integration points defined: IB/MB (ODI), CardZone (file/API), CITAD/NAPAS/VCB (message queues), SeaTech (API), OFSAA/Acumen/DMS.</w:t>
      </w:r>
    </w:p>
    <w:p>
      <w:r>
        <w:rPr>
          <w:b/>
        </w:rPr>
        <w:t>g)</w:t>
        <w:tab/>
      </w:r>
      <w:r>
        <w:t>Maximised Oracle standard features. All 75 BRDs represent genuine gaps where standard features cannot meet requirements.</w:t>
      </w:r>
    </w:p>
    <w:p>
      <w:r>
        <w:rPr>
          <w:b/>
        </w:rPr>
        <w:t>h)</w:t>
        <w:tab/>
      </w:r>
      <w:r>
        <w:t>Oracle committed to July 2026 delivery. Schedule: Apr 2026 (start), May-Jun 2026 (delivery/SIT), Jul 2026 (final), Aug-Sep 2026 (UAT), 31-Oct-2026 (go-live).</w:t>
      </w:r>
    </w:p>
    <w:p/>
    <w:p>
      <w:r>
        <w:t>Any future requirements from unforeseen regulatory changes (after Feb 2026) or business expansion will require separate CR approval with independent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