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UrbanCart Analytics - Executive Summary</w:t>
      </w:r>
    </w:p>
    <w:p>
      <w:pPr>
        <w:spacing w:after="120" w:line="276" w:lineRule="auto"/>
      </w:pPr>
      <w:r>
        <w:t>UrbanCart's analysis combined six operational database tables with a legacy customer export and supplier catalog. After cleaning, 1,377 legacy customer records remained. Product reconciliation found 255 matches, 12 supplier-only SKUs, and 45 database-only products.</w:t>
      </w:r>
    </w:p>
    <w:p>
      <w:pPr>
        <w:pStyle w:val="Heading1"/>
        <w:spacing w:before="160" w:after="100"/>
      </w:pPr>
      <w:r>
        <w:t>Top findings</w:t>
      </w:r>
    </w:p>
    <w:p>
      <w:pPr>
        <w:pStyle w:val="ListBullet"/>
      </w:pPr>
      <w:r>
        <w:t>Books &amp; Media generated the highest category revenue.</w:t>
      </w:r>
    </w:p>
    <w:p>
      <w:pPr>
        <w:pStyle w:val="ListBullet"/>
      </w:pPr>
      <w:r>
        <w:t>Champions customers generated the largest RFM-segment revenue.</w:t>
      </w:r>
    </w:p>
    <w:p>
      <w:pPr>
        <w:pStyle w:val="ListBullet"/>
      </w:pPr>
      <w:r>
        <w:t>Beauty &amp; Health had the highest return-unit rate at 2.45%.</w:t>
      </w:r>
    </w:p>
    <w:p>
      <w:pPr>
        <w:pStyle w:val="ListBullet"/>
      </w:pPr>
      <w:r>
        <w:t>The supplier catalog contained 12 supplier-only SKUs and the database contained 45 database-only products.</w:t>
      </w:r>
    </w:p>
    <w:p>
      <w:pPr>
        <w:pStyle w:val="ListBullet"/>
      </w:pPr>
      <w:r>
        <w:t>Rating and repeat-purchase correlation was weak (0.035).</w:t>
      </w:r>
    </w:p>
    <w:p>
      <w:pPr>
        <w:pStyle w:val="Heading1"/>
        <w:spacing w:before="160" w:after="100"/>
      </w:pPr>
      <w:r>
        <w:t>Forecast and uncertainty</w:t>
      </w:r>
    </w:p>
    <w:p>
      <w:pPr>
        <w:spacing w:after="120" w:line="276" w:lineRule="auto"/>
      </w:pPr>
      <w:r>
        <w:t>The Normal Equation model produced R-squared 0.680. Point forecasts are $334,584 and $339,290. Monte Carlo month-two revenue has a 90% range of approximately $125,518 to $803,794, showing material planning uncertainty.</w:t>
      </w:r>
    </w:p>
    <w:p>
      <w:pPr>
        <w:pStyle w:val="Heading1"/>
        <w:spacing w:before="160" w:after="100"/>
      </w:pPr>
      <w:r>
        <w:t>Recommended actions</w:t>
      </w:r>
    </w:p>
    <w:p>
      <w:pPr>
        <w:pStyle w:val="ListBullet"/>
      </w:pPr>
      <w:r>
        <w:t>Prioritize inventory and campaigns for high-revenue categories and products.</w:t>
      </w:r>
    </w:p>
    <w:p>
      <w:pPr>
        <w:pStyle w:val="ListBullet"/>
      </w:pPr>
      <w:r>
        <w:t>Retain Champions and intervene early with high-value churn-risk customers.</w:t>
      </w:r>
    </w:p>
    <w:p>
      <w:pPr>
        <w:pStyle w:val="ListBullet"/>
      </w:pPr>
      <w:r>
        <w:t>Investigate return drivers in Beauty &amp; Health and other high-return categories.</w:t>
      </w:r>
    </w:p>
    <w:p>
      <w:pPr>
        <w:pStyle w:val="ListBullet"/>
      </w:pPr>
      <w:r>
        <w:t>Create product-master governance for internal and supplier catalog exceptions.</w:t>
      </w:r>
    </w:p>
    <w:p>
      <w:pPr>
        <w:pStyle w:val="ListBullet"/>
      </w:pPr>
      <w:r>
        <w:t>Refresh forecasts monthly and plan against uncertainty ranges.</w:t>
      </w:r>
    </w:p>
    <w:p>
      <w:pPr>
        <w:pStyle w:val="Heading1"/>
        <w:spacing w:before="160" w:after="100"/>
      </w:pPr>
      <w:r>
        <w:t>Decision note</w:t>
      </w:r>
    </w:p>
    <w:p>
      <w:pPr>
        <w:spacing w:after="120" w:line="276" w:lineRule="auto"/>
      </w:pPr>
      <w:r>
        <w:t>Review ratings have a weak relationship with repeat purchase (correlation 0.035); customer recency, frequency, monetary value, and engagement should carry more weight in retention decisions.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