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i w:val="false"/>
          <w:iCs w:val="false"/>
          <w:color w:val="1F4E79"/>
          <w:sz w:val="36"/>
          <w:szCs w:val="36"/>
        </w:rPr>
        <w:t xml:space="preserve">CE903 Group Project 3 — Sprint 6 Guide</w:t>
      </w:r>
    </w:p>
    <w:p>
      <w:pPr>
        <w:spacing w:after="60" w:before="0"/>
        <w:jc w:val="left"/>
      </w:pPr>
      <w:r>
        <w:rPr>
          <w:rFonts w:ascii="Arial" w:cs="Arial" w:eastAsia="Arial" w:hAnsi="Arial"/>
          <w:b w:val="false"/>
          <w:bCs w:val="false"/>
          <w:i/>
          <w:iCs/>
          <w:color w:val="2E75B6"/>
          <w:sz w:val="24"/>
          <w:szCs w:val="24"/>
        </w:rPr>
        <w:t xml:space="preserve">Integration Sprint: TC-04 — Predictive Models — Report Draft</w:t>
      </w:r>
    </w:p>
    <w:p>
      <w:pPr>
        <w:spacing w:after="40" w:before="0"/>
        <w:jc w:val="left"/>
      </w:pPr>
      <w:r>
        <w:rPr>
          <w:rFonts w:ascii="Arial" w:cs="Arial" w:eastAsia="Arial" w:hAnsi="Arial"/>
          <w:b w:val="false"/>
          <w:bCs w:val="false"/>
          <w:i w:val="false"/>
          <w:iCs w:val="false"/>
          <w:color w:val="595959"/>
          <w:sz w:val="20"/>
          <w:szCs w:val="20"/>
        </w:rPr>
        <w:t xml:space="preserve">Coordination &amp; integration: Bradley Quinlan   |   Supervisor: Muge Sayit</w:t>
      </w:r>
    </w:p>
    <w:p>
      <w:pPr>
        <w:spacing w:after="180" w:before="0"/>
        <w:jc w:val="left"/>
      </w:pPr>
      <w:r>
        <w:rPr>
          <w:rFonts w:ascii="Arial" w:cs="Arial" w:eastAsia="Arial" w:hAnsi="Arial"/>
          <w:b w:val="false"/>
          <w:bCs w:val="false"/>
          <w:i w:val="false"/>
          <w:iCs w:val="false"/>
          <w:color w:val="595959"/>
          <w:sz w:val="20"/>
          <w:szCs w:val="20"/>
        </w:rPr>
        <w:t xml:space="preserve">Sprint window: one week   |   Sprints remaining to 3 July submission: ~2.5 (this sprint included)</w:t>
      </w:r>
    </w:p>
    <w:p>
      <w:pPr>
        <w:pBdr>
          <w:bottom w:val="single" w:color="2E75B6" w:sz="4" w:space="1"/>
        </w:pBdr>
        <w:spacing w:after="100" w:before="100"/>
      </w:pPr>
    </w:p>
    <w:p>
      <w:pPr>
        <w:spacing w:after="140" w:before="140"/>
      </w:pPr>
    </w:p>
    <w:p>
      <w:pPr>
        <w:pStyle w:val="Heading1"/>
        <w:spacing w:after="120" w:before="360"/>
      </w:pPr>
      <w:r>
        <w:rPr>
          <w:rFonts w:ascii="Arial" w:cs="Arial" w:eastAsia="Arial" w:hAnsi="Arial"/>
          <w:b/>
          <w:bCs/>
          <w:i w:val="false"/>
          <w:iCs w:val="false"/>
          <w:color w:val="1F4E79"/>
          <w:sz w:val="32"/>
          <w:szCs w:val="32"/>
        </w:rPr>
        <w:t xml:space="preserve">1. Where we stand coming into Sprint 6</w:t>
      </w:r>
    </w:p>
    <w:p>
      <w:pPr>
        <w:spacing w:after="80" w:before="80"/>
        <w:jc w:val="left"/>
      </w:pPr>
      <w:r>
        <w:rPr>
          <w:rFonts w:ascii="Arial" w:cs="Arial" w:eastAsia="Arial" w:hAnsi="Arial"/>
          <w:b w:val="false"/>
          <w:bCs w:val="false"/>
          <w:i w:val="false"/>
          <w:iCs w:val="false"/>
          <w:color w:val="000000"/>
          <w:sz w:val="22"/>
          <w:szCs w:val="22"/>
        </w:rPr>
        <w:t xml:space="preserve">Sprint 5 closed in exactly the shape we planned: all four lane outputs are in hand, the integration contract is fully populated, and TC-04’s gate wording is confirmed. The 3.0% JCT recovery penalty baseline from Sprint 4 is the ruler everything gets measured against. We went wide in Sprint 5 so we could go deep now — and we have the evidence to do it.</w:t>
      </w:r>
    </w:p>
    <w:p>
      <w:pPr>
        <w:spacing w:after="80" w:before="80"/>
        <w:jc w:val="left"/>
      </w:pPr>
      <w:r>
        <w:rPr>
          <w:rFonts w:ascii="Arial" w:cs="Arial" w:eastAsia="Arial" w:hAnsi="Arial"/>
          <w:b w:val="false"/>
          <w:bCs w:val="false"/>
          <w:i w:val="false"/>
          <w:iCs w:val="false"/>
          <w:color w:val="000000"/>
          <w:sz w:val="22"/>
          <w:szCs w:val="22"/>
        </w:rPr>
        <w:t xml:space="preserve">Lane A’s routing integration runs </w:t>
      </w:r>
      <w:r>
        <w:rPr>
          <w:rFonts w:ascii="Arial" w:cs="Arial" w:eastAsia="Arial" w:hAnsi="Arial"/>
          <w:b/>
          <w:bCs/>
          <w:i w:val="false"/>
          <w:iCs w:val="false"/>
          <w:color w:val="000000"/>
          <w:sz w:val="22"/>
          <w:szCs w:val="22"/>
        </w:rPr>
        <w:t xml:space="preserve">offline</w:t>
      </w:r>
      <w:r>
        <w:rPr>
          <w:rFonts w:ascii="Arial" w:cs="Arial" w:eastAsia="Arial" w:hAnsi="Arial"/>
          <w:b w:val="false"/>
          <w:bCs w:val="false"/>
          <w:i w:val="false"/>
          <w:iCs w:val="false"/>
          <w:color w:val="000000"/>
          <w:sz w:val="22"/>
          <w:szCs w:val="22"/>
        </w:rPr>
        <w:t xml:space="preserve">, and that keeps this sprint simple. ASTRA-sim is trace-driven: Kyle’s LSTM reads burst timing from the Chakra traces, so “pre-positioning routes” means running two simulations with different routing configurations and comparing JCT. There’s no in-loop hook to build — the predictor informs a configuration step before each run. That’s the whole TC-04 mechanism, and it means both primary lanes can move from day one.</w:t>
      </w:r>
    </w:p>
    <w:p>
      <w:pPr>
        <w:spacing w:after="160" w:before="80"/>
        <w:jc w:val="left"/>
      </w:pPr>
      <w:r>
        <w:rPr>
          <w:rFonts w:ascii="Arial" w:cs="Arial" w:eastAsia="Arial" w:hAnsi="Arial"/>
          <w:b w:val="false"/>
          <w:bCs w:val="false"/>
          <w:i w:val="false"/>
          <w:iCs w:val="false"/>
          <w:color w:val="000000"/>
          <w:sz w:val="22"/>
          <w:szCs w:val="22"/>
        </w:rPr>
        <w:t xml:space="preserve">Muge’s steer from the Sprint 4 demo holds: two sprints to integrate the predictive work. This is the first of those two. What we build, train, and run this week becomes the substance of next week — Sprint 7 is where it all comes together as the final report and the regression sweep that proves every gate still holds. In other words, this sprint is where the results get made; next sprint is where they get written up and made to last. The clearer and better-documented our outputs are this week, the more next week is assembly and polish rather than scramble. The runway is comfortable if we hold that line.</w:t>
      </w:r>
    </w:p>
    <w:p>
      <w:pPr>
        <w:pStyle w:val="Heading1"/>
        <w:spacing w:after="120" w:before="360"/>
      </w:pPr>
      <w:r>
        <w:rPr>
          <w:rFonts w:ascii="Arial" w:cs="Arial" w:eastAsia="Arial" w:hAnsi="Arial"/>
          <w:b/>
          <w:bCs/>
          <w:i w:val="false"/>
          <w:iCs w:val="false"/>
          <w:color w:val="1F4E79"/>
          <w:sz w:val="32"/>
          <w:szCs w:val="32"/>
        </w:rPr>
        <w:t xml:space="preserve">2. The shape of Sprint 6</w:t>
      </w:r>
    </w:p>
    <w:p>
      <w:pPr>
        <w:spacing w:after="120" w:before="80"/>
        <w:jc w:val="left"/>
      </w:pPr>
      <w:r>
        <w:rPr>
          <w:rFonts w:ascii="Arial" w:cs="Arial" w:eastAsia="Arial" w:hAnsi="Arial"/>
          <w:b w:val="false"/>
          <w:bCs w:val="false"/>
          <w:i w:val="false"/>
          <w:iCs w:val="false"/>
          <w:color w:val="000000"/>
          <w:sz w:val="22"/>
          <w:szCs w:val="22"/>
        </w:rPr>
        <w:t xml:space="preserve">This is </w:t>
      </w:r>
      <w:r>
        <w:rPr>
          <w:rFonts w:ascii="Arial" w:cs="Arial" w:eastAsia="Arial" w:hAnsi="Arial"/>
          <w:b/>
          <w:bCs/>
          <w:i w:val="false"/>
          <w:iCs w:val="false"/>
          <w:color w:val="000000"/>
          <w:sz w:val="22"/>
          <w:szCs w:val="22"/>
        </w:rPr>
        <w:t xml:space="preserve">the integration sprint</w:t>
      </w:r>
      <w:r>
        <w:rPr>
          <w:rFonts w:ascii="Arial" w:cs="Arial" w:eastAsia="Arial" w:hAnsi="Arial"/>
          <w:b w:val="false"/>
          <w:bCs w:val="false"/>
          <w:i w:val="false"/>
          <w:iCs w:val="false"/>
          <w:color w:val="000000"/>
          <w:sz w:val="22"/>
          <w:szCs w:val="22"/>
        </w:rPr>
        <w:t xml:space="preserve"> — not another scoping sprint. The integration contract tells every lane exactly what to build and exactly what “done” looks like. The job this week is to run things, not scope things further.</w:t>
      </w:r>
    </w:p>
    <w:p>
      <w:pPr>
        <w:pStyle w:val="Heading2"/>
        <w:spacing w:after="100" w:before="240"/>
      </w:pPr>
      <w:r>
        <w:rPr>
          <w:rFonts w:ascii="Arial" w:cs="Arial" w:eastAsia="Arial" w:hAnsi="Arial"/>
          <w:b/>
          <w:bCs/>
          <w:i w:val="false"/>
          <w:iCs w:val="false"/>
          <w:color w:val="2E75B6"/>
          <w:sz w:val="26"/>
          <w:szCs w:val="26"/>
        </w:rPr>
        <w:t xml:space="preserve">2.1 The two primary tracks</w:t>
      </w:r>
    </w:p>
    <w:p>
      <w:pPr>
        <w:spacing w:after="80" w:before="80"/>
        <w:jc w:val="left"/>
      </w:pPr>
      <w:r>
        <w:rPr>
          <w:rFonts w:ascii="Arial" w:cs="Arial" w:eastAsia="Arial" w:hAnsi="Arial"/>
          <w:b w:val="false"/>
          <w:bCs w:val="false"/>
          <w:i w:val="false"/>
          <w:iCs w:val="false"/>
          <w:color w:val="000000"/>
          <w:sz w:val="22"/>
          <w:szCs w:val="22"/>
        </w:rPr>
        <w:t xml:space="preserve">Lane A (Kyle) and Lane B (Navami) are the two primary tracks this sprint, targeting the two genuinely distinct SRS prediction goals. They are parallel and mostly independent of each other, which means both can move simultaneously without coordination overhead.</w:t>
      </w:r>
    </w:p>
    <w:p>
      <w:pPr>
        <w:spacing w:after="120" w:before="80"/>
        <w:jc w:val="left"/>
      </w:pPr>
      <w:r>
        <w:rPr>
          <w:rFonts w:ascii="Arial" w:cs="Arial" w:eastAsia="Arial" w:hAnsi="Arial"/>
          <w:b w:val="false"/>
          <w:bCs w:val="false"/>
          <w:i w:val="false"/>
          <w:iCs w:val="false"/>
          <w:color w:val="000000"/>
          <w:sz w:val="22"/>
          <w:szCs w:val="22"/>
        </w:rPr>
        <w:t xml:space="preserve">Lane A drives to TC-04 — the primary acceptance gate. Lane B drives to the NFR-P1 fault pre-emption result. Both are “experimentation” in the sense Muge is looking for: models trained, predictions made, results measured against the established baseline.</w:t>
      </w:r>
    </w:p>
    <w:p>
      <w:pPr>
        <w:pStyle w:val="Heading2"/>
        <w:spacing w:after="100" w:before="240"/>
      </w:pPr>
      <w:r>
        <w:rPr>
          <w:rFonts w:ascii="Arial" w:cs="Arial" w:eastAsia="Arial" w:hAnsi="Arial"/>
          <w:b/>
          <w:bCs/>
          <w:i w:val="false"/>
          <w:iCs w:val="false"/>
          <w:color w:val="2E75B6"/>
          <w:sz w:val="26"/>
          <w:szCs w:val="26"/>
        </w:rPr>
        <w:t xml:space="preserve">2.2 The parallel tracks</w:t>
      </w:r>
    </w:p>
    <w:p>
      <w:pPr>
        <w:spacing w:after="120" w:before="80"/>
        <w:jc w:val="left"/>
      </w:pPr>
      <w:r>
        <w:rPr>
          <w:rFonts w:ascii="Arial" w:cs="Arial" w:eastAsia="Arial" w:hAnsi="Arial"/>
          <w:b w:val="false"/>
          <w:bCs w:val="false"/>
          <w:i w:val="false"/>
          <w:iCs w:val="false"/>
          <w:color w:val="000000"/>
          <w:sz w:val="22"/>
          <w:szCs w:val="22"/>
        </w:rPr>
        <w:t xml:space="preserve">Roshan holds the simulator backup role and takes on FR-G1 dual-ToR topology authoring — a concrete SRS deliverable that doesn’t block TC-04 and keeps the FR-G1 workstream moving. Tae holds the instrument live and is lighter this sprint than last. My lane is the report draft: the goal is 60–70% of the final report written by end of sprint, with clean placeholders for the Sprint 6 results sections.</w:t>
      </w:r>
    </w:p>
    <w:p>
      <w:pPr>
        <w:pStyle w:val="Heading2"/>
        <w:spacing w:after="100" w:before="240"/>
      </w:pPr>
      <w:r>
        <w:rPr>
          <w:rFonts w:ascii="Arial" w:cs="Arial" w:eastAsia="Arial" w:hAnsi="Arial"/>
          <w:b/>
          <w:bCs/>
          <w:i w:val="false"/>
          <w:iCs w:val="false"/>
          <w:color w:val="2E75B6"/>
          <w:sz w:val="26"/>
          <w:szCs w:val="26"/>
        </w:rPr>
        <w:t xml:space="preserve">2.3 The runway to 3 July</w:t>
      </w:r>
    </w:p>
    <w:p>
      <w:pPr>
        <w:spacing w:after="60" w:before="80"/>
        <w:jc w:val="left"/>
      </w:pPr>
      <w:r>
        <w:rPr>
          <w:rFonts w:ascii="Arial" w:cs="Arial" w:eastAsia="Arial" w:hAnsi="Arial"/>
          <w:b w:val="false"/>
          <w:bCs w:val="false"/>
          <w:i w:val="false"/>
          <w:iCs w:val="false"/>
          <w:color w:val="000000"/>
          <w:sz w:val="22"/>
          <w:szCs w:val="22"/>
        </w:rPr>
        <w:t xml:space="preserve">Two and a half sprints remain including this one. The plan is:</w:t>
      </w:r>
    </w:p>
    <w:p>
      <w:pPr>
        <w:spacing w:after="40" w:before="40"/>
        <w:ind w:left="540" w:hanging="260"/>
      </w:pPr>
      <w:r>
        <w:rPr>
          <w:rFonts w:ascii="Arial" w:cs="Arial" w:eastAsia="Arial" w:hAnsi="Arial"/>
          <w:b w:val="false"/>
          <w:bCs w:val="false"/>
          <w:i w:val="false"/>
          <w:iCs w:val="false"/>
          <w:color w:val="000000"/>
          <w:sz w:val="22"/>
          <w:szCs w:val="22"/>
        </w:rPr>
        <w:t xml:space="preserve">•  Sprint 6 (this week): integration, first TC-04 result, report structure and draft.</w:t>
      </w:r>
    </w:p>
    <w:p>
      <w:pPr>
        <w:spacing w:after="40" w:before="40"/>
        <w:ind w:left="540" w:hanging="260"/>
      </w:pPr>
      <w:r>
        <w:rPr>
          <w:rFonts w:ascii="Arial" w:cs="Arial" w:eastAsia="Arial" w:hAnsi="Arial"/>
          <w:b w:val="false"/>
          <w:bCs w:val="false"/>
          <w:i w:val="false"/>
          <w:iCs w:val="false"/>
          <w:color w:val="000000"/>
          <w:sz w:val="22"/>
          <w:szCs w:val="22"/>
        </w:rPr>
        <w:t xml:space="preserve">•  Sprint 7: TC-04 confirmed, TC-01–TC-04 regression sweep, report completion — all gates holding on the final codebase.</w:t>
      </w:r>
    </w:p>
    <w:p>
      <w:pPr>
        <w:spacing w:after="40" w:before="40"/>
        <w:ind w:left="540" w:hanging="260"/>
      </w:pPr>
      <w:r>
        <w:rPr>
          <w:rFonts w:ascii="Arial" w:cs="Arial" w:eastAsia="Arial" w:hAnsi="Arial"/>
          <w:b w:val="false"/>
          <w:bCs w:val="false"/>
          <w:i w:val="false"/>
          <w:iCs w:val="false"/>
          <w:color w:val="000000"/>
          <w:sz w:val="22"/>
          <w:szCs w:val="22"/>
        </w:rPr>
        <w:t xml:space="preserve">•  Remaining half-sprint: buffer, polish, submission on 3 July.</w:t>
      </w:r>
    </w:p>
    <w:p>
      <w:pPr>
        <w:spacing w:after="160" w:before="80"/>
        <w:jc w:val="left"/>
      </w:pPr>
      <w:r>
        <w:rPr>
          <w:rFonts w:ascii="Arial" w:cs="Arial" w:eastAsia="Arial" w:hAnsi="Arial"/>
          <w:b w:val="false"/>
          <w:bCs w:val="false"/>
          <w:i w:val="false"/>
          <w:iCs w:val="false"/>
          <w:color w:val="000000"/>
          <w:sz w:val="22"/>
          <w:szCs w:val="22"/>
        </w:rPr>
        <w:t xml:space="preserve">This is tight but not panicked — and it stays that way only if we hold the anti-crunch line. No lane is expected to fully integrate this week if the seeded runs or the training take longer than expected. A trained and evaluated model with a clear result is the Sprint 6 deliverable; full integration is the Sprint 7 gate.</w:t>
      </w:r>
    </w:p>
    <w:p>
      <w:pPr>
        <w:pStyle w:val="Heading1"/>
        <w:spacing w:after="120" w:before="360"/>
      </w:pPr>
      <w:r>
        <w:rPr>
          <w:rFonts w:ascii="Arial" w:cs="Arial" w:eastAsia="Arial" w:hAnsi="Arial"/>
          <w:b/>
          <w:bCs/>
          <w:i w:val="false"/>
          <w:iCs w:val="false"/>
          <w:color w:val="1F4E79"/>
          <w:sz w:val="32"/>
          <w:szCs w:val="32"/>
        </w:rPr>
        <w:t xml:space="preserve">3. Lanes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5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Lane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Owner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Sprint 6 goal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19"/>
                <w:szCs w:val="19"/>
              </w:rPr>
              <w:t xml:space="preserve">SRS traceability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A — LSTM routing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Kyle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Train burst-timing predictor on trace data; configure offline routing pre-positioning;</w:t>
            </w:r>
          </w:p>
          <w:p>
            <w:pPr>
              <w:spacing w:after="30" w:before="30"/>
              <w:jc w:val="left"/>
            </w:pPr>
            <w:r>
              <w:rPr>
                <w:rFonts w:ascii="Arial" w:cs="Arial" w:eastAsia="Arial" w:hAnsi="Arial"/>
                <w:b w:val="false"/>
                <w:bCs w:val="false"/>
                <w:i w:val="false"/>
                <w:iCs w:val="false"/>
                <w:color w:val="000000"/>
                <w:sz w:val="19"/>
                <w:szCs w:val="19"/>
              </w:rPr>
              <w:t xml:space="preserve">run TC-04 paired comparison (predictor vs ECMP)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FR-P1, FR-P2, FR-N2 → TC-04 (primary gate)</w:t>
            </w:r>
          </w:p>
        </w:tc>
      </w:tr>
      <w:tr>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B — Fault prediction integration</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Navami</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Run seeded simulations (10 runs); train and evaluate sliding-window LSTM;</w:t>
            </w:r>
          </w:p>
          <w:p>
            <w:pPr>
              <w:spacing w:after="30" w:before="30"/>
              <w:jc w:val="left"/>
            </w:pPr>
            <w:r>
              <w:rPr>
                <w:rFonts w:ascii="Arial" w:cs="Arial" w:eastAsia="Arial" w:hAnsi="Arial"/>
                <w:b w:val="false"/>
                <w:bCs w:val="false"/>
                <w:i w:val="false"/>
                <w:iCs w:val="false"/>
                <w:color w:val="000000"/>
                <w:sz w:val="19"/>
                <w:szCs w:val="19"/>
              </w:rPr>
              <w:t xml:space="preserve">integrate as proactive checkpoint trigger if time permits</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FR-G2, FR-G3, NFR-P1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C — FR-G1 topology + simulator backup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Roshan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Author dual-ToR topology descriptor for ASTRA-sim;</w:t>
            </w:r>
          </w:p>
          <w:p>
            <w:pPr>
              <w:spacing w:after="30" w:before="30"/>
              <w:jc w:val="left"/>
            </w:pPr>
            <w:r>
              <w:rPr>
                <w:rFonts w:ascii="Arial" w:cs="Arial" w:eastAsia="Arial" w:hAnsi="Arial"/>
                <w:b w:val="false"/>
                <w:bCs w:val="false"/>
                <w:i w:val="false"/>
                <w:iCs w:val="false"/>
                <w:color w:val="000000"/>
                <w:sz w:val="19"/>
                <w:szCs w:val="19"/>
              </w:rPr>
              <w:t xml:space="preserve">document path search complexity baseline; hold simulator backup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FR-G1 → path complexity + fault redundancy</w:t>
            </w:r>
          </w:p>
        </w:tc>
      </w:tr>
      <w:tr>
        <w:tc>
          <w:tcPr>
            <w:tcW w:type="dxa" w:w="2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D — Report draft + TC-04 gate</w:t>
            </w:r>
          </w:p>
        </w:tc>
        <w:tc>
          <w:tcPr>
            <w:tcW w:type="dxa" w:w="12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Brad</w:t>
            </w:r>
          </w:p>
        </w:tc>
        <w:tc>
          <w:tcPr>
            <w:tcW w:type="dxa" w:w="356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Draft 60–70% of final report (all non-results sections);</w:t>
            </w:r>
          </w:p>
          <w:p>
            <w:pPr>
              <w:spacing w:after="30" w:before="30"/>
              <w:jc w:val="left"/>
            </w:pPr>
            <w:r>
              <w:rPr>
                <w:rFonts w:ascii="Arial" w:cs="Arial" w:eastAsia="Arial" w:hAnsi="Arial"/>
                <w:b w:val="false"/>
                <w:bCs w:val="false"/>
                <w:i w:val="false"/>
                <w:iCs w:val="false"/>
                <w:color w:val="000000"/>
                <w:sz w:val="19"/>
                <w:szCs w:val="19"/>
              </w:rPr>
              <w:t xml:space="preserve">call TC-04 pass/fail against integration contract criteria</w:t>
            </w:r>
          </w:p>
        </w:tc>
        <w:tc>
          <w:tcPr>
            <w:tcW w:type="dxa" w:w="2400"/>
            <w:tcBorders>
              <w:top w:val="single" w:color="CCCCCC" w:sz="1"/>
              <w:left w:val="single" w:color="CCCCCC" w:sz="1"/>
              <w:bottom w:val="single" w:color="CCCCCC" w:sz="1"/>
              <w:right w:val="single" w:color="CCCCCC" w:sz="1"/>
            </w:tcBorders>
            <w:shd w:fill="EBF4FC"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All FR / NFR — synthesis and traceability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bCs/>
                <w:i w:val="false"/>
                <w:iCs w:val="false"/>
                <w:color w:val="000000"/>
                <w:sz w:val="19"/>
                <w:szCs w:val="19"/>
              </w:rPr>
              <w:t xml:space="preserve">Instrument support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Tae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Hold TC-01–TC-03 live; confirm routing parameters for Kyle;</w:t>
            </w:r>
          </w:p>
          <w:p>
            <w:pPr>
              <w:spacing w:after="30" w:before="30"/>
              <w:jc w:val="left"/>
            </w:pPr>
            <w:r>
              <w:rPr>
                <w:rFonts w:ascii="Arial" w:cs="Arial" w:eastAsia="Arial" w:hAnsi="Arial"/>
                <w:b w:val="false"/>
                <w:bCs w:val="false"/>
                <w:i w:val="false"/>
                <w:iCs w:val="false"/>
                <w:color w:val="000000"/>
                <w:sz w:val="19"/>
                <w:szCs w:val="19"/>
              </w:rPr>
              <w:t xml:space="preserve">advise Roshan on dual-ToR topology; cross-lane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before="30"/>
              <w:jc w:val="left"/>
            </w:pPr>
            <w:r>
              <w:rPr>
                <w:rFonts w:ascii="Arial" w:cs="Arial" w:eastAsia="Arial" w:hAnsi="Arial"/>
                <w:b w:val="false"/>
                <w:bCs w:val="false"/>
                <w:i w:val="false"/>
                <w:iCs w:val="false"/>
                <w:color w:val="000000"/>
                <w:sz w:val="19"/>
                <w:szCs w:val="19"/>
              </w:rPr>
              <w:t xml:space="preserve">Cross-cutting</w:t>
            </w:r>
          </w:p>
        </w:tc>
      </w:tr>
    </w:tbl>
    <w:p>
      <w:pPr>
        <w:spacing w:after="160" w:before="160"/>
      </w:pPr>
    </w:p>
    <w:p>
      <w:pPr>
        <w:pStyle w:val="Heading1"/>
        <w:spacing w:after="120" w:before="360"/>
      </w:pPr>
      <w:r>
        <w:rPr>
          <w:rFonts w:ascii="Arial" w:cs="Arial" w:eastAsia="Arial" w:hAnsi="Arial"/>
          <w:b/>
          <w:bCs/>
          <w:i w:val="false"/>
          <w:iCs w:val="false"/>
          <w:color w:val="1F4E79"/>
          <w:sz w:val="32"/>
          <w:szCs w:val="32"/>
        </w:rPr>
        <w:t xml:space="preserve">4. Lane briefs</w:t>
      </w:r>
    </w:p>
    <w:p>
      <w:pPr>
        <w:pStyle w:val="Heading3"/>
        <w:spacing w:after="80" w:before="200"/>
      </w:pPr>
      <w:r>
        <w:rPr>
          <w:rFonts w:ascii="Arial" w:cs="Arial" w:eastAsia="Arial" w:hAnsi="Arial"/>
          <w:b/>
          <w:bCs/>
          <w:i w:val="false"/>
          <w:iCs w:val="false"/>
          <w:color w:val="1F4E79"/>
          <w:sz w:val="24"/>
          <w:szCs w:val="24"/>
        </w:rPr>
        <w:t xml:space="preserve">Lane A — LSTM routing integration (Kyle)</w:t>
      </w:r>
    </w:p>
    <w:p>
      <w:pPr>
        <w:spacing w:after="80" w:before="60"/>
        <w:jc w:val="left"/>
      </w:pPr>
      <w:r>
        <w:rPr>
          <w:rFonts w:ascii="Arial" w:cs="Arial" w:eastAsia="Arial" w:hAnsi="Arial"/>
          <w:b/>
          <w:bCs/>
          <w:i w:val="false"/>
          <w:iCs w:val="false"/>
          <w:color w:val="000000"/>
          <w:sz w:val="22"/>
          <w:szCs w:val="22"/>
        </w:rPr>
        <w:t xml:space="preserve">You own: </w:t>
      </w:r>
      <w:r>
        <w:rPr>
          <w:rFonts w:ascii="Arial" w:cs="Arial" w:eastAsia="Arial" w:hAnsi="Arial"/>
          <w:b w:val="false"/>
          <w:bCs w:val="false"/>
          <w:i w:val="false"/>
          <w:iCs w:val="false"/>
          <w:color w:val="000000"/>
          <w:sz w:val="22"/>
          <w:szCs w:val="22"/>
        </w:rPr>
        <w:t xml:space="preserve">Kyle (workload &amp; metrics, Pod B)   |   Maps to: </w:t>
      </w:r>
      <w:r>
        <w:rPr>
          <w:rFonts w:ascii="Arial" w:cs="Arial" w:eastAsia="Arial" w:hAnsi="Arial"/>
          <w:b/>
          <w:bCs/>
          <w:i w:val="false"/>
          <w:iCs w:val="false"/>
          <w:color w:val="000000"/>
          <w:sz w:val="22"/>
          <w:szCs w:val="22"/>
        </w:rPr>
        <w:t xml:space="preserve">FR-P1, FR-P2, FR-N2 → TC-04 (primary gate)</w:t>
      </w:r>
    </w:p>
    <w:p>
      <w:pPr>
        <w:spacing w:after="40" w:before="80"/>
        <w:jc w:val="left"/>
      </w:pPr>
      <w:r>
        <w:rPr>
          <w:rFonts w:ascii="Arial" w:cs="Arial" w:eastAsia="Arial" w:hAnsi="Arial"/>
          <w:b w:val="false"/>
          <w:bCs w:val="false"/>
          <w:i w:val="false"/>
          <w:iCs w:val="false"/>
          <w:color w:val="000000"/>
          <w:sz w:val="22"/>
          <w:szCs w:val="22"/>
        </w:rPr>
        <w:t xml:space="preserve">What I need from you</w:t>
      </w:r>
    </w:p>
    <w:p>
      <w:pPr>
        <w:spacing w:after="80" w:before="40"/>
        <w:jc w:val="left"/>
      </w:pPr>
      <w:r>
        <w:rPr>
          <w:rFonts w:ascii="Arial" w:cs="Arial" w:eastAsia="Arial" w:hAnsi="Arial"/>
          <w:b w:val="false"/>
          <w:bCs w:val="false"/>
          <w:i w:val="false"/>
          <w:iCs w:val="false"/>
          <w:color w:val="000000"/>
          <w:sz w:val="22"/>
          <w:szCs w:val="22"/>
        </w:rPr>
        <w:t xml:space="preserve">A first TC-04 result: the burst-timing LSTM trained and integrated as an offline routing pre-positioning mechanism, with a documented JCT comparison against ECMP under the TC-03 failure pattern. That comparison is the primary Sprint 6 acceptance gate.</w:t>
      </w:r>
    </w:p>
    <w:p>
      <w:pPr>
        <w:spacing w:after="40" w:before="80"/>
        <w:jc w:val="left"/>
      </w:pPr>
      <w:r>
        <w:rPr>
          <w:rFonts w:ascii="Arial" w:cs="Arial" w:eastAsia="Arial" w:hAnsi="Arial"/>
          <w:b w:val="false"/>
          <w:bCs w:val="false"/>
          <w:i w:val="false"/>
          <w:iCs w:val="false"/>
          <w:color w:val="000000"/>
          <w:sz w:val="22"/>
          <w:szCs w:val="22"/>
        </w:rPr>
        <w:t xml:space="preserve">Why you, and how to come at it</w:t>
      </w:r>
    </w:p>
    <w:p>
      <w:pPr>
        <w:spacing w:after="80" w:before="40"/>
        <w:jc w:val="left"/>
      </w:pPr>
      <w:r>
        <w:rPr>
          <w:rFonts w:ascii="Arial" w:cs="Arial" w:eastAsia="Arial" w:hAnsi="Arial"/>
          <w:b w:val="false"/>
          <w:bCs w:val="false"/>
          <w:i w:val="false"/>
          <w:iCs w:val="false"/>
          <w:color w:val="000000"/>
          <w:sz w:val="22"/>
          <w:szCs w:val="22"/>
        </w:rPr>
        <w:t xml:space="preserve">Your Sprint 5 feasibility report already did the hard analytical work: the signal characteristics are quantified, the architecture is defined, and the training data is in the traces. The integration is straightforward: the LSTM runs offline on the trace timing data, predicts burst windows, and that prediction informs routing parameter configuration before each simulation run. Two simulation runs — ECMP config and predictor-informed config — same TC-03 failure pattern, seed 42 — compared on median JCT. That’s TC-04.</w:t>
      </w:r>
    </w:p>
    <w:p>
      <w:pPr>
        <w:spacing w:after="40" w:before="80"/>
        <w:jc w:val="left"/>
      </w:pPr>
      <w:r>
        <w:rPr>
          <w:rFonts w:ascii="Arial" w:cs="Arial" w:eastAsia="Arial" w:hAnsi="Arial"/>
          <w:b w:val="false"/>
          <w:bCs w:val="false"/>
          <w:i w:val="false"/>
          <w:iCs w:val="false"/>
          <w:color w:val="000000"/>
          <w:sz w:val="22"/>
          <w:szCs w:val="22"/>
        </w:rPr>
        <w:t xml:space="preserve">This week, concretely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Day one: inspect the .et trace message sizes — confirm the FP32 assumption from the data itself. This closes the one remaining open item from Sprint 5 in five minutes.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Write and run the LSTM training script (L = 8 window, hidden size 32, MSE loss, Adam) on the existing ALL_REDUCE interval series.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Validate: does the 5–10% MAE and 2–3 burst horizon from the feasibility report hold on the full dataset, and under the TC-03 failure conditions (4→3 NPU topology change)?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Implement the offline routing integration: use LSTM burst-timing predictions to set routing configuration parameters before each simulation run. Check with Tae early — a quick question about which ASTRA-sim routing config values control path selection is all you need from him.</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Run paired scenarios: ECMP baseline vs predictor-informed routing, TC-03 failure pattern, seed 42. Record median JCT for both.</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Document the comparison against the integration contract criteria: MAE &lt; 10%, horizon ≥2 bursts, median JCT lower than ECMP baseline. Pass or fail — either is a result.</w:t>
      </w:r>
    </w:p>
    <w:p>
      <w:pPr>
        <w:spacing w:after="60" w:before="60"/>
      </w:pPr>
    </w:p>
    <w:p>
      <w:pPr>
        <w:spacing w:after="40" w:before="80"/>
        <w:jc w:val="left"/>
      </w:pPr>
      <w:r>
        <w:rPr>
          <w:rFonts w:ascii="Arial" w:cs="Arial" w:eastAsia="Arial" w:hAnsi="Arial"/>
          <w:b w:val="false"/>
          <w:bCs w:val="false"/>
          <w:i w:val="false"/>
          <w:iCs w:val="false"/>
          <w:color w:val="000000"/>
          <w:sz w:val="22"/>
          <w:szCs w:val="22"/>
        </w:rPr>
        <w:t xml:space="preserve">What I’d like to land</w:t>
      </w:r>
    </w:p>
    <w:p>
      <w:pPr>
        <w:spacing w:after="120" w:before="40"/>
        <w:jc w:val="left"/>
      </w:pPr>
      <w:r>
        <w:rPr>
          <w:rFonts w:ascii="Arial" w:cs="Arial" w:eastAsia="Arial" w:hAnsi="Arial"/>
          <w:b w:val="false"/>
          <w:bCs w:val="false"/>
          <w:i w:val="false"/>
          <w:iCs w:val="false"/>
          <w:color w:val="000000"/>
          <w:sz w:val="22"/>
          <w:szCs w:val="22"/>
        </w:rPr>
        <w:t xml:space="preserve">A documented TC-04 comparison: median JCT under ECMP vs predictor-informed routing, same failure pattern, with a clear pass/fail verdict against the integration contract acceptance criteria. A first-pass result counts — Sprint 7 is for regression and tuning. If the TC-03 topology shift degrades the predictor’s horizon enough to affect the routing decision, document that honestly — it’s a useful finding.</w:t>
      </w:r>
    </w:p>
    <w:p>
      <w:pPr>
        <w:pStyle w:val="Heading3"/>
        <w:spacing w:after="80" w:before="200"/>
      </w:pPr>
      <w:r>
        <w:rPr>
          <w:rFonts w:ascii="Arial" w:cs="Arial" w:eastAsia="Arial" w:hAnsi="Arial"/>
          <w:b/>
          <w:bCs/>
          <w:i w:val="false"/>
          <w:iCs w:val="false"/>
          <w:color w:val="1F4E79"/>
          <w:sz w:val="24"/>
          <w:szCs w:val="24"/>
        </w:rPr>
        <w:t xml:space="preserve">Lane B — Fault prediction integration (Navami)</w:t>
      </w:r>
    </w:p>
    <w:p>
      <w:pPr>
        <w:spacing w:after="80" w:before="60"/>
        <w:jc w:val="left"/>
      </w:pPr>
      <w:r>
        <w:rPr>
          <w:rFonts w:ascii="Arial" w:cs="Arial" w:eastAsia="Arial" w:hAnsi="Arial"/>
          <w:b/>
          <w:bCs/>
          <w:i w:val="false"/>
          <w:iCs w:val="false"/>
          <w:color w:val="000000"/>
          <w:sz w:val="22"/>
          <w:szCs w:val="22"/>
        </w:rPr>
        <w:t xml:space="preserve">You own: </w:t>
      </w:r>
      <w:r>
        <w:rPr>
          <w:rFonts w:ascii="Arial" w:cs="Arial" w:eastAsia="Arial" w:hAnsi="Arial"/>
          <w:b w:val="false"/>
          <w:bCs w:val="false"/>
          <w:i w:val="false"/>
          <w:iCs w:val="false"/>
          <w:color w:val="000000"/>
          <w:sz w:val="22"/>
          <w:szCs w:val="22"/>
        </w:rPr>
        <w:t xml:space="preserve">Navami (GPU failures &amp; resilience, Pod C)   |   Maps to: </w:t>
      </w:r>
      <w:r>
        <w:rPr>
          <w:rFonts w:ascii="Arial" w:cs="Arial" w:eastAsia="Arial" w:hAnsi="Arial"/>
          <w:b/>
          <w:bCs/>
          <w:i w:val="false"/>
          <w:iCs w:val="false"/>
          <w:color w:val="000000"/>
          <w:sz w:val="22"/>
          <w:szCs w:val="22"/>
        </w:rPr>
        <w:t xml:space="preserve">FR-G2, FR-G3, NFR-P1</w:t>
      </w:r>
    </w:p>
    <w:p>
      <w:pPr>
        <w:spacing w:after="40" w:before="80"/>
        <w:jc w:val="left"/>
      </w:pPr>
      <w:r>
        <w:rPr>
          <w:rFonts w:ascii="Arial" w:cs="Arial" w:eastAsia="Arial" w:hAnsi="Arial"/>
          <w:b w:val="false"/>
          <w:bCs w:val="false"/>
          <w:i w:val="false"/>
          <w:iCs w:val="false"/>
          <w:color w:val="000000"/>
          <w:sz w:val="22"/>
          <w:szCs w:val="22"/>
        </w:rPr>
        <w:t xml:space="preserve">What I need from you</w:t>
      </w:r>
    </w:p>
    <w:p>
      <w:pPr>
        <w:spacing w:after="80" w:before="40"/>
        <w:jc w:val="left"/>
      </w:pPr>
      <w:r>
        <w:rPr>
          <w:rFonts w:ascii="Arial" w:cs="Arial" w:eastAsia="Arial" w:hAnsi="Arial"/>
          <w:b w:val="false"/>
          <w:bCs w:val="false"/>
          <w:i w:val="false"/>
          <w:iCs w:val="false"/>
          <w:color w:val="000000"/>
          <w:sz w:val="22"/>
          <w:szCs w:val="22"/>
        </w:rPr>
        <w:t xml:space="preserve">A trained and evaluated sliding-window LSTM with precision, recall, and lead time results documented. Integration as a proactive checkpoint trigger is the bonus deliverable — the evaluation result is the Sprint 6 gate. Simple is right for the time we have.</w:t>
      </w:r>
    </w:p>
    <w:p>
      <w:pPr>
        <w:spacing w:after="40" w:before="80"/>
        <w:jc w:val="left"/>
      </w:pPr>
      <w:r>
        <w:rPr>
          <w:rFonts w:ascii="Arial" w:cs="Arial" w:eastAsia="Arial" w:hAnsi="Arial"/>
          <w:b w:val="false"/>
          <w:bCs w:val="false"/>
          <w:i w:val="false"/>
          <w:iCs w:val="false"/>
          <w:color w:val="000000"/>
          <w:sz w:val="22"/>
          <w:szCs w:val="22"/>
        </w:rPr>
        <w:t xml:space="preserve">Why you, and how to come at it</w:t>
      </w:r>
    </w:p>
    <w:p>
      <w:pPr>
        <w:spacing w:after="80" w:before="40"/>
        <w:jc w:val="left"/>
      </w:pPr>
      <w:r>
        <w:rPr>
          <w:rFonts w:ascii="Arial" w:cs="Arial" w:eastAsia="Arial" w:hAnsi="Arial"/>
          <w:b w:val="false"/>
          <w:bCs w:val="false"/>
          <w:i w:val="false"/>
          <w:iCs w:val="false"/>
          <w:color w:val="000000"/>
          <w:sz w:val="22"/>
          <w:szCs w:val="22"/>
        </w:rPr>
        <w:t xml:space="preserve">Your Sprint 5 scoping note is thorough and sets this week up well. Proceed with Option A — soft stall as the pre-fault signal, LSTM over the four simulation-level features, no synthetic degradation unless the lead time result makes it genuinely necessary. The seeded runs are the first task; everything else follows from the data they produce. Your week has a natural sequence — trust it. And you’re not running this alone: Tae is on hand for the seeded runs and any instrument issues, so if a run misbehaves or the sweep needs babysitting, lean on him directly rather than losing a day to it.</w:t>
      </w:r>
    </w:p>
    <w:p>
      <w:pPr>
        <w:spacing w:after="40" w:before="80"/>
        <w:jc w:val="left"/>
      </w:pPr>
      <w:r>
        <w:rPr>
          <w:rFonts w:ascii="Arial" w:cs="Arial" w:eastAsia="Arial" w:hAnsi="Arial"/>
          <w:b w:val="false"/>
          <w:bCs w:val="false"/>
          <w:i w:val="false"/>
          <w:iCs w:val="false"/>
          <w:color w:val="000000"/>
          <w:sz w:val="22"/>
          <w:szCs w:val="22"/>
        </w:rPr>
        <w:t xml:space="preserve">This week, concretely</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Kick off the Aggressive sweep (MTBE 25 hrs), seeds 42–51, ten runs. Start these early — let them run in the background while you write the training code.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Write the LSTM training script: single-layer, W = 5 steps, 4 features (AllReduce step time, collective completion ratio, NCCL soft stall flag, node throughput), Dense → Sigmoid output, PyTorch.</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Once the seeded runs are complete, train the model on the labelled fault windows (~160 windows from the ten runs).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Evaluate: precision &gt; 70%? Lead time ≥1 step? Report both precision and recall — a false alarm triggers unnecessary checkpointing, so precision matters most.</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If lead time proves sufficient (Option A delivers ≥1 step reliably): wire the LSTM output as a proactive checkpoint trigger and run the comparison — reactive recovery vs LSTM-triggered checkpoint — measuring JCT penalty against the 3.0% TC-03 baseline.</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If lead time is insufficient with Option A: document the result honestly and scope Option B (synthetic degradation ramp) as a Sprint 7 extension. That honest finding is itself the deliverable.</w:t>
      </w:r>
    </w:p>
    <w:p>
      <w:pPr>
        <w:spacing w:after="60" w:before="60"/>
      </w:pPr>
    </w:p>
    <w:p>
      <w:pPr>
        <w:spacing w:after="40" w:before="80"/>
        <w:jc w:val="left"/>
      </w:pPr>
      <w:r>
        <w:rPr>
          <w:rFonts w:ascii="Arial" w:cs="Arial" w:eastAsia="Arial" w:hAnsi="Arial"/>
          <w:b w:val="false"/>
          <w:bCs w:val="false"/>
          <w:i w:val="false"/>
          <w:iCs w:val="false"/>
          <w:color w:val="000000"/>
          <w:sz w:val="22"/>
          <w:szCs w:val="22"/>
        </w:rPr>
        <w:t xml:space="preserve">What I’d like to land</w:t>
      </w:r>
    </w:p>
    <w:p>
      <w:pPr>
        <w:spacing w:after="120" w:before="40"/>
        <w:jc w:val="left"/>
      </w:pPr>
      <w:r>
        <w:rPr>
          <w:rFonts w:ascii="Arial" w:cs="Arial" w:eastAsia="Arial" w:hAnsi="Arial"/>
          <w:b w:val="false"/>
          <w:bCs w:val="false"/>
          <w:i w:val="false"/>
          <w:iCs w:val="false"/>
          <w:color w:val="000000"/>
          <w:sz w:val="22"/>
          <w:szCs w:val="22"/>
        </w:rPr>
        <w:t xml:space="preserve">A trained LSTM with precision, recall, and lead time results — clearly documented against the NFR-P1 acceptance criteria (precision &gt; 70%, lead time ≥1 step, JCT penalty below 3.0% baseline). Integration is the stretch goal; the evaluation result is what Sprint 6 needs from this lane. And if the seeded runs eat more of the week than expected and this rolls into the first day or two of Sprint 7, that’s fine — this lane is the one most likely to need that room, and the plan has it. Better a clean, well-documented result that lands early next week than a rushed one this week.</w:t>
      </w:r>
    </w:p>
    <w:p>
      <w:pPr>
        <w:pStyle w:val="Heading3"/>
        <w:spacing w:after="80" w:before="200"/>
      </w:pPr>
      <w:r>
        <w:rPr>
          <w:rFonts w:ascii="Arial" w:cs="Arial" w:eastAsia="Arial" w:hAnsi="Arial"/>
          <w:b/>
          <w:bCs/>
          <w:i w:val="false"/>
          <w:iCs w:val="false"/>
          <w:color w:val="1F4E79"/>
          <w:sz w:val="24"/>
          <w:szCs w:val="24"/>
        </w:rPr>
        <w:t xml:space="preserve">Lane C — FR-G1 dual-ToR topology + simulator backup (Roshan)</w:t>
      </w:r>
    </w:p>
    <w:p>
      <w:pPr>
        <w:spacing w:after="80" w:before="60"/>
        <w:jc w:val="left"/>
      </w:pPr>
      <w:r>
        <w:rPr>
          <w:rFonts w:ascii="Arial" w:cs="Arial" w:eastAsia="Arial" w:hAnsi="Arial"/>
          <w:b/>
          <w:bCs/>
          <w:i w:val="false"/>
          <w:iCs w:val="false"/>
          <w:color w:val="000000"/>
          <w:sz w:val="22"/>
          <w:szCs w:val="22"/>
        </w:rPr>
        <w:t xml:space="preserve">You own: </w:t>
      </w:r>
      <w:r>
        <w:rPr>
          <w:rFonts w:ascii="Arial" w:cs="Arial" w:eastAsia="Arial" w:hAnsi="Arial"/>
          <w:b w:val="false"/>
          <w:bCs w:val="false"/>
          <w:i w:val="false"/>
          <w:iCs w:val="false"/>
          <w:color w:val="000000"/>
          <w:sz w:val="22"/>
          <w:szCs w:val="22"/>
        </w:rPr>
        <w:t xml:space="preserve">Roshan (Pod A, Chakra pipeline; simulator backup)   |   Maps to: </w:t>
      </w:r>
      <w:r>
        <w:rPr>
          <w:rFonts w:ascii="Arial" w:cs="Arial" w:eastAsia="Arial" w:hAnsi="Arial"/>
          <w:b/>
          <w:bCs/>
          <w:i w:val="false"/>
          <w:iCs w:val="false"/>
          <w:color w:val="000000"/>
          <w:sz w:val="22"/>
          <w:szCs w:val="22"/>
        </w:rPr>
        <w:t xml:space="preserve">FR-G1 → path complexity + fault redundancy</w:t>
      </w:r>
    </w:p>
    <w:p>
      <w:pPr>
        <w:spacing w:after="40" w:before="80"/>
        <w:jc w:val="left"/>
      </w:pPr>
      <w:r>
        <w:rPr>
          <w:rFonts w:ascii="Arial" w:cs="Arial" w:eastAsia="Arial" w:hAnsi="Arial"/>
          <w:b w:val="false"/>
          <w:bCs w:val="false"/>
          <w:i w:val="false"/>
          <w:iCs w:val="false"/>
          <w:color w:val="000000"/>
          <w:sz w:val="22"/>
          <w:szCs w:val="22"/>
        </w:rPr>
        <w:t xml:space="preserve">What I need from you</w:t>
      </w:r>
    </w:p>
    <w:p>
      <w:pPr>
        <w:spacing w:after="80" w:before="40"/>
        <w:jc w:val="left"/>
      </w:pPr>
      <w:r>
        <w:rPr>
          <w:rFonts w:ascii="Arial" w:cs="Arial" w:eastAsia="Arial" w:hAnsi="Arial"/>
          <w:b w:val="false"/>
          <w:bCs w:val="false"/>
          <w:i w:val="false"/>
          <w:iCs w:val="false"/>
          <w:color w:val="000000"/>
          <w:sz w:val="22"/>
          <w:szCs w:val="22"/>
        </w:rPr>
        <w:t xml:space="preserve">Two things: a working dual-ToR topology descriptor in ASTRA-sim with a path search complexity baseline documented, and active simulator backup coverage while Kyle and Navami are running integration experiments.</w:t>
      </w:r>
    </w:p>
    <w:p>
      <w:pPr>
        <w:spacing w:after="40" w:before="80"/>
        <w:jc w:val="left"/>
      </w:pPr>
      <w:r>
        <w:rPr>
          <w:rFonts w:ascii="Arial" w:cs="Arial" w:eastAsia="Arial" w:hAnsi="Arial"/>
          <w:b w:val="false"/>
          <w:bCs w:val="false"/>
          <w:i w:val="false"/>
          <w:iCs w:val="false"/>
          <w:color w:val="000000"/>
          <w:sz w:val="22"/>
          <w:szCs w:val="22"/>
        </w:rPr>
        <w:t xml:space="preserve">Why you, and how to come at it</w:t>
      </w:r>
    </w:p>
    <w:p>
      <w:pPr>
        <w:spacing w:after="80" w:before="40"/>
        <w:jc w:val="left"/>
      </w:pPr>
      <w:r>
        <w:rPr>
          <w:rFonts w:ascii="Arial" w:cs="Arial" w:eastAsia="Arial" w:hAnsi="Arial"/>
          <w:b w:val="false"/>
          <w:bCs w:val="false"/>
          <w:i w:val="false"/>
          <w:iCs w:val="false"/>
          <w:color w:val="000000"/>
          <w:sz w:val="22"/>
          <w:szCs w:val="22"/>
        </w:rPr>
        <w:t xml:space="preserve">Lane C (CASSINI time-shift) is closed — you delivered the right verdict in Sprint 5 and that scoping work protects the team from a dead end. Your Sprint 6 role pivots to FR-G1, which sits naturally with your Chakra pipeline ownership: topology descriptors and trace pipelines are the same territory. The scoping brief from Lane D gives you the five questions to work through with Tae before authoring begins — do that early in the sprint so you’re not waiting on answers mid-week.</w:t>
      </w:r>
    </w:p>
    <w:p>
      <w:pPr>
        <w:spacing w:after="80" w:before="80"/>
        <w:jc w:val="left"/>
      </w:pPr>
      <w:r>
        <w:rPr>
          <w:rFonts w:ascii="Arial" w:cs="Arial" w:eastAsia="Arial" w:hAnsi="Arial"/>
          <w:b w:val="false"/>
          <w:bCs w:val="false"/>
          <w:i w:val="false"/>
          <w:iCs w:val="false"/>
          <w:color w:val="000000"/>
          <w:sz w:val="22"/>
          <w:szCs w:val="22"/>
        </w:rPr>
        <w:t xml:space="preserve">The simulator backup role is explicit this sprint, not nominal. Kyle and Navami will both be running integration experiments — if something breaks in the instrument, you step in. Stay current with what Tae is running.</w:t>
      </w:r>
    </w:p>
    <w:p>
      <w:pPr>
        <w:spacing w:after="40" w:before="80"/>
        <w:jc w:val="left"/>
      </w:pPr>
      <w:r>
        <w:rPr>
          <w:rFonts w:ascii="Arial" w:cs="Arial" w:eastAsia="Arial" w:hAnsi="Arial"/>
          <w:b w:val="false"/>
          <w:bCs w:val="false"/>
          <w:i w:val="false"/>
          <w:iCs w:val="false"/>
          <w:color w:val="000000"/>
          <w:sz w:val="22"/>
          <w:szCs w:val="22"/>
        </w:rPr>
        <w:t xml:space="preserve">This week, concretely</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Early sprint: work through the FR-G1 scoping questions with Tae — confirm topology scale (target 8-NPU dual-ToR, two pods of 4), ToR-level failure injection mapping, and NFR-P2 compliance before authoring begins.</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Author the dual-ToR topology descriptor for ASTRA-sim: two pods, each with two independent ToR switches, every server connected to both ToRs. Extend from the existing 4-NPU baseline rather than starting from scratch.</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Run a baseline simulation on the new topology — confirm it runs cleanly and within the NFR-P2 time constraint.</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Document the path search complexity baseline: count equal-cost paths for a given inter-pod route in single-ToR vs dual-ToR. This is FR-G1’s explicit metric — the number is the deliverable.</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Simulator backup throughout: stay close to what Tae and the instrument are doing; be ready to step in if Kyle or Navami hit instrument issues during their runs.</w:t>
      </w:r>
    </w:p>
    <w:p>
      <w:pPr>
        <w:spacing w:after="60" w:before="60"/>
      </w:pPr>
    </w:p>
    <w:p>
      <w:pPr>
        <w:spacing w:after="40" w:before="80"/>
        <w:jc w:val="left"/>
      </w:pPr>
      <w:r>
        <w:rPr>
          <w:rFonts w:ascii="Arial" w:cs="Arial" w:eastAsia="Arial" w:hAnsi="Arial"/>
          <w:b w:val="false"/>
          <w:bCs w:val="false"/>
          <w:i w:val="false"/>
          <w:iCs w:val="false"/>
          <w:color w:val="000000"/>
          <w:sz w:val="22"/>
          <w:szCs w:val="22"/>
        </w:rPr>
        <w:t xml:space="preserve">What I’d like to land</w:t>
      </w:r>
    </w:p>
    <w:p>
      <w:pPr>
        <w:spacing w:after="120" w:before="40"/>
        <w:jc w:val="left"/>
      </w:pPr>
      <w:r>
        <w:rPr>
          <w:rFonts w:ascii="Arial" w:cs="Arial" w:eastAsia="Arial" w:hAnsi="Arial"/>
          <w:b w:val="false"/>
          <w:bCs w:val="false"/>
          <w:i w:val="false"/>
          <w:iCs w:val="false"/>
          <w:color w:val="000000"/>
          <w:sz w:val="22"/>
          <w:szCs w:val="22"/>
        </w:rPr>
        <w:t xml:space="preserve">A working dual-ToR topology in ASTRA-sim — runs cleanly, within NFR-P2 — with the path complexity metric documented (single-ToR vs dual-ToR path count). That’s FR-G1 advanced into Sprint 6 and a concrete deliverable for the report’s infrastructure section.</w:t>
      </w:r>
    </w:p>
    <w:p>
      <w:pPr>
        <w:pStyle w:val="Heading3"/>
        <w:spacing w:after="80" w:before="200"/>
      </w:pPr>
      <w:r>
        <w:rPr>
          <w:rFonts w:ascii="Arial" w:cs="Arial" w:eastAsia="Arial" w:hAnsi="Arial"/>
          <w:b/>
          <w:bCs/>
          <w:i w:val="false"/>
          <w:iCs w:val="false"/>
          <w:color w:val="1F4E79"/>
          <w:sz w:val="24"/>
          <w:szCs w:val="24"/>
        </w:rPr>
        <w:t xml:space="preserve">Instrument support (Tae)</w:t>
      </w:r>
    </w:p>
    <w:p>
      <w:pPr>
        <w:spacing w:after="80" w:before="60"/>
        <w:jc w:val="left"/>
      </w:pPr>
      <w:r>
        <w:rPr>
          <w:rFonts w:ascii="Arial" w:cs="Arial" w:eastAsia="Arial" w:hAnsi="Arial"/>
          <w:b/>
          <w:bCs/>
          <w:i w:val="false"/>
          <w:iCs w:val="false"/>
          <w:color w:val="000000"/>
          <w:sz w:val="22"/>
          <w:szCs w:val="22"/>
        </w:rPr>
        <w:t xml:space="preserve">You own: </w:t>
      </w:r>
      <w:r>
        <w:rPr>
          <w:rFonts w:ascii="Arial" w:cs="Arial" w:eastAsia="Arial" w:hAnsi="Arial"/>
          <w:b w:val="false"/>
          <w:bCs w:val="false"/>
          <w:i w:val="false"/>
          <w:iCs w:val="false"/>
          <w:color w:val="000000"/>
          <w:sz w:val="22"/>
          <w:szCs w:val="22"/>
        </w:rPr>
        <w:t xml:space="preserve">ASTRA-sim instrument stability; cross-lane support   |   Maps to: </w:t>
      </w:r>
      <w:r>
        <w:rPr>
          <w:rFonts w:ascii="Arial" w:cs="Arial" w:eastAsia="Arial" w:hAnsi="Arial"/>
          <w:b/>
          <w:bCs/>
          <w:i w:val="false"/>
          <w:iCs w:val="false"/>
          <w:color w:val="000000"/>
          <w:sz w:val="22"/>
          <w:szCs w:val="22"/>
        </w:rPr>
        <w:t xml:space="preserve">Cross-cutting</w:t>
      </w:r>
    </w:p>
    <w:p>
      <w:pPr>
        <w:spacing w:after="80" w:before="80"/>
        <w:jc w:val="left"/>
      </w:pPr>
      <w:r>
        <w:rPr>
          <w:rFonts w:ascii="Arial" w:cs="Arial" w:eastAsia="Arial" w:hAnsi="Arial"/>
          <w:b w:val="false"/>
          <w:bCs w:val="false"/>
          <w:i w:val="false"/>
          <w:iCs w:val="false"/>
          <w:color w:val="000000"/>
          <w:sz w:val="22"/>
          <w:szCs w:val="22"/>
        </w:rPr>
        <w:t xml:space="preserve">Your main job this sprint is keeping the instrument stable while Kyle and Navami run their integration experiments. Because Lane A’s routing integration is offline, there’s no new hook to build — what Kyle needs from you is a quick, early-sprint answer on which ASTRA-sim routing configuration values control path selection, so he knows which parameters the predictor-informed config adjusts. That’s a short conversation, ideally on day one or two.</w:t>
      </w:r>
    </w:p>
    <w:p>
      <w:pPr>
        <w:spacing w:after="40" w:before="80"/>
        <w:jc w:val="left"/>
      </w:pPr>
      <w:r>
        <w:rPr>
          <w:rFonts w:ascii="Arial" w:cs="Arial" w:eastAsia="Arial" w:hAnsi="Arial"/>
          <w:b w:val="false"/>
          <w:bCs w:val="false"/>
          <w:i w:val="false"/>
          <w:iCs w:val="false"/>
          <w:color w:val="000000"/>
          <w:sz w:val="22"/>
          <w:szCs w:val="22"/>
        </w:rPr>
        <w:t xml:space="preserve">This week, concretely</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Early sprint: confirm for Kyle which routing config parameters in ASTRA-sim control path selection — the specific values the predictor-informed runs will adjust relative to the ECMP baseline.</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Hold TC-01 through TC-03 live as Kyle and Navami run integration experiments — no regressions on the existing baseline.</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Work with Roshan on the dual-ToR topology: advise on descriptor format, confirm scale is within NFR-P2, and review the topology before Roshan runs the baseline simulation.</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Cross-lane support as needed — Kyle and Navami will both be in the instrument this week.</w:t>
      </w:r>
    </w:p>
    <w:p>
      <w:pPr>
        <w:spacing w:after="120" w:before="120"/>
      </w:pPr>
    </w:p>
    <w:p>
      <w:pPr>
        <w:pStyle w:val="Heading3"/>
        <w:spacing w:after="80" w:before="200"/>
      </w:pPr>
      <w:r>
        <w:rPr>
          <w:rFonts w:ascii="Arial" w:cs="Arial" w:eastAsia="Arial" w:hAnsi="Arial"/>
          <w:b/>
          <w:bCs/>
          <w:i w:val="false"/>
          <w:iCs w:val="false"/>
          <w:color w:val="1F4E79"/>
          <w:sz w:val="24"/>
          <w:szCs w:val="24"/>
        </w:rPr>
        <w:t xml:space="preserve">Lane D — My coordination lane: report draft + TC-04 gate</w:t>
      </w:r>
    </w:p>
    <w:p>
      <w:pPr>
        <w:spacing w:after="80" w:before="60"/>
        <w:jc w:val="left"/>
      </w:pPr>
      <w:r>
        <w:rPr>
          <w:rFonts w:ascii="Arial" w:cs="Arial" w:eastAsia="Arial" w:hAnsi="Arial"/>
          <w:b/>
          <w:bCs/>
          <w:i w:val="false"/>
          <w:iCs w:val="false"/>
          <w:color w:val="000000"/>
          <w:sz w:val="22"/>
          <w:szCs w:val="22"/>
        </w:rPr>
        <w:t xml:space="preserve">I own: </w:t>
      </w:r>
      <w:r>
        <w:rPr>
          <w:rFonts w:ascii="Arial" w:cs="Arial" w:eastAsia="Arial" w:hAnsi="Arial"/>
          <w:b w:val="false"/>
          <w:bCs w:val="false"/>
          <w:i w:val="false"/>
          <w:iCs w:val="false"/>
          <w:color w:val="000000"/>
          <w:sz w:val="22"/>
          <w:szCs w:val="22"/>
        </w:rPr>
        <w:t xml:space="preserve">coordination &amp; integration; report draft; TC-04 gate call   |   Maps to: </w:t>
      </w:r>
      <w:r>
        <w:rPr>
          <w:rFonts w:ascii="Arial" w:cs="Arial" w:eastAsia="Arial" w:hAnsi="Arial"/>
          <w:b/>
          <w:bCs/>
          <w:i w:val="false"/>
          <w:iCs w:val="false"/>
          <w:color w:val="000000"/>
          <w:sz w:val="22"/>
          <w:szCs w:val="22"/>
        </w:rPr>
        <w:t xml:space="preserve">all FR/NFR — synthesis and traceability</w:t>
      </w:r>
    </w:p>
    <w:p>
      <w:pPr>
        <w:spacing w:after="40" w:before="80"/>
        <w:jc w:val="left"/>
      </w:pPr>
      <w:r>
        <w:rPr>
          <w:rFonts w:ascii="Arial" w:cs="Arial" w:eastAsia="Arial" w:hAnsi="Arial"/>
          <w:b w:val="false"/>
          <w:bCs w:val="false"/>
          <w:i w:val="false"/>
          <w:iCs w:val="false"/>
          <w:color w:val="000000"/>
          <w:sz w:val="22"/>
          <w:szCs w:val="22"/>
        </w:rPr>
        <w:t xml:space="preserve">What I’m taking on</w:t>
      </w:r>
    </w:p>
    <w:p>
      <w:pPr>
        <w:spacing w:after="80" w:before="40"/>
        <w:jc w:val="left"/>
      </w:pPr>
      <w:r>
        <w:rPr>
          <w:rFonts w:ascii="Arial" w:cs="Arial" w:eastAsia="Arial" w:hAnsi="Arial"/>
          <w:b w:val="false"/>
          <w:bCs w:val="false"/>
          <w:i w:val="false"/>
          <w:iCs w:val="false"/>
          <w:color w:val="000000"/>
          <w:sz w:val="22"/>
          <w:szCs w:val="22"/>
        </w:rPr>
        <w:t xml:space="preserve">Two strands. The report draft is the primary deliverable: with 2.5 sprints remaining, everything that can be written without Sprint 6 results should be written this week, so Sprint 7 is assembly and polish rather than first-draft writing under deadline pressure. The TC-04 gate call is the coordination deliverable: once Kyle has paired results, I map them against the integration contract criteria and document the pass/fail verdict.</w:t>
      </w:r>
    </w:p>
    <w:p>
      <w:pPr>
        <w:spacing w:after="40" w:before="80"/>
        <w:jc w:val="left"/>
      </w:pPr>
      <w:r>
        <w:rPr>
          <w:rFonts w:ascii="Arial" w:cs="Arial" w:eastAsia="Arial" w:hAnsi="Arial"/>
          <w:b w:val="false"/>
          <w:bCs w:val="false"/>
          <w:i w:val="false"/>
          <w:iCs w:val="false"/>
          <w:color w:val="000000"/>
          <w:sz w:val="22"/>
          <w:szCs w:val="22"/>
        </w:rPr>
        <w:t xml:space="preserve">How I’m coming at it</w:t>
      </w:r>
    </w:p>
    <w:p>
      <w:pPr>
        <w:spacing w:after="80" w:before="40"/>
        <w:jc w:val="left"/>
      </w:pPr>
      <w:r>
        <w:rPr>
          <w:rFonts w:ascii="Arial" w:cs="Arial" w:eastAsia="Arial" w:hAnsi="Arial"/>
          <w:b w:val="false"/>
          <w:bCs w:val="false"/>
          <w:i w:val="false"/>
          <w:iCs w:val="false"/>
          <w:color w:val="000000"/>
          <w:sz w:val="22"/>
          <w:szCs w:val="22"/>
        </w:rPr>
        <w:t xml:space="preserve">The report draft is achievable at 60–70% this sprint. The sections that don’t need Sprint 6 results are substantial: introduction and motivation, literature synthesis, methodology and Agile process account, simulation infrastructure, baseline results (TC-01 through TC-03 and the 3.0% JCT penalty), Sprint 5 exploration findings, and the prediction approach rationale. Results sections (TC-04 comparison, LSTM evaluation, FR-G1 path complexity) get clean placeholders with the exact fields Kyle, Navami, and Roshan will populate.</w:t>
      </w:r>
    </w:p>
    <w:p>
      <w:pPr>
        <w:spacing w:after="40" w:before="80"/>
        <w:jc w:val="left"/>
      </w:pPr>
      <w:r>
        <w:rPr>
          <w:rFonts w:ascii="Arial" w:cs="Arial" w:eastAsia="Arial" w:hAnsi="Arial"/>
          <w:b w:val="false"/>
          <w:bCs w:val="false"/>
          <w:i w:val="false"/>
          <w:iCs w:val="false"/>
          <w:color w:val="000000"/>
          <w:sz w:val="22"/>
          <w:szCs w:val="22"/>
        </w:rPr>
        <w:t xml:space="preserve">This week, concretely</w:t>
      </w:r>
    </w:p>
    <w:p>
      <w:pPr>
        <w:pStyle w:val="ListParagraph"/>
        <w:numPr>
          <w:ilvl w:val="0"/>
          <w:numId w:val="6"/>
        </w:numPr>
        <w:spacing w:after="40" w:before="40"/>
      </w:pPr>
      <w:r>
        <w:rPr>
          <w:rFonts w:ascii="Arial" w:cs="Arial" w:eastAsia="Arial" w:hAnsi="Arial"/>
          <w:b w:val="false"/>
          <w:bCs w:val="false"/>
          <w:i w:val="false"/>
          <w:iCs w:val="false"/>
          <w:color w:val="000000"/>
          <w:sz w:val="22"/>
          <w:szCs w:val="22"/>
        </w:rPr>
        <w:t xml:space="preserve">Day one: confirm FP32 assumption with Kyle from the trace data — quick close on the last Sprint 5 open item.</w:t>
      </w:r>
    </w:p>
    <w:p>
      <w:pPr>
        <w:pStyle w:val="ListParagraph"/>
        <w:numPr>
          <w:ilvl w:val="0"/>
          <w:numId w:val="6"/>
        </w:numPr>
        <w:spacing w:after="40" w:before="40"/>
      </w:pPr>
      <w:r>
        <w:rPr>
          <w:rFonts w:ascii="Arial" w:cs="Arial" w:eastAsia="Arial" w:hAnsi="Arial"/>
          <w:b w:val="false"/>
          <w:bCs w:val="false"/>
          <w:i w:val="false"/>
          <w:iCs w:val="false"/>
          <w:color w:val="000000"/>
          <w:sz w:val="22"/>
          <w:szCs w:val="22"/>
        </w:rPr>
        <w:t xml:space="preserve">Draft the report structure: section headings, word count targets, and which lane populates which results section. Circulate to the team so Sprint 7 writing assignments are visible now.</w:t>
      </w:r>
    </w:p>
    <w:p>
      <w:pPr>
        <w:pStyle w:val="ListParagraph"/>
        <w:numPr>
          <w:ilvl w:val="0"/>
          <w:numId w:val="6"/>
        </w:numPr>
        <w:spacing w:after="40" w:before="40"/>
      </w:pPr>
      <w:r>
        <w:rPr>
          <w:rFonts w:ascii="Arial" w:cs="Arial" w:eastAsia="Arial" w:hAnsi="Arial"/>
          <w:b w:val="false"/>
          <w:bCs w:val="false"/>
          <w:i w:val="false"/>
          <w:iCs w:val="false"/>
          <w:color w:val="000000"/>
          <w:sz w:val="22"/>
          <w:szCs w:val="22"/>
        </w:rPr>
        <w:t xml:space="preserve">Write the non-results sections: introduction, literature synthesis, methodology (ASTRA-sim choice, analytic-collective approach, Chakra pipeline), Agile process account, baseline infrastructure and TC-01–TC-03 results.</w:t>
      </w:r>
    </w:p>
    <w:p>
      <w:pPr>
        <w:pStyle w:val="ListParagraph"/>
        <w:numPr>
          <w:ilvl w:val="0"/>
          <w:numId w:val="6"/>
        </w:numPr>
        <w:spacing w:after="40" w:before="40"/>
      </w:pPr>
      <w:r>
        <w:rPr>
          <w:rFonts w:ascii="Arial" w:cs="Arial" w:eastAsia="Arial" w:hAnsi="Arial"/>
          <w:b w:val="false"/>
          <w:bCs w:val="false"/>
          <w:i w:val="false"/>
          <w:iCs w:val="false"/>
          <w:color w:val="000000"/>
          <w:sz w:val="22"/>
          <w:szCs w:val="22"/>
        </w:rPr>
        <w:t xml:space="preserve">Write the prediction approach rationale section: why two distinct prediction targets, why LSTM over Cascade ensemble for Lane B, why CASSINI was scoped out, what Lane A’s offline integration approach means — all of this is settled and can be written from Sprint 5 outputs.</w:t>
      </w:r>
    </w:p>
    <w:p>
      <w:pPr>
        <w:pStyle w:val="ListParagraph"/>
        <w:numPr>
          <w:ilvl w:val="0"/>
          <w:numId w:val="6"/>
        </w:numPr>
        <w:spacing w:after="40" w:before="40"/>
      </w:pPr>
      <w:r>
        <w:rPr>
          <w:rFonts w:ascii="Arial" w:cs="Arial" w:eastAsia="Arial" w:hAnsi="Arial"/>
          <w:b w:val="false"/>
          <w:bCs w:val="false"/>
          <w:i w:val="false"/>
          <w:iCs w:val="false"/>
          <w:color w:val="000000"/>
          <w:sz w:val="22"/>
          <w:szCs w:val="22"/>
        </w:rPr>
        <w:t xml:space="preserve">Once Kyle’s TC-04 paired results are in: map against the integration contract criteria and document the pass/fail verdict. That’s the Sprint 6 coordination deliverable.</w:t>
      </w:r>
    </w:p>
    <w:p>
      <w:pPr>
        <w:spacing w:after="60" w:before="60"/>
      </w:pPr>
    </w:p>
    <w:p>
      <w:pPr>
        <w:spacing w:after="40" w:before="80"/>
        <w:jc w:val="left"/>
      </w:pPr>
      <w:r>
        <w:rPr>
          <w:rFonts w:ascii="Arial" w:cs="Arial" w:eastAsia="Arial" w:hAnsi="Arial"/>
          <w:b w:val="false"/>
          <w:bCs w:val="false"/>
          <w:i w:val="false"/>
          <w:iCs w:val="false"/>
          <w:color w:val="000000"/>
          <w:sz w:val="22"/>
          <w:szCs w:val="22"/>
        </w:rPr>
        <w:t xml:space="preserve">What I’d like to land</w:t>
      </w:r>
    </w:p>
    <w:p>
      <w:pPr>
        <w:spacing w:after="160" w:before="40"/>
        <w:jc w:val="left"/>
      </w:pPr>
      <w:r>
        <w:rPr>
          <w:rFonts w:ascii="Arial" w:cs="Arial" w:eastAsia="Arial" w:hAnsi="Arial"/>
          <w:b w:val="false"/>
          <w:bCs w:val="false"/>
          <w:i w:val="false"/>
          <w:iCs w:val="false"/>
          <w:color w:val="000000"/>
          <w:sz w:val="22"/>
          <w:szCs w:val="22"/>
        </w:rPr>
        <w:t xml:space="preserve">60–70% of the final report drafted, with defined placeholders for Sprint 6 results. A documented TC-04 gate call. Sprint 7 inherits a report that needs filling in, not one that needs starting.</w:t>
      </w:r>
    </w:p>
    <w:p>
      <w:pPr>
        <w:pStyle w:val="Heading1"/>
        <w:spacing w:after="120" w:before="360"/>
      </w:pPr>
      <w:r>
        <w:rPr>
          <w:rFonts w:ascii="Arial" w:cs="Arial" w:eastAsia="Arial" w:hAnsi="Arial"/>
          <w:b/>
          <w:bCs/>
          <w:i w:val="false"/>
          <w:iCs w:val="false"/>
          <w:color w:val="1F4E79"/>
          <w:sz w:val="32"/>
          <w:szCs w:val="32"/>
        </w:rPr>
        <w:t xml:space="preserve">5. Open items to resolve during the sprint</w:t>
      </w:r>
    </w:p>
    <w:p>
      <w:pPr>
        <w:spacing w:after="80" w:before="80"/>
        <w:jc w:val="left"/>
      </w:pPr>
      <w:r>
        <w:rPr>
          <w:rFonts w:ascii="Arial" w:cs="Arial" w:eastAsia="Arial" w:hAnsi="Arial"/>
          <w:b w:val="false"/>
          <w:bCs w:val="false"/>
          <w:i w:val="false"/>
          <w:iCs w:val="false"/>
          <w:color w:val="000000"/>
          <w:sz w:val="22"/>
          <w:szCs w:val="22"/>
        </w:rPr>
        <w:t xml:space="preserve">One open item carries over from Sprint 5:</w:t>
      </w:r>
      <w:r>
        <w:rPr>
          <w:rFonts w:ascii="Arial" w:cs="Arial" w:eastAsia="Arial" w:hAnsi="Arial"/>
          <w:b/>
          <w:bCs/>
          <w:i w:val="false"/>
          <w:iCs w:val="false"/>
          <w:color w:val="000000"/>
          <w:sz w:val="22"/>
          <w:szCs w:val="22"/>
        </w:rPr>
        <w:t xml:space="preserve"> FP32 vs mixed precision.</w:t>
      </w:r>
      <w:r>
        <w:rPr>
          <w:rFonts w:ascii="Arial" w:cs="Arial" w:eastAsia="Arial" w:hAnsi="Arial"/>
          <w:b w:val="false"/>
          <w:bCs w:val="false"/>
          <w:i w:val="false"/>
          <w:iCs w:val="false"/>
          <w:color w:val="000000"/>
          <w:sz w:val="22"/>
          <w:szCs w:val="22"/>
        </w:rPr>
        <w:t xml:space="preserve"> Kyle resolves this on day one by inspecting the message sizes in the existing .et trace files — the precision assumption is encoded in the trace data directly. No conversation or external confirmation needed. This closes before any training script is written.</w:t>
      </w:r>
    </w:p>
    <w:p>
      <w:pPr>
        <w:spacing w:after="160" w:before="80"/>
        <w:jc w:val="left"/>
      </w:pPr>
      <w:r>
        <w:rPr>
          <w:rFonts w:ascii="Arial" w:cs="Arial" w:eastAsia="Arial" w:hAnsi="Arial"/>
          <w:b w:val="false"/>
          <w:bCs w:val="false"/>
          <w:i w:val="false"/>
          <w:iCs w:val="false"/>
          <w:color w:val="000000"/>
          <w:sz w:val="22"/>
          <w:szCs w:val="22"/>
        </w:rPr>
        <w:t xml:space="preserve">All other Sprint 5 open items are resolved: TC-04 gate wording is confirmed (Section 4 of the Lane D deliverable), time-shift transferability is settled (Lane C verdict), and all four lane outputs are in hand.</w:t>
      </w:r>
    </w:p>
    <w:p>
      <w:pPr>
        <w:pStyle w:val="Heading1"/>
        <w:spacing w:after="120" w:before="360"/>
      </w:pPr>
      <w:r>
        <w:rPr>
          <w:rFonts w:ascii="Arial" w:cs="Arial" w:eastAsia="Arial" w:hAnsi="Arial"/>
          <w:b/>
          <w:bCs/>
          <w:i w:val="false"/>
          <w:iCs w:val="false"/>
          <w:color w:val="1F4E79"/>
          <w:sz w:val="32"/>
          <w:szCs w:val="32"/>
        </w:rPr>
        <w:t xml:space="preserve">6. What “done” means this sprint</w:t>
      </w:r>
    </w:p>
    <w:p>
      <w:pPr>
        <w:spacing w:after="80" w:before="80"/>
        <w:jc w:val="left"/>
      </w:pPr>
      <w:r>
        <w:rPr>
          <w:rFonts w:ascii="Arial" w:cs="Arial" w:eastAsia="Arial" w:hAnsi="Arial"/>
          <w:b w:val="false"/>
          <w:bCs w:val="false"/>
          <w:i w:val="false"/>
          <w:iCs w:val="false"/>
          <w:color w:val="000000"/>
          <w:sz w:val="22"/>
          <w:szCs w:val="22"/>
        </w:rPr>
        <w:t xml:space="preserve">Done is four documented, defensible lane outputs, each of which Sprint 7 can act on directly:</w:t>
      </w:r>
    </w:p>
    <w:p>
      <w:pPr>
        <w:spacing w:after="40" w:before="40"/>
        <w:ind w:left="540" w:hanging="260"/>
      </w:pPr>
      <w:r>
        <w:rPr>
          <w:rFonts w:ascii="Arial" w:cs="Arial" w:eastAsia="Arial" w:hAnsi="Arial"/>
          <w:b/>
          <w:bCs/>
          <w:i w:val="false"/>
          <w:iCs w:val="false"/>
          <w:color w:val="000000"/>
          <w:sz w:val="22"/>
          <w:szCs w:val="22"/>
        </w:rPr>
        <w:t xml:space="preserve">•  Lane A: a documented TC-04 comparison — median JCT under ECMP vs predictor-informed routing, same TC-03 failure pattern, with a pass/fail verdict against the integration contract criteria.</w:t>
      </w:r>
    </w:p>
    <w:p>
      <w:pPr>
        <w:spacing w:after="40" w:before="40"/>
        <w:ind w:left="540" w:hanging="260"/>
      </w:pPr>
      <w:r>
        <w:rPr>
          <w:rFonts w:ascii="Arial" w:cs="Arial" w:eastAsia="Arial" w:hAnsi="Arial"/>
          <w:b/>
          <w:bCs/>
          <w:i w:val="false"/>
          <w:iCs w:val="false"/>
          <w:color w:val="000000"/>
          <w:sz w:val="22"/>
          <w:szCs w:val="22"/>
        </w:rPr>
        <w:t xml:space="preserve">•  Lane B: a trained and evaluated LSTM — precision, recall, and lead time documented. Integration as a proactive checkpoint trigger is the stretch goal; the evaluation result is the gate.</w:t>
      </w:r>
    </w:p>
    <w:p>
      <w:pPr>
        <w:spacing w:after="40" w:before="40"/>
        <w:ind w:left="540" w:hanging="260"/>
      </w:pPr>
      <w:r>
        <w:rPr>
          <w:rFonts w:ascii="Arial" w:cs="Arial" w:eastAsia="Arial" w:hAnsi="Arial"/>
          <w:b/>
          <w:bCs/>
          <w:i w:val="false"/>
          <w:iCs w:val="false"/>
          <w:color w:val="000000"/>
          <w:sz w:val="22"/>
          <w:szCs w:val="22"/>
        </w:rPr>
        <w:t xml:space="preserve">•  Lane C: a working dual-ToR topology in ASTRA-sim with a path search complexity baseline (single-ToR vs dual-ToR path count) documented for FR-G1.</w:t>
      </w:r>
    </w:p>
    <w:p>
      <w:pPr>
        <w:spacing w:after="40" w:before="40"/>
        <w:ind w:left="540" w:hanging="260"/>
      </w:pPr>
      <w:r>
        <w:rPr>
          <w:rFonts w:ascii="Arial" w:cs="Arial" w:eastAsia="Arial" w:hAnsi="Arial"/>
          <w:b/>
          <w:bCs/>
          <w:i w:val="false"/>
          <w:iCs w:val="false"/>
          <w:color w:val="000000"/>
          <w:sz w:val="22"/>
          <w:szCs w:val="22"/>
        </w:rPr>
        <w:t xml:space="preserve">•  Lane D: 60–70% of the final report drafted, with clean placeholders for Sprint 6 results. TC-04 gate call documented.</w:t>
      </w:r>
    </w:p>
    <w:p>
      <w:pPr>
        <w:spacing w:after="80" w:before="80"/>
      </w:pPr>
    </w:p>
    <w:p>
      <w:pPr>
        <w:spacing w:after="160" w:before="80"/>
        <w:jc w:val="left"/>
      </w:pPr>
      <w:r>
        <w:rPr>
          <w:rFonts w:ascii="Arial" w:cs="Arial" w:eastAsia="Arial" w:hAnsi="Arial"/>
          <w:b w:val="false"/>
          <w:bCs w:val="false"/>
          <w:i w:val="false"/>
          <w:iCs w:val="false"/>
          <w:color w:val="000000"/>
          <w:sz w:val="22"/>
          <w:szCs w:val="22"/>
        </w:rPr>
        <w:t xml:space="preserve">A thoroughly-explored result — including a first-pass TC-04 that needs Sprint 7 tuning — is better than a clean result that arrives late. Run things, measure things, document what you find. Everything we produce this week is the raw material for next week’s report — the final expression of the whole project’s labour. The better we document now, the more next week is simply telling the story of what we built.</w:t>
      </w:r>
    </w:p>
    <w:p>
      <w:pPr>
        <w:pBdr>
          <w:bottom w:val="single" w:color="2E75B6" w:sz="4" w:space="1"/>
        </w:pBdr>
        <w:spacing w:after="100" w:before="100"/>
      </w:pPr>
    </w:p>
    <w:p>
      <w:pPr>
        <w:spacing w:after="80" w:before="80"/>
      </w:pPr>
    </w:p>
    <w:p>
      <w:pPr>
        <w:spacing w:after="80" w:before="80"/>
        <w:jc w:val="left"/>
      </w:pPr>
      <w:r>
        <w:rPr>
          <w:rFonts w:ascii="Arial" w:cs="Arial" w:eastAsia="Arial" w:hAnsi="Arial"/>
          <w:b w:val="false"/>
          <w:bCs w:val="false"/>
          <w:i/>
          <w:iCs/>
          <w:color w:val="595959"/>
          <w:sz w:val="19"/>
          <w:szCs w:val="19"/>
        </w:rPr>
        <w:t xml:space="preserve">Prepared by Bradley Quinlan, coordination &amp; integration lead, for Sprint 6 planning. Anchored to the SRS requirements set (FR-G1, FR-P1, FR-P2, FR-G2, FR-G3, NFR-P1, NFR-P2), the Sprint 5 integration contract, and the Sprint 4 TC-03 baseline (3.0% JCT recovery penalty).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abstractNum w:abstractNumId="5" w15:restartNumberingAfterBreak="0">
    <w:multiLevelType w:val="hybridMultilevel"/>
    <w:lvl w:ilvl="0" w15:tentative="1">
      <w:start w:val="1"/>
      <w:numFmt w:val="decimal"/>
      <w:lvlText w:val="%1."/>
      <w:lvlJc w:val="left"/>
      <w:pPr>
        <w:ind w:left="540" w:hanging="260"/>
      </w:pPr>
    </w:lvl>
  </w:abstractNum>
  <w:abstractNum w:abstractNumId="6"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2026-06-15T08:12:51.269Z</dcterms:created>
  <dcterms:modified xsi:type="dcterms:W3CDTF">2026-06-15T08:12:51.281Z</dcterms:modified>
</cp:coreProperties>
</file>

<file path=docProps/custom.xml><?xml version="1.0" encoding="utf-8"?>
<Properties xmlns="http://schemas.openxmlformats.org/officeDocument/2006/custom-properties" xmlns:vt="http://schemas.openxmlformats.org/officeDocument/2006/docPropsVTypes"/>
</file>