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0"/>
          <w:szCs w:val="30"/>
        </w:rPr>
        <w:t xml:space="preserve">NCCL Collective Spec — R4 lane (Pod B, Sprint 3)</w:t>
      </w:r>
    </w:p>
    <w:p>
      <w:pPr>
        <w:pBdr>
          <w:bottom w:val="single" w:color="2E75B6" w:sz="6" w:space="2"/>
        </w:pBdr>
        <w:spacing w:after="200"/>
      </w:pPr>
      <w:r>
        <w:rPr>
          <w:i/>
          <w:iCs/>
          <w:color w:val="666666"/>
          <w:sz w:val="18"/>
          <w:szCs w:val="18"/>
        </w:rPr>
        <w:t xml:space="preserve">CE903 Group Project 3  ·  Closes the Sprint 2 NCCL carry-over and supplies the Synthesised half of the Sprint 3 .et integration contract  ·  FR-N1, FR-N2</w:t>
      </w:r>
    </w:p>
    <w:p>
      <w:pPr>
        <w:pStyle w:val="Heading1"/>
      </w:pPr>
      <w:r>
        <w:t xml:space="preserve">1. Purpose and where it connects</w:t>
      </w:r>
    </w:p>
    <w:p>
      <w:pPr>
        <w:spacing w:after="140"/>
      </w:pPr>
      <w:r>
        <w:t xml:space="preserve">This note fills the held-open R4 (NCCL &amp; Collective Communication) lane in </w:t>
      </w:r>
      <w:r>
        <w:rPr>
          <w:b/>
          <w:bCs/>
        </w:rPr>
        <w:t xml:space="preserve">Pod B — The Traffic</w:t>
      </w:r>
      <w:r>
        <w:t xml:space="preserve">. Pod B’s job is to decide which NCCL operation each parallelism phase generates and how large each message is, then stamp those into the trace. Concretely, that means supplying the four </w:t>
      </w:r>
      <w:r>
        <w:rPr>
          <w:b/>
          <w:bCs/>
          <w:color w:val="9A6722"/>
        </w:rPr>
        <w:t xml:space="preserve">“Synthesised”</w:t>
      </w:r>
      <w:r>
        <w:t xml:space="preserve"> fields of the Sprint 3 .et integration contract so Tae can bridge them into the pipeline (Pod A) without waiting on the lane owner.</w:t>
      </w:r>
    </w:p>
    <w:p>
      <w:pPr>
        <w:spacing w:after="140"/>
      </w:pPr>
      <w:r>
        <w:rPr>
          <w:b/>
          <w:bCs/>
        </w:rPr>
        <w:t xml:space="preserve">Read it alongside the Sprint 3 doc: </w:t>
      </w:r>
      <w:r>
        <w:t xml:space="preserve">Pod A fills the green (Profiler-filled) half of the contract from Kyle’s real profiler trace; this note supplies the amber half. The two halves meeting in one valid .et file is the whole Sprint 3 integration that closes TC-01.</w:t>
      </w:r>
    </w:p>
    <w:p>
      <w:pPr>
        <w:pStyle w:val="Heading1"/>
      </w:pPr>
      <w:r>
        <w:t xml:space="preserve">2. Parallelism → NCCL operation mapping</w:t>
      </w:r>
    </w:p>
    <w:p>
      <w:pPr>
        <w:spacing w:after="140"/>
      </w:pPr>
      <w:r>
        <w:t xml:space="preserve">The general reference the contract’s Collective-type field draws from. It tells the team which collective each parallelism strategy generates and how heavily each loads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860"/>
        <w:gridCol w:w="27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Parallelism</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NCCL operation(s)</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Traffic characteristics</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Congestion sensitivity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Parallelism (DP)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AllReduce (or ReduceScatter + AllGather)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Large, synchronised gradient sync once per step; very high volume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HIGHEST - large low-entropy elephant flows; primary cause of ECMP hash collisions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Tensor Parallelism (TP)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AllReduce / AllGather / ReduceScatter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Frequent smaller collectives inside each transformer layer (fwd + bwd)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if cross-node - assumes fast intra-node NVLink; degrades sharply once over Ethernet/RoCE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Pipeline Parallelism (PP)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Point-to-point Send / Recv</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Directional stage-to-stage traffic between nodes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MODERATE - directional hotspots and pipeline bubbles rather than broad congestion</w:t>
            </w:r>
          </w:p>
        </w:tc>
      </w:tr>
    </w:tbl>
    <w:p>
      <w:pPr>
        <w:spacing w:after="80"/>
      </w:pPr>
    </w:p>
    <w:p>
      <w:pPr>
        <w:spacing w:after="140"/>
      </w:pPr>
      <w:r>
        <w:t xml:space="preserve">Headline finding: Data-Parallel AllReduce is the highest-volume and most congestion-prone pattern — a few very large, synchronised, low-entropy flows that hash onto the same equal-cost paths. That is the behaviour that defeats ECMP and motivates the predictive router (FR-P2).</w:t>
      </w:r>
    </w:p>
    <w:p>
      <w:pPr>
        <w:pStyle w:val="Heading1"/>
      </w:pPr>
      <w:r>
        <w:t xml:space="preserve">3. Sprint 3 integration — the Synthesised fields, instantiated</w:t>
      </w:r>
    </w:p>
    <w:p>
      <w:pPr>
        <w:spacing w:after="140"/>
      </w:pPr>
      <w:r>
        <w:t xml:space="preserve">This is the direct input to Pod A. For the GPT-2 124M data-parallel workload, the amber contract fields take the following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Synthesised field in .et trace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 for GPT-2 124M (DP)</w:t>
            </w:r>
          </w:p>
        </w:tc>
        <w:tc>
          <w:tcPr>
            <w:tcW w:type="dxa" w:w="4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Derivation / note</w:t>
            </w:r>
          </w:p>
        </w:tc>
      </w:tr>
      <w:tr>
        <w:trPr>
          <w:tblHeader w:val="false"/>
        </w:trPr>
        <w:tc>
          <w:tcPr>
            <w:tcW w:type="dxa" w:w="2700"/>
            <w:tcBorders>
              <w:top w:val="single" w:color="CCCCCC" w:sz="1"/>
              <w:left w:val="single" w:color="CCCCCC" w:sz="1"/>
              <w:bottom w:val="single" w:color="CCCCCC" w:sz="1"/>
              <w:right w:val="single" w:color="CCCCCC" w:sz="1"/>
            </w:tcBorders>
            <w:shd w:fill="FBF1DD" w:val="clear"/>
            <w:tcMar>
              <w:top w:type="dxa" w:w="80"/>
              <w:left w:type="dxa" w:w="120"/>
              <w:bottom w:type="dxa" w:w="80"/>
              <w:right w:type="dxa" w:w="120"/>
            </w:tcMar>
          </w:tcPr>
          <w:p>
            <w:r>
              <w:rPr>
                <w:b/>
                <w:bCs/>
              </w:rPr>
              <w:t xml:space="preserve">Collective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AllReduce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Data-parallel gradient synchronisation - the dominant DP collective from the mapping above.</w:t>
            </w:r>
          </w:p>
        </w:tc>
      </w:tr>
      <w:tr>
        <w:trPr>
          <w:tblHeader w:val="false"/>
        </w:trPr>
        <w:tc>
          <w:tcPr>
            <w:tcW w:type="dxa" w:w="2700"/>
            <w:tcBorders>
              <w:top w:val="single" w:color="CCCCCC" w:sz="1"/>
              <w:left w:val="single" w:color="CCCCCC" w:sz="1"/>
              <w:bottom w:val="single" w:color="CCCCCC" w:sz="1"/>
              <w:right w:val="single" w:color="CCCCCC" w:sz="1"/>
            </w:tcBorders>
            <w:shd w:fill="FBF1DD" w:val="clear"/>
            <w:tcMar>
              <w:top w:type="dxa" w:w="80"/>
              <w:left w:type="dxa" w:w="120"/>
              <w:bottom w:type="dxa" w:w="80"/>
              <w:right w:type="dxa" w:w="120"/>
            </w:tcMar>
          </w:tcPr>
          <w:p>
            <w:r>
              <w:rPr>
                <w:b/>
                <w:bCs/>
              </w:rPr>
              <w:t xml:space="preserve">Tensor / message size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approx. 0.5 GB (~496 MB)</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124M parameters x 4 bytes (FP32) per all-reduce. Switch to ~248 MB if the workload runs FP16/BF16.</w:t>
            </w:r>
          </w:p>
        </w:tc>
      </w:tr>
      <w:tr>
        <w:trPr>
          <w:tblHeader w:val="false"/>
        </w:trPr>
        <w:tc>
          <w:tcPr>
            <w:tcW w:type="dxa" w:w="2700"/>
            <w:tcBorders>
              <w:top w:val="single" w:color="CCCCCC" w:sz="1"/>
              <w:left w:val="single" w:color="CCCCCC" w:sz="1"/>
              <w:bottom w:val="single" w:color="CCCCCC" w:sz="1"/>
              <w:right w:val="single" w:color="CCCCCC" w:sz="1"/>
            </w:tcBorders>
            <w:shd w:fill="FBF1DD" w:val="clear"/>
            <w:tcMar>
              <w:top w:type="dxa" w:w="80"/>
              <w:left w:type="dxa" w:w="120"/>
              <w:bottom w:type="dxa" w:w="80"/>
              <w:right w:type="dxa" w:w="120"/>
            </w:tcMar>
          </w:tcPr>
          <w:p>
            <w:r>
              <w:rPr>
                <w:b/>
                <w:bCs/>
              </w:rPr>
              <w:t xml:space="preserve">Comm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data-parallel process group (all DP ranks)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Pure DP: every replica participates in the same all-reduce. On the simple analytical topology this is the global rank set.</w:t>
            </w:r>
          </w:p>
        </w:tc>
      </w:tr>
      <w:tr>
        <w:trPr>
          <w:tblHeader w:val="false"/>
        </w:trPr>
        <w:tc>
          <w:tcPr>
            <w:tcW w:type="dxa" w:w="2700"/>
            <w:tcBorders>
              <w:top w:val="single" w:color="CCCCCC" w:sz="1"/>
              <w:left w:val="single" w:color="CCCCCC" w:sz="1"/>
              <w:bottom w:val="single" w:color="CCCCCC" w:sz="1"/>
              <w:right w:val="single" w:color="CCCCCC" w:sz="1"/>
            </w:tcBorders>
            <w:shd w:fill="FBF1DD" w:val="clear"/>
            <w:tcMar>
              <w:top w:type="dxa" w:w="80"/>
              <w:left w:type="dxa" w:w="120"/>
              <w:bottom w:type="dxa" w:w="80"/>
              <w:right w:type="dxa" w:w="120"/>
            </w:tcMar>
          </w:tcPr>
          <w:p>
            <w:r>
              <w:rPr>
                <w:b/>
                <w:bCs/>
              </w:rPr>
              <w:t xml:space="preserve">Comm dependency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Stamped at the step-boundary sync barrier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Depends on the backward pass completing; the optimiser step depends on the all-reduce completing. One stamp per step, step-0 excluded.</w:t>
            </w:r>
          </w:p>
        </w:tc>
      </w:tr>
    </w:tbl>
    <w:p>
      <w:pPr>
        <w:spacing w:after="80"/>
      </w:pPr>
    </w:p>
    <w:p>
      <w:pPr>
        <w:spacing w:after="140"/>
      </w:pPr>
      <w:r>
        <w:rPr>
          <w:b/>
          <w:bCs/>
        </w:rPr>
        <w:t xml:space="preserve">Handoff to Tae (integration bridge): </w:t>
      </w:r>
      <w:r>
        <w:t xml:space="preserve">stamp one AllReduce of ≈0.5 GB across the full DP group at each step boundary, after backward. Roshan’s converter writes these into the .et trace; Tae runs the result on the simple analytical topology and reads back baseline JCT, communication time, and link utilisation. The lane sits off the critical path — this spec lets the work proceed now and Ashraf’s output slots in unchanged when it lands.</w:t>
      </w:r>
    </w:p>
    <w:p>
      <w:pPr>
        <w:pStyle w:val="Heading1"/>
      </w:pPr>
      <w:r>
        <w:t xml:space="preserve">4. nccl-tests review (informs FR-N1)</w:t>
      </w:r>
    </w:p>
    <w:p>
      <w:pPr>
        <w:spacing w:after="140"/>
      </w:pPr>
      <w:r>
        <w:t xml:space="preserve">The standard microbenchmarks for collective bandwidth and latency, and the curves Sprint 3 (TC-02) must reproduce as sensible baselines with no timeouts:</w:t>
      </w:r>
    </w:p>
    <w:p>
      <w:pPr>
        <w:pStyle w:val="ListParagraph"/>
        <w:numPr>
          <w:ilvl w:val="0"/>
          <w:numId w:val="2"/>
        </w:numPr>
        <w:spacing w:after="60"/>
      </w:pPr>
      <w:r>
        <w:rPr>
          <w:b/>
          <w:bCs/>
        </w:rPr>
        <w:t xml:space="preserve">all_reduce_perf</w:t>
      </w:r>
      <w:r>
        <w:t xml:space="preserve"> — measures AllReduce bandwidth/latency across ranks; the primary benchmark to reproduce in the ASTRA-sim backend, since AllReduce is the dominant DP pattern.</w:t>
      </w:r>
    </w:p>
    <w:p>
      <w:pPr>
        <w:pStyle w:val="ListParagraph"/>
        <w:numPr>
          <w:ilvl w:val="0"/>
          <w:numId w:val="2"/>
        </w:numPr>
        <w:spacing w:after="60"/>
      </w:pPr>
      <w:r>
        <w:rPr>
          <w:b/>
          <w:bCs/>
        </w:rPr>
        <w:t xml:space="preserve">all_gather_perf</w:t>
      </w:r>
      <w:r>
        <w:t xml:space="preserve"> — measures AllGather, relevant to sharded (ZeRO/FSDP) and tensor-parallel collectives.</w:t>
      </w:r>
    </w:p>
    <w:p>
      <w:pPr>
        <w:pStyle w:val="ListParagraph"/>
        <w:numPr>
          <w:ilvl w:val="0"/>
          <w:numId w:val="2"/>
        </w:numPr>
        <w:spacing w:after="60"/>
      </w:pPr>
      <w:r>
        <w:t xml:space="preserve">Both report algorithm and bus bandwidth as message size scales — those are the baseline curves to validate.</w:t>
      </w:r>
    </w:p>
    <w:p>
      <w:pPr>
        <w:pStyle w:val="ListParagraph"/>
        <w:numPr>
          <w:ilvl w:val="0"/>
          <w:numId w:val="2"/>
        </w:numPr>
        <w:spacing w:after="60"/>
      </w:pPr>
      <w:r>
        <w:t xml:space="preserve">NCCL picks ring vs tree by message size and topology: ring favours bandwidth on large messages (our DP case), tree favours latency on small ones. Model the ring algorithm for the large DP AllReduce.</w:t>
      </w:r>
    </w:p>
    <w:p>
      <w:pPr>
        <w:pStyle w:val="Heading1"/>
      </w:pPr>
      <w:r>
        <w:t xml:space="preserve">5. Why ECMP struggles with this traffic</w:t>
      </w:r>
    </w:p>
    <w:p>
      <w:pPr>
        <w:pStyle w:val="ListParagraph"/>
        <w:numPr>
          <w:ilvl w:val="0"/>
          <w:numId w:val="2"/>
        </w:numPr>
        <w:spacing w:after="60"/>
      </w:pPr>
      <w:r>
        <w:t xml:space="preserve">DP gradient sync emits a few enormous flows, not many small ones, so per-flow hashing cannot spread the load.</w:t>
      </w:r>
    </w:p>
    <w:p>
      <w:pPr>
        <w:pStyle w:val="ListParagraph"/>
        <w:numPr>
          <w:ilvl w:val="0"/>
          <w:numId w:val="2"/>
        </w:numPr>
        <w:spacing w:after="60"/>
      </w:pPr>
      <w:r>
        <w:t xml:space="preserve">If several elephant flows hash to the same link, that path saturates while others sit idle — stretching synchronisation time and JCT.</w:t>
      </w:r>
    </w:p>
    <w:p>
      <w:pPr>
        <w:pStyle w:val="ListParagraph"/>
        <w:numPr>
          <w:ilvl w:val="0"/>
          <w:numId w:val="2"/>
        </w:numPr>
        <w:spacing w:after="60"/>
      </w:pPr>
      <w:r>
        <w:t xml:space="preserve">The traffic is periodic and predictable, which is exactly why a network-aware scheduler can anticipate and route around it.</w:t>
      </w:r>
    </w:p>
    <w:p>
      <w:pPr>
        <w:pStyle w:val="Heading1"/>
      </w:pPr>
      <w:r>
        <w:t xml:space="preserve">6. Sprint 2 requirement check</w:t>
      </w:r>
    </w:p>
    <w:p>
      <w:pPr>
        <w:spacing w:after="140"/>
      </w:pPr>
      <w:r>
        <w:t xml:space="preserve">Against the five tasks originally set for this lane:</w:t>
      </w:r>
    </w:p>
    <w:p>
      <w:pPr>
        <w:pStyle w:val="ListParagraph"/>
        <w:numPr>
          <w:ilvl w:val="0"/>
          <w:numId w:val="2"/>
        </w:numPr>
        <w:spacing w:after="60"/>
      </w:pPr>
      <w:r>
        <w:t xml:space="preserve">Read the NCCL developer guide — covered (operations and ring/tree algorithms summarised).</w:t>
      </w:r>
    </w:p>
    <w:p>
      <w:pPr>
        <w:pStyle w:val="ListParagraph"/>
        <w:numPr>
          <w:ilvl w:val="0"/>
          <w:numId w:val="2"/>
        </w:numPr>
        <w:spacing w:after="60"/>
      </w:pPr>
      <w:r>
        <w:t xml:space="preserve">Review nccl-tests, focusing on all_reduce_perf — Section 4.</w:t>
      </w:r>
    </w:p>
    <w:p>
      <w:pPr>
        <w:pStyle w:val="ListParagraph"/>
        <w:numPr>
          <w:ilvl w:val="0"/>
          <w:numId w:val="2"/>
        </w:numPr>
        <w:spacing w:after="60"/>
      </w:pPr>
      <w:r>
        <w:t xml:space="preserve">Produce the DP/TP/PP → NCCL operation table — Section 2.</w:t>
      </w:r>
    </w:p>
    <w:p>
      <w:pPr>
        <w:pStyle w:val="ListParagraph"/>
        <w:numPr>
          <w:ilvl w:val="0"/>
          <w:numId w:val="2"/>
        </w:numPr>
        <w:spacing w:after="60"/>
      </w:pPr>
      <w:r>
        <w:t xml:space="preserve">Note highest-volume / most congestion-prone operations — DP AllReduce.</w:t>
      </w:r>
    </w:p>
    <w:p>
      <w:pPr>
        <w:pStyle w:val="ListParagraph"/>
        <w:numPr>
          <w:ilvl w:val="0"/>
          <w:numId w:val="2"/>
        </w:numPr>
        <w:spacing w:after="60"/>
      </w:pPr>
      <w:r>
        <w:t xml:space="preserve">Build on the existing NCCL research document — done; distilled into this deliverable and mapped onto the Sprint 3 contract.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2026-05-26T11:46:56.176Z</dcterms:created>
  <dcterms:modified xsi:type="dcterms:W3CDTF">2026-05-26T11:46:56.188Z</dcterms:modified>
</cp:coreProperties>
</file>

<file path=docProps/custom.xml><?xml version="1.0" encoding="utf-8"?>
<Properties xmlns="http://schemas.openxmlformats.org/officeDocument/2006/custom-properties" xmlns:vt="http://schemas.openxmlformats.org/officeDocument/2006/docPropsVTypes"/>
</file>