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CE903 Group Project — Project 3</w:t>
      </w:r>
    </w:p>
    <w:p>
      <w:pPr>
        <w:spacing w:after="120" w:before="0"/>
        <w:jc w:val="center"/>
      </w:pPr>
      <w:r>
        <w:rPr>
          <w:rFonts w:ascii="Arial" w:cs="Arial" w:eastAsia="Arial" w:hAnsi="Arial"/>
          <w:b/>
          <w:bCs/>
          <w:color w:val="1F4E79"/>
          <w:sz w:val="40"/>
          <w:szCs w:val="40"/>
        </w:rPr>
        <w:t xml:space="preserve">Sprint 2 Team Briefing</w:t>
      </w:r>
    </w:p>
    <w:p>
      <w:pPr>
        <w:spacing w:after="400" w:before="0"/>
        <w:jc w:val="center"/>
      </w:pPr>
      <w:r>
        <w:rPr>
          <w:rFonts w:ascii="Arial" w:cs="Arial" w:eastAsia="Arial" w:hAnsi="Arial"/>
          <w:i/>
          <w:iCs/>
          <w:color w:val="555555"/>
          <w:sz w:val="24"/>
          <w:szCs w:val="24"/>
        </w:rPr>
        <w:t xml:space="preserve">Managing Network for LLM Training</w:t>
      </w:r>
    </w:p>
    <w:p>
      <w:pPr>
        <w:pStyle w:val="Heading1"/>
        <w:pBdr>
          <w:bottom w:val="single" w:color="1F4E79" w:sz="6" w:space="1"/>
        </w:pBdr>
        <w:spacing w:after="160" w:before="320"/>
      </w:pPr>
      <w:r>
        <w:rPr>
          <w:rFonts w:ascii="Arial" w:cs="Arial" w:eastAsia="Arial" w:hAnsi="Arial"/>
          <w:b/>
          <w:bCs/>
          <w:color w:val="1F4E79"/>
          <w:sz w:val="32"/>
          <w:szCs w:val="32"/>
        </w:rPr>
        <w:t xml:space="preserve">Overview</w:t>
      </w:r>
    </w:p>
    <w:p>
      <w:pPr>
        <w:spacing w:after="80" w:before="80"/>
      </w:pPr>
      <w:r>
        <w:rPr>
          <w:rFonts w:ascii="Arial" w:cs="Arial" w:eastAsia="Arial" w:hAnsi="Arial"/>
          <w:sz w:val="22"/>
          <w:szCs w:val="22"/>
        </w:rPr>
        <w:t xml:space="preserve">We've submitted the SRS — good work everyone. This week we move from theory to tools. The goal for Sprint 2 is not to build anything complex; it's to get hands-on with the core technologies so that nobody is learning from scratch when the simulation work starts in earnest. Every role this week is about establishing a foundation, not delivering a finished system.</w:t>
      </w:r>
    </w:p>
    <w:p>
      <w:pPr>
        <w:spacing w:after="80" w:before="80"/>
      </w:pPr>
      <w:r>
        <w:t xml:space="preserve"/>
      </w:r>
    </w:p>
    <w:p>
      <w:pPr>
        <w:spacing w:after="80" w:before="80"/>
      </w:pPr>
      <w:r>
        <w:rPr>
          <w:rFonts w:ascii="Arial" w:cs="Arial" w:eastAsia="Arial" w:hAnsi="Arial"/>
          <w:sz w:val="22"/>
          <w:szCs w:val="22"/>
        </w:rPr>
        <w:t xml:space="preserve">I'm keeping myself free of a dedicated specialisation this sprint to stay across the whole picture, unblock anyone who gets stuck, and make sure the pieces are going to fit together when we integrate in Sprint 3. If anything is unclear or you're hitting walls, come to me early.</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What the SRS Has Planned for Sprint 2</w:t>
      </w:r>
    </w:p>
    <w:p>
      <w:pPr>
        <w:spacing w:after="80" w:before="80"/>
      </w:pPr>
      <w:r>
        <w:rPr>
          <w:rFonts w:ascii="Arial" w:cs="Arial" w:eastAsia="Arial" w:hAnsi="Arial"/>
          <w:sz w:val="22"/>
          <w:szCs w:val="22"/>
        </w:rPr>
        <w:t xml:space="preserve">For reference, here is what we committed to in the SRS for this sprint: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Extract Hugging Face workload traces using Transformers/Accelerate and ZeRO-based sharding principles</w:t>
      </w:r>
    </w:p>
    <w:p>
      <w:pPr>
        <w:pStyle w:val="ListParagraph"/>
        <w:numPr>
          <w:ilvl w:val="0"/>
          <w:numId w:val="2"/>
        </w:numPr>
        <w:spacing w:after="60" w:before="60"/>
      </w:pPr>
      <w:r>
        <w:rPr>
          <w:rFonts w:ascii="Arial" w:cs="Arial" w:eastAsia="Arial" w:hAnsi="Arial"/>
          <w:sz w:val="22"/>
          <w:szCs w:val="22"/>
        </w:rPr>
        <w:t xml:space="preserve">Establish baseline measurements for JCT, step time, throughput, and gradient all-reduce latency</w:t>
      </w:r>
    </w:p>
    <w:p>
      <w:pPr>
        <w:pStyle w:val="ListParagraph"/>
        <w:numPr>
          <w:ilvl w:val="0"/>
          <w:numId w:val="2"/>
        </w:numPr>
        <w:spacing w:after="60" w:before="60"/>
      </w:pPr>
      <w:r>
        <w:rPr>
          <w:rFonts w:ascii="Arial" w:cs="Arial" w:eastAsia="Arial" w:hAnsi="Arial"/>
          <w:sz w:val="22"/>
          <w:szCs w:val="22"/>
        </w:rPr>
        <w:t xml:space="preserve">Pass Acceptance Test TC-01: a single LLM training job runs to completion under ECMP routing with 0% failure rate, with JCT and throughput recorded correctly</w:t>
      </w:r>
    </w:p>
    <w:p>
      <w:pPr>
        <w:pStyle w:val="ListParagraph"/>
        <w:numPr>
          <w:ilvl w:val="0"/>
          <w:numId w:val="2"/>
        </w:numPr>
        <w:spacing w:after="60" w:before="60"/>
      </w:pPr>
      <w:r>
        <w:rPr>
          <w:rFonts w:ascii="Arial" w:cs="Arial" w:eastAsia="Arial" w:hAnsi="Arial"/>
          <w:sz w:val="22"/>
          <w:szCs w:val="22"/>
        </w:rPr>
        <w:t xml:space="preserve">Verify requirements: FR-M1, FR-M2, FR-P1</w:t>
      </w:r>
    </w:p>
    <w:p>
      <w:pPr>
        <w:spacing w:after="80" w:before="80"/>
      </w:pPr>
      <w:r>
        <w:t xml:space="preserve"/>
      </w:r>
    </w:p>
    <w:p>
      <w:pPr>
        <w:spacing w:after="80" w:before="80"/>
      </w:pPr>
      <w:r>
        <w:rPr>
          <w:rFonts w:ascii="Arial" w:cs="Arial" w:eastAsia="Arial" w:hAnsi="Arial"/>
          <w:sz w:val="22"/>
          <w:szCs w:val="22"/>
        </w:rPr>
        <w:t xml:space="preserve">The five specialisations below are how we divide that work across the team.</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Team Specialisations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Role 1: Workload &amp; Metrics</w:t>
            </w:r>
          </w:p>
        </w:tc>
        <w:tc>
          <w:tcPr>
            <w:tcW w:type="dxa" w:w="2560"/>
            <w:tcBorders>
              <w:top w:val="single" w:color="CCCCCC" w:sz="1"/>
              <w:left w:val="single" w:color="CCCCCC" w:sz="1"/>
              <w:bottom w:val="single" w:color="CCCCCC" w:sz="1"/>
              <w:right w:val="single" w:color="CCCCCC" w:sz="1"/>
            </w:tcBorders>
            <w:shd w:fill="2E74B5" w:val="clear"/>
            <w:tcMar>
              <w:top w:type="dxa" w:w="100"/>
              <w:left w:type="dxa" w:w="160"/>
              <w:bottom w:type="dxa" w:w="100"/>
              <w:right w:type="dxa" w:w="160"/>
            </w:tcMar>
            <w:vAlign w:val="center"/>
          </w:tcPr>
          <w:p>
            <w:pPr>
              <w:jc w:val="center"/>
            </w:pPr>
            <w:r>
              <w:rPr>
                <w:rFonts w:ascii="Arial" w:cs="Arial" w:eastAsia="Arial" w:hAnsi="Arial"/>
                <w:color w:val="FFFFFF"/>
                <w:sz w:val="20"/>
                <w:szCs w:val="20"/>
              </w:rPr>
              <w:t xml:space="preserve">FR-M1 · FR-M2</w:t>
            </w:r>
          </w:p>
        </w:tc>
      </w:tr>
    </w:tbl>
    <w:p>
      <w:pPr>
        <w:spacing w:after="80" w:before="80"/>
      </w:pPr>
      <w:r>
        <w:t xml:space="preserve"/>
      </w:r>
    </w:p>
    <w:p>
      <w:pPr>
        <w:spacing w:after="160" w:before="100"/>
      </w:pPr>
      <w:r>
        <w:rPr>
          <w:rFonts w:ascii="Arial" w:cs="Arial" w:eastAsia="Arial" w:hAnsi="Arial"/>
          <w:i/>
          <w:iCs/>
          <w:color w:val="555555"/>
          <w:sz w:val="22"/>
          <w:szCs w:val="22"/>
        </w:rPr>
        <w:t xml:space="preserve">How this feeds in: This is the measurement backbone of the entire project. Every comparison between ECMP and predictive routing, and every claim about JCT improvement, depends on having a reliable and consistent metrics pipeline. Getting this working cleanly now means that when the simulation starts producing results in Sprint 3 and beyond, we have a trusted way to record and compare them — without it, our evaluation has no foundation.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Install and verify PyTorch and Hugging Face Transformers locally</w:t>
      </w:r>
    </w:p>
    <w:p>
      <w:pPr>
        <w:pStyle w:val="ListParagraph"/>
        <w:numPr>
          <w:ilvl w:val="0"/>
          <w:numId w:val="2"/>
        </w:numPr>
        <w:spacing w:after="60" w:before="60"/>
      </w:pPr>
      <w:r>
        <w:rPr>
          <w:rFonts w:ascii="Arial" w:cs="Arial" w:eastAsia="Arial" w:hAnsi="Arial"/>
          <w:sz w:val="22"/>
          <w:szCs w:val="22"/>
        </w:rPr>
        <w:t xml:space="preserve">Write a minimal training loop using a small model — GPT-2 is fine</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A short Python script that loads GPT-2, runs a few training steps on dummy or small real data, and completes without errors</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This simulates the compute-then-communicate cycle that generates the traffic patterns we are studying — even at small scale it establishes the shape of the workload</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Use AutoModelForCausalLM.from_pretrained("gpt2") from Hugging Face Transformers, wrap it in a basic training loop with a small batch, and run for 10–20 steps locally</w:t>
      </w:r>
    </w:p>
    <w:p>
      <w:pPr>
        <w:pStyle w:val="ListParagraph"/>
        <w:numPr>
          <w:ilvl w:val="0"/>
          <w:numId w:val="2"/>
        </w:numPr>
        <w:spacing w:after="60" w:before="60"/>
      </w:pPr>
      <w:r>
        <w:rPr>
          <w:rFonts w:ascii="Arial" w:cs="Arial" w:eastAsia="Arial" w:hAnsi="Arial"/>
          <w:sz w:val="22"/>
          <w:szCs w:val="22"/>
        </w:rPr>
        <w:t xml:space="preserve">Enable PyTorch profiler and confirm it runs without errors</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Wrap the training loop in torch.profiler.profile() to capture per-step timing data</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The profiler is how the team will isolate compute time from communication time — this distinction is central to understanding where JCT overhead actually comes from</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Use the schedule argument to skip the first step (warmup) and record the next few; export the trace as a JSON file using prof.export_chrome_trace()</w:t>
      </w:r>
    </w:p>
    <w:p>
      <w:pPr>
        <w:pStyle w:val="ListParagraph"/>
        <w:numPr>
          <w:ilvl w:val="0"/>
          <w:numId w:val="2"/>
        </w:numPr>
        <w:spacing w:after="60" w:before="60"/>
      </w:pPr>
      <w:r>
        <w:rPr>
          <w:rFonts w:ascii="Arial" w:cs="Arial" w:eastAsia="Arial" w:hAnsi="Arial"/>
          <w:sz w:val="22"/>
          <w:szCs w:val="22"/>
        </w:rPr>
        <w:t xml:space="preserve">Extract at least two metrics: step time and total JCT</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Pull per-step duration and overall wall-clock time from the profiler output</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These are the two primary metrics the project evaluates — everything in the simulation will be measured against them</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Use time.time() around the training loop for JCT, and parse the profiler trace or use prof.key_averages() for per-step breakdown</w:t>
      </w:r>
    </w:p>
    <w:p>
      <w:pPr>
        <w:pStyle w:val="ListParagraph"/>
        <w:numPr>
          <w:ilvl w:val="0"/>
          <w:numId w:val="2"/>
        </w:numPr>
        <w:spacing w:after="60" w:before="60"/>
      </w:pPr>
      <w:r>
        <w:rPr>
          <w:rFonts w:ascii="Arial" w:cs="Arial" w:eastAsia="Arial" w:hAnsi="Arial"/>
          <w:sz w:val="22"/>
          <w:szCs w:val="22"/>
        </w:rPr>
        <w:t xml:space="preserve">Save profiler output to a file and share with the group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Role 2: ASTRA-sim &amp; Simulation Setup</w:t>
            </w:r>
          </w:p>
        </w:tc>
        <w:tc>
          <w:tcPr>
            <w:tcW w:type="dxa" w:w="2560"/>
            <w:tcBorders>
              <w:top w:val="single" w:color="CCCCCC" w:sz="1"/>
              <w:left w:val="single" w:color="CCCCCC" w:sz="1"/>
              <w:bottom w:val="single" w:color="CCCCCC" w:sz="1"/>
              <w:right w:val="single" w:color="CCCCCC" w:sz="1"/>
            </w:tcBorders>
            <w:shd w:fill="2E74B5" w:val="clear"/>
            <w:tcMar>
              <w:top w:type="dxa" w:w="100"/>
              <w:left w:type="dxa" w:w="160"/>
              <w:bottom w:type="dxa" w:w="100"/>
              <w:right w:type="dxa" w:w="160"/>
            </w:tcMar>
            <w:vAlign w:val="center"/>
          </w:tcPr>
          <w:p>
            <w:pPr>
              <w:jc w:val="center"/>
            </w:pPr>
            <w:r>
              <w:rPr>
                <w:rFonts w:ascii="Arial" w:cs="Arial" w:eastAsia="Arial" w:hAnsi="Arial"/>
                <w:color w:val="FFFFFF"/>
                <w:sz w:val="20"/>
                <w:szCs w:val="20"/>
              </w:rPr>
              <w:t xml:space="preserve">FR-G1 · NFR-P2</w:t>
            </w:r>
          </w:p>
        </w:tc>
      </w:tr>
    </w:tbl>
    <w:p>
      <w:pPr>
        <w:spacing w:after="80" w:before="80"/>
      </w:pPr>
      <w:r>
        <w:t xml:space="preserve"/>
      </w:r>
    </w:p>
    <w:p>
      <w:pPr>
        <w:spacing w:after="160" w:before="100"/>
      </w:pPr>
      <w:r>
        <w:rPr>
          <w:rFonts w:ascii="Arial" w:cs="Arial" w:eastAsia="Arial" w:hAnsi="Arial"/>
          <w:i/>
          <w:iCs/>
          <w:color w:val="555555"/>
          <w:sz w:val="22"/>
          <w:szCs w:val="22"/>
        </w:rPr>
        <w:t xml:space="preserve">How this feeds in: ASTRA-sim is the core environment where everything comes together — workload traces, network topology, failure injection, and routing algorithms all live here. Getting a clean, documented install this week means we are not losing time to environment issues later when the work becomes more complex. This role is effectively unblocking everyone else for Sprint 3 — it is the most infrastructure-critical task this week.</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Clone the ASTRA-sim 2.0 repository and follow the setup documentation</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Pull the repository from GitHub and follow the build instructions to compile the simulator</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ASTRA-sim has non-trivial dependencies — CMake, specific compiler versions — that vary by OS; catching these early avoids blocking the whole team later</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Follow the official ASTRA-sim 2.0 build guide; if on Windows, a Linux VM or WSL2 environment is strongly recommended as the simulator is Linux-native</w:t>
      </w:r>
    </w:p>
    <w:p>
      <w:pPr>
        <w:pStyle w:val="ListParagraph"/>
        <w:numPr>
          <w:ilvl w:val="0"/>
          <w:numId w:val="2"/>
        </w:numPr>
        <w:spacing w:after="60" w:before="60"/>
      </w:pPr>
      <w:r>
        <w:rPr>
          <w:rFonts w:ascii="Arial" w:cs="Arial" w:eastAsia="Arial" w:hAnsi="Arial"/>
          <w:sz w:val="22"/>
          <w:szCs w:val="22"/>
        </w:rPr>
        <w:t xml:space="preserve">Resolve any environment or dependency issues and document them</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Keep a running note of any errors encountered and how they were resolved</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Other team members will need to replicate the environment — undocumented fixes create bottlenecks that slow everyone down</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A simple shared text file listing the OS, dependency versions, and any workarounds is sufficient; add it to the shared drive</w:t>
      </w:r>
    </w:p>
    <w:p>
      <w:pPr>
        <w:pStyle w:val="ListParagraph"/>
        <w:numPr>
          <w:ilvl w:val="0"/>
          <w:numId w:val="2"/>
        </w:numPr>
        <w:spacing w:after="60" w:before="60"/>
      </w:pPr>
      <w:r>
        <w:rPr>
          <w:rFonts w:ascii="Arial" w:cs="Arial" w:eastAsia="Arial" w:hAnsi="Arial"/>
          <w:sz w:val="22"/>
          <w:szCs w:val="22"/>
        </w:rPr>
        <w:t xml:space="preserve">Run at least one bundled example workload successfully</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Execute one of the example simulations included in the ASTRA-sim repository</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Confirms the environment is working end-to-end before any custom workload is introduced</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The repository includes example Chakra traces and configuration files — run these as-is and confirm the simulation completes and produces output files</w:t>
      </w:r>
    </w:p>
    <w:p>
      <w:pPr>
        <w:pStyle w:val="ListParagraph"/>
        <w:numPr>
          <w:ilvl w:val="0"/>
          <w:numId w:val="2"/>
        </w:numPr>
        <w:spacing w:after="60" w:before="60"/>
      </w:pPr>
      <w:r>
        <w:rPr>
          <w:rFonts w:ascii="Arial" w:cs="Arial" w:eastAsia="Arial" w:hAnsi="Arial"/>
          <w:sz w:val="22"/>
          <w:szCs w:val="22"/>
        </w:rPr>
        <w:t xml:space="preserve">Record what outputs are produced and what they represent</w:t>
      </w:r>
    </w:p>
    <w:p>
      <w:pPr>
        <w:pStyle w:val="ListParagraph"/>
        <w:numPr>
          <w:ilvl w:val="0"/>
          <w:numId w:val="2"/>
        </w:numPr>
        <w:spacing w:after="60" w:before="60"/>
      </w:pPr>
      <w:r>
        <w:rPr>
          <w:rFonts w:ascii="Arial" w:cs="Arial" w:eastAsia="Arial" w:hAnsi="Arial"/>
          <w:sz w:val="22"/>
          <w:szCs w:val="22"/>
        </w:rPr>
        <w:t xml:space="preserve">Share a brief note on what the team will need to do to load custom traces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Role 3: Chakra Traces &amp; Workload Representation</w:t>
            </w:r>
          </w:p>
        </w:tc>
        <w:tc>
          <w:tcPr>
            <w:tcW w:type="dxa" w:w="2560"/>
            <w:tcBorders>
              <w:top w:val="single" w:color="CCCCCC" w:sz="1"/>
              <w:left w:val="single" w:color="CCCCCC" w:sz="1"/>
              <w:bottom w:val="single" w:color="CCCCCC" w:sz="1"/>
              <w:right w:val="single" w:color="CCCCCC" w:sz="1"/>
            </w:tcBorders>
            <w:shd w:fill="2E74B5" w:val="clear"/>
            <w:tcMar>
              <w:top w:type="dxa" w:w="100"/>
              <w:left w:type="dxa" w:w="160"/>
              <w:bottom w:type="dxa" w:w="100"/>
              <w:right w:type="dxa" w:w="160"/>
            </w:tcMar>
            <w:vAlign w:val="center"/>
          </w:tcPr>
          <w:p>
            <w:pPr>
              <w:jc w:val="center"/>
            </w:pPr>
            <w:r>
              <w:rPr>
                <w:rFonts w:ascii="Arial" w:cs="Arial" w:eastAsia="Arial" w:hAnsi="Arial"/>
                <w:color w:val="FFFFFF"/>
                <w:sz w:val="20"/>
                <w:szCs w:val="20"/>
              </w:rPr>
              <w:t xml:space="preserve">FR-M1 · FR-P1</w:t>
            </w:r>
          </w:p>
        </w:tc>
      </w:tr>
    </w:tbl>
    <w:p>
      <w:pPr>
        <w:spacing w:after="80" w:before="80"/>
      </w:pPr>
      <w:r>
        <w:t xml:space="preserve"/>
      </w:r>
    </w:p>
    <w:p>
      <w:pPr>
        <w:spacing w:after="160" w:before="100"/>
      </w:pPr>
      <w:r>
        <w:rPr>
          <w:rFonts w:ascii="Arial" w:cs="Arial" w:eastAsia="Arial" w:hAnsi="Arial"/>
          <w:i/>
          <w:iCs/>
          <w:color w:val="555555"/>
          <w:sz w:val="22"/>
          <w:szCs w:val="22"/>
        </w:rPr>
        <w:t xml:space="preserve">How this feeds in: Chakra traces are the bridge between the real training workload and the simulation. Without a clear understanding of how a Hugging Face training run gets translated into a format ASTRA-sim can consume, the team cannot run meaningful simulations. This role sits at the critical handoff point between the Workload/Metrics work and the ASTRA-sim environment, and will directly shape how Sprint 3 integration is designed.</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Read the MLCommons Chakra documentation overview</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Read the Chakra specification and README from the MLCommons GitHub repository</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Chakra is the execution trace format ASTRA-sim uses as input — understanding its structure is essential before the team can feed real workload data into the simulator</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Start at the MLCommons Chakra GitHub repository; focus on the schema definition and the explanation of node types — compute, communication, memory</w:t>
      </w:r>
    </w:p>
    <w:p>
      <w:pPr>
        <w:pStyle w:val="ListParagraph"/>
        <w:numPr>
          <w:ilvl w:val="0"/>
          <w:numId w:val="2"/>
        </w:numPr>
        <w:spacing w:after="60" w:before="60"/>
      </w:pPr>
      <w:r>
        <w:rPr>
          <w:rFonts w:ascii="Arial" w:cs="Arial" w:eastAsia="Arial" w:hAnsi="Arial"/>
          <w:sz w:val="22"/>
          <w:szCs w:val="22"/>
        </w:rPr>
        <w:t xml:space="preserve">Download and inspect at least one example trace file</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Open a Chakra .et or equivalent trace file and examine its contents</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Reading the documentation alone is abstract — seeing a real trace makes it concrete and immediately surfaces questions about how training operations are represented</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Example traces are available in the ASTRA-sim and Chakra repositories; use a JSON viewer or Python to inspect the structure</w:t>
      </w:r>
    </w:p>
    <w:p>
      <w:pPr>
        <w:pStyle w:val="ListParagraph"/>
        <w:numPr>
          <w:ilvl w:val="0"/>
          <w:numId w:val="2"/>
        </w:numPr>
        <w:spacing w:after="60" w:before="60"/>
      </w:pPr>
      <w:r>
        <w:rPr>
          <w:rFonts w:ascii="Arial" w:cs="Arial" w:eastAsia="Arial" w:hAnsi="Arial"/>
          <w:sz w:val="22"/>
          <w:szCs w:val="22"/>
        </w:rPr>
        <w:t xml:space="preserve">Identify the key fields in the trace format — operations, dependencies, timing</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List the fields that define each node in the trace: what operation it represents, what it depends on, and how long it takes</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These fields are what the team will need to populate when generating traces from the Hugging Face workload in Sprint 3</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Cross-reference the schema documentation with what you see in the example file, noting any fields that are unclear</w:t>
      </w:r>
    </w:p>
    <w:p>
      <w:pPr>
        <w:pStyle w:val="ListParagraph"/>
        <w:numPr>
          <w:ilvl w:val="0"/>
          <w:numId w:val="2"/>
        </w:numPr>
        <w:spacing w:after="60" w:before="60"/>
      </w:pPr>
      <w:r>
        <w:rPr>
          <w:rFonts w:ascii="Arial" w:cs="Arial" w:eastAsia="Arial" w:hAnsi="Arial"/>
          <w:sz w:val="22"/>
          <w:szCs w:val="22"/>
        </w:rPr>
        <w:t xml:space="preserve">Write a short bullet-point note explaining how a training workload becomes a trace</w:t>
      </w:r>
    </w:p>
    <w:p>
      <w:pPr>
        <w:pStyle w:val="ListParagraph"/>
        <w:numPr>
          <w:ilvl w:val="0"/>
          <w:numId w:val="2"/>
        </w:numPr>
        <w:spacing w:after="60" w:before="60"/>
      </w:pPr>
      <w:r>
        <w:rPr>
          <w:rFonts w:ascii="Arial" w:cs="Arial" w:eastAsia="Arial" w:hAnsi="Arial"/>
          <w:sz w:val="22"/>
          <w:szCs w:val="22"/>
        </w:rPr>
        <w:t xml:space="preserve">Flag any gaps between what Hugging Face outputs and what ASTRA-sim expects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Role 4: NCCL &amp; Collective Communication</w:t>
            </w:r>
          </w:p>
        </w:tc>
        <w:tc>
          <w:tcPr>
            <w:tcW w:type="dxa" w:w="2560"/>
            <w:tcBorders>
              <w:top w:val="single" w:color="CCCCCC" w:sz="1"/>
              <w:left w:val="single" w:color="CCCCCC" w:sz="1"/>
              <w:bottom w:val="single" w:color="CCCCCC" w:sz="1"/>
              <w:right w:val="single" w:color="CCCCCC" w:sz="1"/>
            </w:tcBorders>
            <w:shd w:fill="2E74B5" w:val="clear"/>
            <w:tcMar>
              <w:top w:type="dxa" w:w="100"/>
              <w:left w:type="dxa" w:w="160"/>
              <w:bottom w:type="dxa" w:w="100"/>
              <w:right w:type="dxa" w:w="160"/>
            </w:tcMar>
            <w:vAlign w:val="center"/>
          </w:tcPr>
          <w:p>
            <w:pPr>
              <w:jc w:val="center"/>
            </w:pPr>
            <w:r>
              <w:rPr>
                <w:rFonts w:ascii="Arial" w:cs="Arial" w:eastAsia="Arial" w:hAnsi="Arial"/>
                <w:color w:val="FFFFFF"/>
                <w:sz w:val="20"/>
                <w:szCs w:val="20"/>
              </w:rPr>
              <w:t xml:space="preserve">FR-N1 · FR-N2</w:t>
            </w:r>
          </w:p>
        </w:tc>
      </w:tr>
    </w:tbl>
    <w:p>
      <w:pPr>
        <w:spacing w:after="80" w:before="80"/>
      </w:pPr>
      <w:r>
        <w:t xml:space="preserve"/>
      </w:r>
    </w:p>
    <w:p>
      <w:pPr>
        <w:spacing w:after="160" w:before="100"/>
      </w:pPr>
      <w:r>
        <w:rPr>
          <w:rFonts w:ascii="Arial" w:cs="Arial" w:eastAsia="Arial" w:hAnsi="Arial"/>
          <w:i/>
          <w:iCs/>
          <w:color w:val="555555"/>
          <w:sz w:val="22"/>
          <w:szCs w:val="22"/>
        </w:rPr>
        <w:t xml:space="preserve">How this feeds in: NCCL is what generates the traffic that actually stresses the network during training. Understanding which parallelism strategy produces which collective operation — and how congestion-prone each one is — gives the team the technical justification for why ECMP fails and why a predictive router is needed. This work directly informs the simulation traffic model and the design of the predictive scheduler in Sprint 5. The existing NCCL research document in the project is already a strong foundation — this week is about consolidating and structuring it into something the whole team can use.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Read the relevant sections of the NCCL developer guide</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Focus specifically on the sections covering collective operations and topology awareness rather than the full installation guide</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The project needs to justify why certain traffic patterns cause congestion — the developer guide provides the authoritative explanation of how NCCL generates those patterns</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Available at docs.nvidia.com/deeplearning/nccl — prioritise the collective operations overview and the environment variable reference for tuning</w:t>
      </w:r>
    </w:p>
    <w:p>
      <w:pPr>
        <w:pStyle w:val="ListParagraph"/>
        <w:numPr>
          <w:ilvl w:val="0"/>
          <w:numId w:val="2"/>
        </w:numPr>
        <w:spacing w:after="60" w:before="60"/>
      </w:pPr>
      <w:r>
        <w:rPr>
          <w:rFonts w:ascii="Arial" w:cs="Arial" w:eastAsia="Arial" w:hAnsi="Arial"/>
          <w:sz w:val="22"/>
          <w:szCs w:val="22"/>
        </w:rPr>
        <w:t xml:space="preserve">Review the nccl-tests repository, focusing on all_reduce_perf</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Read the README and the source of all_reduce_perf to understand what it measures and what outputs it produces</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This is the microbenchmark the SRS specifies for validating simulated network behaviour in FR-N1 — understanding it now means the team can map its outputs to ASTRA-sim equivalents in Sprint 3</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Available at github.com/NVIDIA/nccl-tests; no need to run it this week — reading and understanding the output format (bus bandwidth, algorithm bandwidth, latency) is sufficient</w:t>
      </w:r>
    </w:p>
    <w:p>
      <w:pPr>
        <w:pStyle w:val="ListParagraph"/>
        <w:numPr>
          <w:ilvl w:val="0"/>
          <w:numId w:val="2"/>
        </w:numPr>
        <w:spacing w:after="60" w:before="60"/>
      </w:pPr>
      <w:r>
        <w:rPr>
          <w:rFonts w:ascii="Arial" w:cs="Arial" w:eastAsia="Arial" w:hAnsi="Arial"/>
          <w:sz w:val="22"/>
          <w:szCs w:val="22"/>
        </w:rPr>
        <w:t xml:space="preserve">Produce a simple table mapping each parallelism type to its NCCL operation</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A three-column table: parallelism type (DP, TP, PP), NCCL operation generated, and approximate congestion impact</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This becomes a shared reference for the whole team when designing simulation scenarios — it makes the connection between training strategy and network stress explicit and concrete</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Draw from the existing NCCL research document in the project, cross-referenced with the Megatron-LM and Ultra-Scale Playbook sources in the SRS</w:t>
      </w:r>
    </w:p>
    <w:p>
      <w:pPr>
        <w:pStyle w:val="ListParagraph"/>
        <w:numPr>
          <w:ilvl w:val="0"/>
          <w:numId w:val="2"/>
        </w:numPr>
        <w:spacing w:after="60" w:before="60"/>
      </w:pPr>
      <w:r>
        <w:rPr>
          <w:rFonts w:ascii="Arial" w:cs="Arial" w:eastAsia="Arial" w:hAnsi="Arial"/>
          <w:sz w:val="22"/>
          <w:szCs w:val="22"/>
        </w:rPr>
        <w:t xml:space="preserve">Note which operations are highest volume and most congestion-prone</w:t>
      </w:r>
    </w:p>
    <w:p>
      <w:pPr>
        <w:pStyle w:val="ListParagraph"/>
        <w:numPr>
          <w:ilvl w:val="0"/>
          <w:numId w:val="2"/>
        </w:numPr>
        <w:spacing w:after="60" w:before="60"/>
      </w:pPr>
      <w:r>
        <w:rPr>
          <w:rFonts w:ascii="Arial" w:cs="Arial" w:eastAsia="Arial" w:hAnsi="Arial"/>
          <w:sz w:val="22"/>
          <w:szCs w:val="22"/>
        </w:rPr>
        <w:t xml:space="preserve">Use the existing NCCL research document in the project as a starting 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Role 5: GPU Failures &amp; Resilience Background</w:t>
            </w:r>
          </w:p>
        </w:tc>
        <w:tc>
          <w:tcPr>
            <w:tcW w:type="dxa" w:w="2560"/>
            <w:tcBorders>
              <w:top w:val="single" w:color="CCCCCC" w:sz="1"/>
              <w:left w:val="single" w:color="CCCCCC" w:sz="1"/>
              <w:bottom w:val="single" w:color="CCCCCC" w:sz="1"/>
              <w:right w:val="single" w:color="CCCCCC" w:sz="1"/>
            </w:tcBorders>
            <w:shd w:fill="2E74B5" w:val="clear"/>
            <w:tcMar>
              <w:top w:type="dxa" w:w="100"/>
              <w:left w:type="dxa" w:w="160"/>
              <w:bottom w:type="dxa" w:w="100"/>
              <w:right w:type="dxa" w:w="160"/>
            </w:tcMar>
            <w:vAlign w:val="center"/>
          </w:tcPr>
          <w:p>
            <w:pPr>
              <w:jc w:val="center"/>
            </w:pPr>
            <w:r>
              <w:rPr>
                <w:rFonts w:ascii="Arial" w:cs="Arial" w:eastAsia="Arial" w:hAnsi="Arial"/>
                <w:color w:val="FFFFFF"/>
                <w:sz w:val="20"/>
                <w:szCs w:val="20"/>
              </w:rPr>
              <w:t xml:space="preserve">FR-G2 · FR-G3</w:t>
            </w:r>
          </w:p>
        </w:tc>
      </w:tr>
    </w:tbl>
    <w:p>
      <w:pPr>
        <w:spacing w:after="80" w:before="80"/>
      </w:pPr>
      <w:r>
        <w:t xml:space="preserve"/>
      </w:r>
    </w:p>
    <w:p>
      <w:pPr>
        <w:spacing w:after="160" w:before="100"/>
      </w:pPr>
      <w:r>
        <w:rPr>
          <w:rFonts w:ascii="Arial" w:cs="Arial" w:eastAsia="Arial" w:hAnsi="Arial"/>
          <w:i/>
          <w:iCs/>
          <w:color w:val="555555"/>
          <w:sz w:val="22"/>
          <w:szCs w:val="22"/>
        </w:rPr>
        <w:t xml:space="preserve">How this feeds in: The project's core evaluation compares routing strategies under failure conditions — so the failure model needs to be grounded in real numbers, not arbitrary assumptions. The parametrisation table produced this week will be the direct input to Sprint 4's failure injection scripting, and will determine whether the simulation's failure scenarios are credible enough to support the project's conclusions. Getting the numbers right now saves significant rework later.</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Re-read the L4 and UIUC/IBM papers cited in the SRS</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Focus specifically on the quantitative findings — failure rates, failure type breakdowns, and cascade behaviour</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The SRS references these papers for FR-G2 and FR-G3 but does not yet extract the specific numbers the simulation will need — translating from paper to parameter is the task this week</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The L4 paper covers failure distribution across training phases; the UIUC/IBM paper covers GSP versus memory fault frequency — read with the parametrisation table in mind</w:t>
      </w:r>
    </w:p>
    <w:p>
      <w:pPr>
        <w:pStyle w:val="ListParagraph"/>
        <w:numPr>
          <w:ilvl w:val="0"/>
          <w:numId w:val="2"/>
        </w:numPr>
        <w:spacing w:after="60" w:before="60"/>
      </w:pPr>
      <w:r>
        <w:rPr>
          <w:rFonts w:ascii="Arial" w:cs="Arial" w:eastAsia="Arial" w:hAnsi="Arial"/>
          <w:sz w:val="22"/>
          <w:szCs w:val="22"/>
        </w:rPr>
        <w:t xml:space="preserve">Extract concrete failure rate figures — MTBE values, GSP fault frequency, recovery penalties</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Pull out specific numbers: mean time between errors, percentage of failures by type, and recovery time penalties</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The SRS already cites 99.5% node availability and 30x GSP fault frequency as examples — this task is about finding the full set of figures that will make the failure model defensible</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Read with a notes document open and record each statistic with its source and page number for later citation in the final report</w:t>
      </w:r>
    </w:p>
    <w:p>
      <w:pPr>
        <w:pStyle w:val="ListParagraph"/>
        <w:numPr>
          <w:ilvl w:val="0"/>
          <w:numId w:val="2"/>
        </w:numPr>
        <w:spacing w:after="60" w:before="60"/>
      </w:pPr>
      <w:r>
        <w:rPr>
          <w:rFonts w:ascii="Arial" w:cs="Arial" w:eastAsia="Arial" w:hAnsi="Arial"/>
          <w:sz w:val="22"/>
          <w:szCs w:val="22"/>
        </w:rPr>
        <w:t xml:space="preserve">Draft a simple parametrisation table for Sprint 4 failure injection</w:t>
      </w:r>
    </w:p>
    <w:p>
      <w:pPr>
        <w:pStyle w:val="ListParagraph"/>
        <w:numPr>
          <w:ilvl w:val="0"/>
          <w:numId w:val="3"/>
        </w:numPr>
        <w:spacing w:after="60" w:before="60"/>
      </w:pPr>
      <w:r>
        <w:rPr>
          <w:rFonts w:ascii="Arial" w:cs="Arial" w:eastAsia="Arial" w:hAnsi="Arial"/>
          <w:b/>
          <w:bCs/>
          <w:color w:val="1F4E79"/>
          <w:sz w:val="21"/>
          <w:szCs w:val="21"/>
        </w:rPr>
        <w:t xml:space="preserve">What: </w:t>
      </w:r>
      <w:r>
        <w:rPr>
          <w:rFonts w:ascii="Arial" w:cs="Arial" w:eastAsia="Arial" w:hAnsi="Arial"/>
          <w:i/>
          <w:iCs/>
          <w:color w:val="333333"/>
          <w:sz w:val="21"/>
          <w:szCs w:val="21"/>
        </w:rPr>
        <w:t xml:space="preserve">A table with columns for failure type, frequency or rate, cascade behaviour, and suggested simulation parameter</w:t>
      </w:r>
    </w:p>
    <w:p>
      <w:pPr>
        <w:pStyle w:val="ListParagraph"/>
        <w:numPr>
          <w:ilvl w:val="0"/>
          <w:numId w:val="3"/>
        </w:numPr>
        <w:spacing w:after="60" w:before="60"/>
      </w:pPr>
      <w:r>
        <w:rPr>
          <w:rFonts w:ascii="Arial" w:cs="Arial" w:eastAsia="Arial" w:hAnsi="Arial"/>
          <w:b/>
          <w:bCs/>
          <w:color w:val="1F4E79"/>
          <w:sz w:val="21"/>
          <w:szCs w:val="21"/>
        </w:rPr>
        <w:t xml:space="preserve">Why: </w:t>
      </w:r>
      <w:r>
        <w:rPr>
          <w:rFonts w:ascii="Arial" w:cs="Arial" w:eastAsia="Arial" w:hAnsi="Arial"/>
          <w:i/>
          <w:iCs/>
          <w:color w:val="333333"/>
          <w:sz w:val="21"/>
          <w:szCs w:val="21"/>
        </w:rPr>
        <w:t xml:space="preserve">Sprint 4 requires scripted, repeatable failure injection — having agreed parameters now means that work can begin immediately without debate about what numbers to use</w:t>
      </w:r>
    </w:p>
    <w:p>
      <w:pPr>
        <w:pStyle w:val="ListParagraph"/>
        <w:numPr>
          <w:ilvl w:val="0"/>
          <w:numId w:val="3"/>
        </w:numPr>
        <w:spacing w:after="60" w:before="60"/>
      </w:pPr>
      <w:r>
        <w:rPr>
          <w:rFonts w:ascii="Arial" w:cs="Arial" w:eastAsia="Arial" w:hAnsi="Arial"/>
          <w:b/>
          <w:bCs/>
          <w:color w:val="1F4E79"/>
          <w:sz w:val="21"/>
          <w:szCs w:val="21"/>
        </w:rPr>
        <w:t xml:space="preserve">How: </w:t>
      </w:r>
      <w:r>
        <w:rPr>
          <w:rFonts w:ascii="Arial" w:cs="Arial" w:eastAsia="Arial" w:hAnsi="Arial"/>
          <w:i/>
          <w:iCs/>
          <w:color w:val="333333"/>
          <w:sz w:val="21"/>
          <w:szCs w:val="21"/>
        </w:rPr>
        <w:t xml:space="preserve">Base it on the extracted figures; where the literature is ambiguous, note the range rather than a single value so the team can run sensitivity tests later</w:t>
      </w:r>
    </w:p>
    <w:p>
      <w:pPr>
        <w:pStyle w:val="ListParagraph"/>
        <w:numPr>
          <w:ilvl w:val="0"/>
          <w:numId w:val="2"/>
        </w:numPr>
        <w:spacing w:after="60" w:before="60"/>
      </w:pPr>
      <w:r>
        <w:rPr>
          <w:rFonts w:ascii="Arial" w:cs="Arial" w:eastAsia="Arial" w:hAnsi="Arial"/>
          <w:sz w:val="22"/>
          <w:szCs w:val="22"/>
        </w:rPr>
        <w:t xml:space="preserve">Note which failure types cascade and which are isolated</w:t>
      </w:r>
    </w:p>
    <w:p>
      <w:pPr>
        <w:pStyle w:val="ListParagraph"/>
        <w:numPr>
          <w:ilvl w:val="0"/>
          <w:numId w:val="2"/>
        </w:numPr>
        <w:spacing w:after="60" w:before="60"/>
      </w:pPr>
      <w:r>
        <w:rPr>
          <w:rFonts w:ascii="Arial" w:cs="Arial" w:eastAsia="Arial" w:hAnsi="Arial"/>
          <w:sz w:val="22"/>
          <w:szCs w:val="22"/>
        </w:rPr>
        <w:t xml:space="preserve">Flag any gaps where the literature does not give clear enough numbers to model</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A Note on Scope</w:t>
      </w:r>
    </w:p>
    <w:p>
      <w:pPr>
        <w:spacing w:after="80" w:before="80"/>
      </w:pPr>
      <w:r>
        <w:rPr>
          <w:rFonts w:ascii="Arial" w:cs="Arial" w:eastAsia="Arial" w:hAnsi="Arial"/>
          <w:sz w:val="22"/>
          <w:szCs w:val="22"/>
        </w:rPr>
        <w:t xml:space="preserve">To be clear about expectations: this sprint is about foundations, not output. Everyone should end the week with working tools, clear mental models, and documented findings. Nobody needs to have built or integrated anything complex. The value of this sprint is that Sprint 3 can start immediately without anyone needing to catch up.</w:t>
      </w:r>
    </w:p>
    <w:p>
      <w:pPr>
        <w:spacing w:after="80" w:before="80"/>
      </w:pPr>
      <w:r>
        <w:t xml:space="preserve"/>
      </w:r>
    </w:p>
    <w:p>
      <w:pPr>
        <w:spacing w:after="80" w:before="80"/>
      </w:pPr>
      <w:r>
        <w:rPr>
          <w:rFonts w:ascii="Arial" w:cs="Arial" w:eastAsia="Arial" w:hAnsi="Arial"/>
          <w:sz w:val="22"/>
          <w:szCs w:val="22"/>
        </w:rPr>
        <w:t xml:space="preserve">If you finish your tasks early, the most useful thing you can do is write up what you found in a short shared note — that documentation will matter more than you think when we are deep in the simulation work in a few weeks.</w:t>
      </w:r>
    </w:p>
    <w:p>
      <w:pPr>
        <w:spacing w:after="80" w:before="80"/>
      </w:pPr>
      <w:r>
        <w:t xml:space="preserve"/>
      </w:r>
    </w:p>
    <w:p>
      <w:pPr>
        <w:spacing w:after="80" w:before="80"/>
      </w:pPr>
      <w:r>
        <w:rPr>
          <w:rFonts w:ascii="Arial" w:cs="Arial" w:eastAsia="Arial" w:hAnsi="Arial"/>
          <w:sz w:val="22"/>
          <w:szCs w:val="22"/>
        </w:rPr>
        <w:t xml:space="preserve">Any questions, come to me directly. Good luck this week.</w:t>
      </w:r>
    </w:p>
    <w:p>
      <w:pPr>
        <w:spacing w:after="80" w:before="80"/>
      </w:pPr>
      <w:r>
        <w:t xml:space="preserve"/>
      </w:r>
    </w:p>
    <w:p>
      <w:pPr>
        <w:pBdr>
          <w:top w:val="single" w:color="CCCCCC" w:sz="4" w:space="4"/>
        </w:pBdr>
        <w:spacing w:after="0" w:before="400"/>
        <w:jc w:val="right"/>
      </w:pPr>
      <w:r>
        <w:rPr>
          <w:rFonts w:ascii="Arial" w:cs="Arial" w:eastAsia="Arial" w:hAnsi="Arial"/>
          <w:color w:val="888888"/>
          <w:sz w:val="18"/>
          <w:szCs w:val="18"/>
        </w:rPr>
        <w:t xml:space="preserve">CE903 Group Project 3  ·  Sprint 2  ·  Team Briefing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2026-05-18T08:25:23.287Z</dcterms:created>
  <dcterms:modified xsi:type="dcterms:W3CDTF">2026-05-18T08:25:23.288Z</dcterms:modified>
</cp:coreProperties>
</file>

<file path=docProps/custom.xml><?xml version="1.0" encoding="utf-8"?>
<Properties xmlns="http://schemas.openxmlformats.org/officeDocument/2006/custom-properties" xmlns:vt="http://schemas.openxmlformats.org/officeDocument/2006/docPropsVTypes"/>
</file>